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F" w:rsidRPr="006C47A5" w:rsidRDefault="002B43F8" w:rsidP="006C47A5">
      <w:pPr>
        <w:pStyle w:val="NoSpacing"/>
        <w:jc w:val="both"/>
        <w:rPr>
          <w:rFonts w:ascii="Bookman Old Style" w:hAnsi="Bookman Old Style"/>
          <w:b/>
          <w:sz w:val="24"/>
          <w:szCs w:val="24"/>
        </w:rPr>
      </w:pPr>
      <w:r w:rsidRPr="006C47A5">
        <w:rPr>
          <w:rFonts w:ascii="Bookman Old Style" w:hAnsi="Bookman Old Style"/>
          <w:b/>
          <w:sz w:val="24"/>
          <w:szCs w:val="24"/>
        </w:rPr>
        <w:t>IN</w:t>
      </w:r>
      <w:r w:rsidR="006C47A5" w:rsidRPr="006C47A5">
        <w:rPr>
          <w:rFonts w:ascii="Bookman Old Style" w:hAnsi="Bookman Old Style"/>
          <w:b/>
          <w:sz w:val="24"/>
          <w:szCs w:val="24"/>
        </w:rPr>
        <w:t xml:space="preserve"> THE HIGH COURT OF ZAMBIA</w:t>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Pr="006C47A5">
        <w:rPr>
          <w:rFonts w:ascii="Bookman Old Style" w:hAnsi="Bookman Old Style"/>
          <w:b/>
          <w:sz w:val="24"/>
          <w:szCs w:val="24"/>
        </w:rPr>
        <w:t>2010/HPC/0766</w:t>
      </w:r>
    </w:p>
    <w:p w:rsidR="002B43F8" w:rsidRPr="006C47A5" w:rsidRDefault="002B43F8" w:rsidP="006C47A5">
      <w:pPr>
        <w:pStyle w:val="NoSpacing"/>
        <w:jc w:val="both"/>
        <w:rPr>
          <w:rFonts w:ascii="Bookman Old Style" w:hAnsi="Bookman Old Style"/>
          <w:b/>
          <w:sz w:val="24"/>
          <w:szCs w:val="24"/>
        </w:rPr>
      </w:pPr>
      <w:r w:rsidRPr="006C47A5">
        <w:rPr>
          <w:rFonts w:ascii="Bookman Old Style" w:hAnsi="Bookman Old Style"/>
          <w:b/>
          <w:sz w:val="24"/>
          <w:szCs w:val="24"/>
        </w:rPr>
        <w:t>AT THE COMMERCIAL REGISTRY</w:t>
      </w:r>
    </w:p>
    <w:p w:rsidR="002B43F8" w:rsidRPr="006C47A5" w:rsidRDefault="002B43F8" w:rsidP="006C47A5">
      <w:pPr>
        <w:pStyle w:val="NoSpacing"/>
        <w:jc w:val="both"/>
        <w:rPr>
          <w:rFonts w:ascii="Bookman Old Style" w:hAnsi="Bookman Old Style"/>
          <w:b/>
          <w:sz w:val="24"/>
          <w:szCs w:val="24"/>
        </w:rPr>
      </w:pPr>
      <w:r w:rsidRPr="006C47A5">
        <w:rPr>
          <w:rFonts w:ascii="Bookman Old Style" w:hAnsi="Bookman Old Style"/>
          <w:b/>
          <w:sz w:val="24"/>
          <w:szCs w:val="24"/>
        </w:rPr>
        <w:t>HOLDEN AT LUSAKA</w:t>
      </w:r>
    </w:p>
    <w:p w:rsidR="002B43F8" w:rsidRPr="00BD4763" w:rsidRDefault="002B43F8" w:rsidP="006C47A5">
      <w:pPr>
        <w:pStyle w:val="NoSpacing"/>
        <w:jc w:val="both"/>
        <w:rPr>
          <w:rFonts w:ascii="Bookman Old Style" w:hAnsi="Bookman Old Style"/>
          <w:b/>
          <w:i/>
          <w:sz w:val="24"/>
          <w:szCs w:val="24"/>
        </w:rPr>
      </w:pPr>
      <w:r w:rsidRPr="00BD4763">
        <w:rPr>
          <w:rFonts w:ascii="Bookman Old Style" w:hAnsi="Bookman Old Style"/>
          <w:b/>
          <w:i/>
          <w:sz w:val="24"/>
          <w:szCs w:val="24"/>
        </w:rPr>
        <w:t>(Commercial Jurisdiction)</w:t>
      </w:r>
    </w:p>
    <w:p w:rsidR="002B43F8" w:rsidRPr="006C47A5" w:rsidRDefault="002B43F8" w:rsidP="006C47A5">
      <w:pPr>
        <w:jc w:val="both"/>
        <w:rPr>
          <w:rFonts w:ascii="Bookman Old Style" w:hAnsi="Bookman Old Style"/>
          <w:b/>
          <w:sz w:val="24"/>
          <w:szCs w:val="24"/>
        </w:rPr>
      </w:pPr>
    </w:p>
    <w:p w:rsidR="002B43F8" w:rsidRPr="006C47A5" w:rsidRDefault="002B43F8" w:rsidP="006C47A5">
      <w:pPr>
        <w:jc w:val="both"/>
        <w:rPr>
          <w:rFonts w:ascii="Bookman Old Style" w:hAnsi="Bookman Old Style"/>
          <w:b/>
          <w:sz w:val="24"/>
          <w:szCs w:val="24"/>
        </w:rPr>
      </w:pPr>
      <w:r w:rsidRPr="006C47A5">
        <w:rPr>
          <w:rFonts w:ascii="Bookman Old Style" w:hAnsi="Bookman Old Style"/>
          <w:b/>
          <w:sz w:val="24"/>
          <w:szCs w:val="24"/>
        </w:rPr>
        <w:t>BETWEEN:</w:t>
      </w:r>
    </w:p>
    <w:p w:rsidR="002B43F8" w:rsidRPr="006C47A5" w:rsidRDefault="002B43F8" w:rsidP="006C47A5">
      <w:pPr>
        <w:jc w:val="both"/>
        <w:rPr>
          <w:rFonts w:ascii="Bookman Old Style" w:hAnsi="Bookman Old Style"/>
          <w:b/>
          <w:sz w:val="24"/>
          <w:szCs w:val="24"/>
        </w:rPr>
      </w:pPr>
    </w:p>
    <w:p w:rsidR="002B43F8" w:rsidRPr="006C47A5" w:rsidRDefault="002B43F8" w:rsidP="006C47A5">
      <w:pPr>
        <w:jc w:val="both"/>
        <w:rPr>
          <w:rFonts w:ascii="Bookman Old Style" w:hAnsi="Bookman Old Style"/>
          <w:b/>
          <w:sz w:val="24"/>
          <w:szCs w:val="24"/>
        </w:rPr>
      </w:pPr>
      <w:r w:rsidRPr="006C47A5">
        <w:rPr>
          <w:rFonts w:ascii="Bookman Old Style" w:hAnsi="Bookman Old Style"/>
          <w:b/>
          <w:sz w:val="24"/>
          <w:szCs w:val="24"/>
        </w:rPr>
        <w:t>ALLAN MULEMWA KANDALA</w:t>
      </w:r>
      <w:r w:rsidRPr="006C47A5">
        <w:rPr>
          <w:rFonts w:ascii="Bookman Old Style" w:hAnsi="Bookman Old Style"/>
          <w:b/>
          <w:sz w:val="24"/>
          <w:szCs w:val="24"/>
        </w:rPr>
        <w:tab/>
      </w:r>
      <w:r w:rsidRPr="006C47A5">
        <w:rPr>
          <w:rFonts w:ascii="Bookman Old Style" w:hAnsi="Bookman Old Style"/>
          <w:b/>
          <w:sz w:val="24"/>
          <w:szCs w:val="24"/>
        </w:rPr>
        <w:tab/>
      </w:r>
      <w:r w:rsidRPr="006C47A5">
        <w:rPr>
          <w:rFonts w:ascii="Bookman Old Style" w:hAnsi="Bookman Old Style"/>
          <w:b/>
          <w:sz w:val="24"/>
          <w:szCs w:val="24"/>
        </w:rPr>
        <w:tab/>
      </w:r>
      <w:r w:rsidRPr="006C47A5">
        <w:rPr>
          <w:rFonts w:ascii="Bookman Old Style" w:hAnsi="Bookman Old Style"/>
          <w:b/>
          <w:sz w:val="24"/>
          <w:szCs w:val="24"/>
        </w:rPr>
        <w:tab/>
      </w:r>
      <w:r w:rsidRPr="006C47A5">
        <w:rPr>
          <w:rFonts w:ascii="Bookman Old Style" w:hAnsi="Bookman Old Style"/>
          <w:b/>
          <w:sz w:val="24"/>
          <w:szCs w:val="24"/>
        </w:rPr>
        <w:tab/>
      </w:r>
      <w:r w:rsidRPr="006C47A5">
        <w:rPr>
          <w:rFonts w:ascii="Bookman Old Style" w:hAnsi="Bookman Old Style"/>
          <w:b/>
          <w:sz w:val="24"/>
          <w:szCs w:val="24"/>
        </w:rPr>
        <w:tab/>
        <w:t>PLAINTIFF</w:t>
      </w:r>
    </w:p>
    <w:p w:rsidR="002B43F8" w:rsidRPr="006C47A5" w:rsidRDefault="002B43F8" w:rsidP="006C47A5">
      <w:pPr>
        <w:jc w:val="both"/>
        <w:rPr>
          <w:rFonts w:ascii="Bookman Old Style" w:hAnsi="Bookman Old Style"/>
          <w:b/>
          <w:sz w:val="24"/>
          <w:szCs w:val="24"/>
        </w:rPr>
      </w:pPr>
      <w:r w:rsidRPr="006C47A5">
        <w:rPr>
          <w:rFonts w:ascii="Bookman Old Style" w:hAnsi="Bookman Old Style"/>
          <w:b/>
          <w:sz w:val="24"/>
          <w:szCs w:val="24"/>
        </w:rPr>
        <w:t>AND</w:t>
      </w:r>
    </w:p>
    <w:p w:rsidR="002B43F8" w:rsidRPr="006C47A5" w:rsidRDefault="002B43F8" w:rsidP="006C47A5">
      <w:pPr>
        <w:pBdr>
          <w:bottom w:val="single" w:sz="12" w:space="1" w:color="auto"/>
        </w:pBdr>
        <w:jc w:val="both"/>
        <w:rPr>
          <w:rFonts w:ascii="Bookman Old Style" w:hAnsi="Bookman Old Style"/>
          <w:b/>
          <w:sz w:val="24"/>
          <w:szCs w:val="24"/>
        </w:rPr>
      </w:pPr>
      <w:r w:rsidRPr="006C47A5">
        <w:rPr>
          <w:rFonts w:ascii="Bookman Old Style" w:hAnsi="Bookman Old Style"/>
          <w:b/>
          <w:sz w:val="24"/>
          <w:szCs w:val="24"/>
        </w:rPr>
        <w:t xml:space="preserve">ZAMBIA </w:t>
      </w:r>
      <w:r w:rsidR="006C47A5" w:rsidRPr="006C47A5">
        <w:rPr>
          <w:rFonts w:ascii="Bookman Old Style" w:hAnsi="Bookman Old Style"/>
          <w:b/>
          <w:sz w:val="24"/>
          <w:szCs w:val="24"/>
        </w:rPr>
        <w:t>NATIONAL COMMERCIAL BANK PLC</w:t>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006C47A5" w:rsidRPr="006C47A5">
        <w:rPr>
          <w:rFonts w:ascii="Bookman Old Style" w:hAnsi="Bookman Old Style"/>
          <w:b/>
          <w:sz w:val="24"/>
          <w:szCs w:val="24"/>
        </w:rPr>
        <w:tab/>
      </w:r>
      <w:r w:rsidRPr="006C47A5">
        <w:rPr>
          <w:rFonts w:ascii="Bookman Old Style" w:hAnsi="Bookman Old Style"/>
          <w:b/>
          <w:sz w:val="24"/>
          <w:szCs w:val="24"/>
        </w:rPr>
        <w:t>DEFENDANT</w:t>
      </w:r>
    </w:p>
    <w:p w:rsidR="006C47A5" w:rsidRPr="006C47A5" w:rsidRDefault="006C47A5" w:rsidP="006C47A5">
      <w:pPr>
        <w:pBdr>
          <w:bottom w:val="single" w:sz="12" w:space="1" w:color="auto"/>
        </w:pBdr>
        <w:jc w:val="both"/>
        <w:rPr>
          <w:rFonts w:ascii="Bookman Old Style" w:hAnsi="Bookman Old Style"/>
          <w:b/>
          <w:sz w:val="24"/>
          <w:szCs w:val="24"/>
        </w:rPr>
      </w:pPr>
    </w:p>
    <w:p w:rsidR="002B43F8" w:rsidRPr="006C47A5" w:rsidRDefault="002B43F8" w:rsidP="006C47A5">
      <w:pPr>
        <w:pBdr>
          <w:bottom w:val="single" w:sz="12" w:space="1" w:color="auto"/>
        </w:pBdr>
        <w:jc w:val="both"/>
        <w:rPr>
          <w:rFonts w:ascii="Bookman Old Style" w:hAnsi="Bookman Old Style"/>
          <w:b/>
          <w:sz w:val="24"/>
          <w:szCs w:val="24"/>
        </w:rPr>
      </w:pPr>
      <w:r w:rsidRPr="006C47A5">
        <w:rPr>
          <w:rFonts w:ascii="Bookman Old Style" w:hAnsi="Bookman Old Style"/>
          <w:b/>
          <w:sz w:val="24"/>
          <w:szCs w:val="24"/>
        </w:rPr>
        <w:t xml:space="preserve">Before the Hon. Mr. Justice A.M. Wood in Chambers this </w:t>
      </w:r>
      <w:r w:rsidR="003C6912">
        <w:rPr>
          <w:rFonts w:ascii="Bookman Old Style" w:hAnsi="Bookman Old Style"/>
          <w:b/>
          <w:sz w:val="24"/>
          <w:szCs w:val="24"/>
        </w:rPr>
        <w:t>28</w:t>
      </w:r>
      <w:r w:rsidR="003C6912" w:rsidRPr="003C6912">
        <w:rPr>
          <w:rFonts w:ascii="Bookman Old Style" w:hAnsi="Bookman Old Style"/>
          <w:b/>
          <w:sz w:val="24"/>
          <w:szCs w:val="24"/>
          <w:vertAlign w:val="superscript"/>
        </w:rPr>
        <w:t>th</w:t>
      </w:r>
      <w:r w:rsidRPr="006C47A5">
        <w:rPr>
          <w:rFonts w:ascii="Bookman Old Style" w:hAnsi="Bookman Old Style"/>
          <w:b/>
          <w:sz w:val="24"/>
          <w:szCs w:val="24"/>
        </w:rPr>
        <w:t xml:space="preserve"> </w:t>
      </w:r>
      <w:r w:rsidR="00D307F6">
        <w:rPr>
          <w:rFonts w:ascii="Bookman Old Style" w:hAnsi="Bookman Old Style"/>
          <w:b/>
          <w:sz w:val="24"/>
          <w:szCs w:val="24"/>
        </w:rPr>
        <w:t>d</w:t>
      </w:r>
      <w:r w:rsidRPr="006C47A5">
        <w:rPr>
          <w:rFonts w:ascii="Bookman Old Style" w:hAnsi="Bookman Old Style"/>
          <w:b/>
          <w:sz w:val="24"/>
          <w:szCs w:val="24"/>
        </w:rPr>
        <w:t>ay of February, 2011</w:t>
      </w:r>
    </w:p>
    <w:p w:rsidR="002B43F8" w:rsidRPr="006C47A5" w:rsidRDefault="002B43F8" w:rsidP="006C47A5">
      <w:pPr>
        <w:pBdr>
          <w:bottom w:val="single" w:sz="12" w:space="1" w:color="auto"/>
        </w:pBdr>
        <w:jc w:val="both"/>
        <w:rPr>
          <w:rFonts w:ascii="Bookman Old Style" w:hAnsi="Bookman Old Style"/>
          <w:b/>
          <w:sz w:val="24"/>
          <w:szCs w:val="24"/>
        </w:rPr>
      </w:pPr>
    </w:p>
    <w:p w:rsidR="002B43F8" w:rsidRPr="006C47A5" w:rsidRDefault="002B43F8" w:rsidP="0000182A">
      <w:pPr>
        <w:pBdr>
          <w:bottom w:val="single" w:sz="12" w:space="1" w:color="auto"/>
        </w:pBdr>
        <w:ind w:left="2880" w:hanging="2880"/>
        <w:jc w:val="both"/>
        <w:rPr>
          <w:rFonts w:ascii="Bookman Old Style" w:hAnsi="Bookman Old Style"/>
          <w:b/>
          <w:sz w:val="24"/>
          <w:szCs w:val="24"/>
        </w:rPr>
      </w:pPr>
      <w:r w:rsidRPr="006C47A5">
        <w:rPr>
          <w:rFonts w:ascii="Bookman Old Style" w:hAnsi="Bookman Old Style"/>
          <w:b/>
          <w:sz w:val="24"/>
          <w:szCs w:val="24"/>
        </w:rPr>
        <w:t>For the Plaintiff:</w:t>
      </w:r>
      <w:r w:rsidRPr="006C47A5">
        <w:rPr>
          <w:rFonts w:ascii="Bookman Old Style" w:hAnsi="Bookman Old Style"/>
          <w:b/>
          <w:sz w:val="24"/>
          <w:szCs w:val="24"/>
        </w:rPr>
        <w:tab/>
        <w:t xml:space="preserve">Mr. </w:t>
      </w:r>
      <w:r w:rsidR="0000182A">
        <w:rPr>
          <w:rFonts w:ascii="Bookman Old Style" w:hAnsi="Bookman Old Style"/>
          <w:b/>
          <w:sz w:val="24"/>
          <w:szCs w:val="24"/>
        </w:rPr>
        <w:t>Milner Katolo</w:t>
      </w:r>
      <w:r w:rsidRPr="006C47A5">
        <w:rPr>
          <w:rFonts w:ascii="Bookman Old Style" w:hAnsi="Bookman Old Style"/>
          <w:b/>
          <w:sz w:val="24"/>
          <w:szCs w:val="24"/>
        </w:rPr>
        <w:t xml:space="preserve"> of Messrs. </w:t>
      </w:r>
      <w:r w:rsidR="0000182A">
        <w:rPr>
          <w:rFonts w:ascii="Bookman Old Style" w:hAnsi="Bookman Old Style"/>
          <w:b/>
          <w:sz w:val="24"/>
          <w:szCs w:val="24"/>
        </w:rPr>
        <w:t>Milner Katolo &amp; Company</w:t>
      </w:r>
    </w:p>
    <w:p w:rsidR="002B43F8" w:rsidRPr="006C47A5" w:rsidRDefault="002B43F8" w:rsidP="006C47A5">
      <w:pPr>
        <w:pBdr>
          <w:bottom w:val="single" w:sz="12" w:space="1" w:color="auto"/>
        </w:pBdr>
        <w:jc w:val="both"/>
        <w:rPr>
          <w:rFonts w:ascii="Bookman Old Style" w:hAnsi="Bookman Old Style"/>
          <w:b/>
          <w:sz w:val="24"/>
          <w:szCs w:val="24"/>
        </w:rPr>
      </w:pPr>
      <w:r w:rsidRPr="006C47A5">
        <w:rPr>
          <w:rFonts w:ascii="Bookman Old Style" w:hAnsi="Bookman Old Style"/>
          <w:b/>
          <w:sz w:val="24"/>
          <w:szCs w:val="24"/>
        </w:rPr>
        <w:t>For the Defendant:</w:t>
      </w:r>
      <w:r w:rsidRPr="006C47A5">
        <w:rPr>
          <w:rFonts w:ascii="Bookman Old Style" w:hAnsi="Bookman Old Style"/>
          <w:b/>
          <w:sz w:val="24"/>
          <w:szCs w:val="24"/>
        </w:rPr>
        <w:tab/>
        <w:t>Mr. G. Pindani of Messrs. Lewis Nathan Advocates</w:t>
      </w:r>
    </w:p>
    <w:p w:rsidR="002B43F8" w:rsidRPr="006C47A5" w:rsidRDefault="002B43F8" w:rsidP="006C47A5">
      <w:pPr>
        <w:pBdr>
          <w:bottom w:val="single" w:sz="12" w:space="1" w:color="auto"/>
        </w:pBdr>
        <w:jc w:val="center"/>
        <w:rPr>
          <w:rFonts w:ascii="Bookman Old Style" w:hAnsi="Bookman Old Style"/>
          <w:b/>
          <w:sz w:val="24"/>
          <w:szCs w:val="24"/>
        </w:rPr>
      </w:pPr>
      <w:r w:rsidRPr="006C47A5">
        <w:rPr>
          <w:rFonts w:ascii="Bookman Old Style" w:hAnsi="Bookman Old Style"/>
          <w:b/>
          <w:sz w:val="24"/>
          <w:szCs w:val="24"/>
        </w:rPr>
        <w:t>_____________________________________________________</w:t>
      </w:r>
      <w:r w:rsidR="006C47A5" w:rsidRPr="006C47A5">
        <w:rPr>
          <w:rFonts w:ascii="Bookman Old Style" w:hAnsi="Bookman Old Style"/>
          <w:b/>
          <w:sz w:val="24"/>
          <w:szCs w:val="24"/>
        </w:rPr>
        <w:t>_________________________</w:t>
      </w:r>
      <w:r w:rsidRPr="006C47A5">
        <w:rPr>
          <w:rFonts w:ascii="Bookman Old Style" w:hAnsi="Bookman Old Style"/>
          <w:b/>
          <w:sz w:val="24"/>
          <w:szCs w:val="24"/>
        </w:rPr>
        <w:t>RULING</w:t>
      </w:r>
    </w:p>
    <w:p w:rsidR="005E2401" w:rsidRPr="005E2401" w:rsidRDefault="005E2401" w:rsidP="00BD4763">
      <w:pPr>
        <w:spacing w:line="360" w:lineRule="auto"/>
        <w:jc w:val="both"/>
        <w:rPr>
          <w:rFonts w:ascii="Bookman Old Style" w:hAnsi="Bookman Old Style"/>
          <w:b/>
          <w:sz w:val="24"/>
          <w:szCs w:val="24"/>
        </w:rPr>
      </w:pPr>
      <w:r w:rsidRPr="005E2401">
        <w:rPr>
          <w:rFonts w:ascii="Bookman Old Style" w:hAnsi="Bookman Old Style"/>
          <w:b/>
          <w:sz w:val="24"/>
          <w:szCs w:val="24"/>
        </w:rPr>
        <w:t>Cases referred to:</w:t>
      </w:r>
    </w:p>
    <w:p w:rsidR="005E2401" w:rsidRPr="005E2401" w:rsidRDefault="005E2401" w:rsidP="005E2401">
      <w:pPr>
        <w:pStyle w:val="ListParagraph"/>
        <w:numPr>
          <w:ilvl w:val="0"/>
          <w:numId w:val="2"/>
        </w:numPr>
        <w:spacing w:line="240" w:lineRule="auto"/>
        <w:jc w:val="both"/>
        <w:rPr>
          <w:rFonts w:ascii="Bookman Old Style" w:hAnsi="Bookman Old Style"/>
          <w:i/>
          <w:sz w:val="24"/>
          <w:szCs w:val="24"/>
        </w:rPr>
      </w:pPr>
      <w:r w:rsidRPr="005E2401">
        <w:rPr>
          <w:rFonts w:ascii="Bookman Old Style" w:hAnsi="Bookman Old Style"/>
          <w:b/>
          <w:i/>
          <w:sz w:val="24"/>
          <w:szCs w:val="24"/>
        </w:rPr>
        <w:t>ANZ Grindlays Bank (Z) Limited V. Chrispin Kaoma (1995) S.J. SCZ Judgment No. 12 of 1995</w:t>
      </w:r>
    </w:p>
    <w:p w:rsidR="005E2401" w:rsidRPr="005E2401" w:rsidRDefault="005E2401" w:rsidP="005E2401">
      <w:pPr>
        <w:pStyle w:val="ListParagraph"/>
        <w:spacing w:line="240" w:lineRule="auto"/>
        <w:jc w:val="both"/>
        <w:rPr>
          <w:rFonts w:ascii="Bookman Old Style" w:hAnsi="Bookman Old Style"/>
          <w:i/>
          <w:sz w:val="24"/>
          <w:szCs w:val="24"/>
        </w:rPr>
      </w:pPr>
    </w:p>
    <w:p w:rsidR="005E2401" w:rsidRPr="002E0C2E" w:rsidRDefault="005E2401" w:rsidP="005E2401">
      <w:pPr>
        <w:pStyle w:val="ListParagraph"/>
        <w:numPr>
          <w:ilvl w:val="0"/>
          <w:numId w:val="2"/>
        </w:numPr>
        <w:spacing w:line="360" w:lineRule="auto"/>
        <w:jc w:val="both"/>
        <w:rPr>
          <w:rFonts w:ascii="Bookman Old Style" w:hAnsi="Bookman Old Style"/>
          <w:i/>
          <w:sz w:val="24"/>
          <w:szCs w:val="24"/>
        </w:rPr>
      </w:pPr>
      <w:r w:rsidRPr="005E2401">
        <w:rPr>
          <w:rFonts w:ascii="Bookman Old Style" w:hAnsi="Bookman Old Style"/>
          <w:b/>
          <w:i/>
          <w:sz w:val="24"/>
          <w:szCs w:val="24"/>
        </w:rPr>
        <w:t>Musakanya and Anor V. Attorney General (1981) Z.</w:t>
      </w:r>
      <w:r>
        <w:rPr>
          <w:rFonts w:ascii="Bookman Old Style" w:hAnsi="Bookman Old Style"/>
          <w:b/>
          <w:i/>
          <w:sz w:val="24"/>
          <w:szCs w:val="24"/>
        </w:rPr>
        <w:t>R</w:t>
      </w:r>
      <w:r w:rsidRPr="005E2401">
        <w:rPr>
          <w:rFonts w:ascii="Bookman Old Style" w:hAnsi="Bookman Old Style"/>
          <w:b/>
          <w:i/>
          <w:sz w:val="24"/>
          <w:szCs w:val="24"/>
        </w:rPr>
        <w:t>. 221</w:t>
      </w:r>
    </w:p>
    <w:p w:rsidR="002E0C2E" w:rsidRPr="002E0C2E" w:rsidRDefault="002E0C2E" w:rsidP="002E0C2E">
      <w:pPr>
        <w:pStyle w:val="ListParagraph"/>
        <w:numPr>
          <w:ilvl w:val="0"/>
          <w:numId w:val="2"/>
        </w:numPr>
        <w:spacing w:line="360" w:lineRule="auto"/>
        <w:jc w:val="both"/>
        <w:rPr>
          <w:rFonts w:ascii="Bookman Old Style" w:hAnsi="Bookman Old Style"/>
          <w:i/>
          <w:sz w:val="24"/>
          <w:szCs w:val="24"/>
        </w:rPr>
      </w:pPr>
      <w:r w:rsidRPr="002E0C2E">
        <w:rPr>
          <w:rFonts w:ascii="Bookman Old Style" w:hAnsi="Bookman Old Style"/>
          <w:b/>
          <w:i/>
          <w:sz w:val="24"/>
          <w:szCs w:val="24"/>
        </w:rPr>
        <w:t>Fidelitas Shipping v. VV/O Exportchles [1955] 2 ALL ER 4</w:t>
      </w:r>
    </w:p>
    <w:p w:rsidR="002E0C2E" w:rsidRPr="002E0C2E" w:rsidRDefault="002E0C2E" w:rsidP="002E0C2E">
      <w:pPr>
        <w:pStyle w:val="ListParagraph"/>
        <w:numPr>
          <w:ilvl w:val="0"/>
          <w:numId w:val="2"/>
        </w:numPr>
        <w:spacing w:line="360" w:lineRule="auto"/>
        <w:jc w:val="both"/>
        <w:rPr>
          <w:rFonts w:ascii="Bookman Old Style" w:hAnsi="Bookman Old Style"/>
          <w:i/>
          <w:sz w:val="24"/>
          <w:szCs w:val="24"/>
        </w:rPr>
      </w:pPr>
      <w:r w:rsidRPr="002E0C2E">
        <w:rPr>
          <w:rFonts w:ascii="Bookman Old Style" w:hAnsi="Bookman Old Style"/>
          <w:b/>
          <w:i/>
          <w:sz w:val="24"/>
          <w:szCs w:val="24"/>
        </w:rPr>
        <w:t>Bank of Zambia v. Tembo and Others (2002) Z.R. 103</w:t>
      </w:r>
    </w:p>
    <w:p w:rsidR="002E0C2E" w:rsidRPr="002E0C2E" w:rsidRDefault="002E0C2E" w:rsidP="002E0C2E">
      <w:pPr>
        <w:pStyle w:val="ListParagraph"/>
        <w:numPr>
          <w:ilvl w:val="0"/>
          <w:numId w:val="2"/>
        </w:numPr>
        <w:spacing w:line="360" w:lineRule="auto"/>
        <w:jc w:val="both"/>
        <w:rPr>
          <w:rFonts w:ascii="Bookman Old Style" w:hAnsi="Bookman Old Style"/>
          <w:i/>
          <w:sz w:val="24"/>
          <w:szCs w:val="24"/>
        </w:rPr>
      </w:pPr>
      <w:r w:rsidRPr="002E0C2E">
        <w:rPr>
          <w:rFonts w:ascii="Bookman Old Style" w:hAnsi="Bookman Old Style"/>
          <w:b/>
          <w:i/>
          <w:sz w:val="24"/>
          <w:szCs w:val="24"/>
        </w:rPr>
        <w:t>BP Zambia Plc v. Interland Motors (2001) Z.R. 37</w:t>
      </w:r>
    </w:p>
    <w:p w:rsidR="002E0C2E" w:rsidRPr="002E0C2E" w:rsidRDefault="002E0C2E" w:rsidP="002E0C2E">
      <w:pPr>
        <w:pStyle w:val="ListParagraph"/>
        <w:numPr>
          <w:ilvl w:val="0"/>
          <w:numId w:val="2"/>
        </w:numPr>
        <w:spacing w:line="360" w:lineRule="auto"/>
        <w:jc w:val="both"/>
        <w:rPr>
          <w:rFonts w:ascii="Bookman Old Style" w:hAnsi="Bookman Old Style"/>
          <w:i/>
          <w:sz w:val="24"/>
          <w:szCs w:val="24"/>
        </w:rPr>
      </w:pPr>
      <w:r w:rsidRPr="002E0C2E">
        <w:rPr>
          <w:rFonts w:ascii="Bookman Old Style" w:hAnsi="Bookman Old Style"/>
          <w:b/>
          <w:i/>
          <w:sz w:val="24"/>
          <w:szCs w:val="24"/>
        </w:rPr>
        <w:t>Aaron v. Shelton [2004] 3 ALL ER 560</w:t>
      </w:r>
    </w:p>
    <w:p w:rsidR="002E0C2E" w:rsidRPr="002E0C2E" w:rsidRDefault="002E0C2E" w:rsidP="002E0C2E">
      <w:pPr>
        <w:pStyle w:val="ListParagraph"/>
        <w:numPr>
          <w:ilvl w:val="0"/>
          <w:numId w:val="2"/>
        </w:numPr>
        <w:spacing w:line="240" w:lineRule="auto"/>
        <w:jc w:val="both"/>
        <w:rPr>
          <w:rFonts w:ascii="Bookman Old Style" w:hAnsi="Bookman Old Style"/>
          <w:i/>
          <w:sz w:val="24"/>
          <w:szCs w:val="24"/>
        </w:rPr>
      </w:pPr>
      <w:r w:rsidRPr="002E0C2E">
        <w:rPr>
          <w:rFonts w:ascii="Bookman Old Style" w:hAnsi="Bookman Old Style"/>
          <w:b/>
          <w:i/>
          <w:sz w:val="24"/>
          <w:szCs w:val="24"/>
        </w:rPr>
        <w:t xml:space="preserve">Yat Tung Investment Company Limited v. Dao Heng Bank [1975] A.C. 581 </w:t>
      </w:r>
    </w:p>
    <w:p w:rsidR="002E0C2E" w:rsidRPr="002E0C2E" w:rsidRDefault="002E0C2E" w:rsidP="002E0C2E">
      <w:pPr>
        <w:pStyle w:val="ListParagraph"/>
        <w:numPr>
          <w:ilvl w:val="0"/>
          <w:numId w:val="2"/>
        </w:numPr>
        <w:spacing w:line="240" w:lineRule="auto"/>
        <w:jc w:val="both"/>
        <w:rPr>
          <w:rFonts w:ascii="Bookman Old Style" w:hAnsi="Bookman Old Style"/>
          <w:i/>
          <w:sz w:val="24"/>
          <w:szCs w:val="24"/>
        </w:rPr>
      </w:pPr>
      <w:r w:rsidRPr="002E0C2E">
        <w:rPr>
          <w:rFonts w:ascii="Bookman Old Style" w:hAnsi="Bookman Old Style"/>
          <w:b/>
          <w:i/>
          <w:sz w:val="24"/>
          <w:szCs w:val="24"/>
        </w:rPr>
        <w:lastRenderedPageBreak/>
        <w:t xml:space="preserve">Henderson v. Henderson ((1843) 3 Hare 100 </w:t>
      </w:r>
      <w:r>
        <w:rPr>
          <w:rFonts w:ascii="Bookman Old Style" w:hAnsi="Bookman Old Style"/>
          <w:b/>
          <w:i/>
          <w:sz w:val="24"/>
          <w:szCs w:val="24"/>
        </w:rPr>
        <w:t>page</w:t>
      </w:r>
      <w:r w:rsidRPr="002E0C2E">
        <w:rPr>
          <w:rFonts w:ascii="Bookman Old Style" w:hAnsi="Bookman Old Style"/>
          <w:b/>
          <w:i/>
          <w:sz w:val="24"/>
          <w:szCs w:val="24"/>
        </w:rPr>
        <w:t xml:space="preserve"> 115, [1843-60] ALL ER Rep. 378 – 382)</w:t>
      </w:r>
    </w:p>
    <w:p w:rsidR="002B43F8" w:rsidRDefault="006A61DB" w:rsidP="00BD4763">
      <w:pPr>
        <w:spacing w:line="360" w:lineRule="auto"/>
        <w:jc w:val="both"/>
        <w:rPr>
          <w:rFonts w:ascii="Bookman Old Style" w:hAnsi="Bookman Old Style"/>
          <w:sz w:val="24"/>
          <w:szCs w:val="24"/>
        </w:rPr>
      </w:pPr>
      <w:r>
        <w:rPr>
          <w:rFonts w:ascii="Bookman Old Style" w:hAnsi="Bookman Old Style"/>
          <w:sz w:val="24"/>
          <w:szCs w:val="24"/>
        </w:rPr>
        <w:t xml:space="preserve">This is an application by the Plaintiff for an injunction that the Defendant either by itself, its agents or servants or appointed receivers or by whomsoever acting on its behalf be restrained from in any way disposing off the property, namely, the brewery plant, equipment and the land on which the said plant is situate, </w:t>
      </w:r>
      <w:r w:rsidR="00BD4763">
        <w:rPr>
          <w:rFonts w:ascii="Bookman Old Style" w:hAnsi="Bookman Old Style"/>
          <w:sz w:val="24"/>
          <w:szCs w:val="24"/>
        </w:rPr>
        <w:t>namely</w:t>
      </w:r>
      <w:r>
        <w:rPr>
          <w:rFonts w:ascii="Bookman Old Style" w:hAnsi="Bookman Old Style"/>
          <w:sz w:val="24"/>
          <w:szCs w:val="24"/>
        </w:rPr>
        <w:t>, Plot No. 246, Umuzilikazi Road, Lusaka, being the property of Top Star Breweries Limited, a company which the Plaintiff is a shareholder and director pending the determination of this matter.  There is also a further order for restoration and quiet enjoyment of the property.</w:t>
      </w:r>
    </w:p>
    <w:p w:rsidR="006A61DB" w:rsidRDefault="006A61DB" w:rsidP="00BD4763">
      <w:pPr>
        <w:spacing w:line="360" w:lineRule="auto"/>
        <w:jc w:val="both"/>
        <w:rPr>
          <w:rFonts w:ascii="Bookman Old Style" w:hAnsi="Bookman Old Style"/>
          <w:sz w:val="24"/>
          <w:szCs w:val="24"/>
        </w:rPr>
      </w:pPr>
      <w:r>
        <w:rPr>
          <w:rFonts w:ascii="Bookman Old Style" w:hAnsi="Bookman Old Style"/>
          <w:sz w:val="24"/>
          <w:szCs w:val="24"/>
        </w:rPr>
        <w:t>The affidavit in support sworn by the Plaintiff states that he is a shareholder and managing director of Tope Star Breweries Limited which was purportedly placed into receivership by the Defendant.</w:t>
      </w:r>
    </w:p>
    <w:p w:rsidR="006A61DB" w:rsidRDefault="006A61DB" w:rsidP="00BD4763">
      <w:pPr>
        <w:spacing w:line="360" w:lineRule="auto"/>
        <w:jc w:val="both"/>
        <w:rPr>
          <w:rFonts w:ascii="Bookman Old Style" w:hAnsi="Bookman Old Style"/>
          <w:sz w:val="24"/>
          <w:szCs w:val="24"/>
        </w:rPr>
      </w:pPr>
      <w:r>
        <w:rPr>
          <w:rFonts w:ascii="Bookman Old Style" w:hAnsi="Bookman Old Style"/>
          <w:sz w:val="24"/>
          <w:szCs w:val="24"/>
        </w:rPr>
        <w:t>On 17</w:t>
      </w:r>
      <w:r w:rsidRPr="006A61DB">
        <w:rPr>
          <w:rFonts w:ascii="Bookman Old Style" w:hAnsi="Bookman Old Style"/>
          <w:sz w:val="24"/>
          <w:szCs w:val="24"/>
          <w:vertAlign w:val="superscript"/>
        </w:rPr>
        <w:t>th</w:t>
      </w:r>
      <w:r>
        <w:rPr>
          <w:rFonts w:ascii="Bookman Old Style" w:hAnsi="Bookman Old Style"/>
          <w:sz w:val="24"/>
          <w:szCs w:val="24"/>
        </w:rPr>
        <w:t xml:space="preserve"> July, 2008 he was granted an ex parte injunction similar to the current application but was discharged on 12</w:t>
      </w:r>
      <w:r w:rsidRPr="006A61DB">
        <w:rPr>
          <w:rFonts w:ascii="Bookman Old Style" w:hAnsi="Bookman Old Style"/>
          <w:sz w:val="24"/>
          <w:szCs w:val="24"/>
          <w:vertAlign w:val="superscript"/>
        </w:rPr>
        <w:t>th</w:t>
      </w:r>
      <w:r>
        <w:rPr>
          <w:rFonts w:ascii="Bookman Old Style" w:hAnsi="Bookman Old Style"/>
          <w:sz w:val="24"/>
          <w:szCs w:val="24"/>
        </w:rPr>
        <w:t xml:space="preserve"> December, 2008 and the action was dismissed.  On appeal to a single judge of the Supreme Court, the injunction was reinstated pending a hearing by the full bench of the Supreme Court.</w:t>
      </w:r>
    </w:p>
    <w:p w:rsidR="006A61DB" w:rsidRDefault="006A61DB" w:rsidP="00BD4763">
      <w:pPr>
        <w:spacing w:line="360" w:lineRule="auto"/>
        <w:jc w:val="both"/>
        <w:rPr>
          <w:rFonts w:ascii="Bookman Old Style" w:hAnsi="Bookman Old Style"/>
          <w:sz w:val="24"/>
          <w:szCs w:val="24"/>
        </w:rPr>
      </w:pPr>
      <w:r>
        <w:rPr>
          <w:rFonts w:ascii="Bookman Old Style" w:hAnsi="Bookman Old Style"/>
          <w:sz w:val="24"/>
          <w:szCs w:val="24"/>
        </w:rPr>
        <w:t>A consent order was then filed in the Supreme Court remitting the matter to the High Court to be determined on the merits after trial.  By then</w:t>
      </w:r>
      <w:r w:rsidR="0000182A">
        <w:rPr>
          <w:rFonts w:ascii="Bookman Old Style" w:hAnsi="Bookman Old Style"/>
          <w:sz w:val="24"/>
          <w:szCs w:val="24"/>
        </w:rPr>
        <w:t>,</w:t>
      </w:r>
      <w:r>
        <w:rPr>
          <w:rFonts w:ascii="Bookman Old Style" w:hAnsi="Bookman Old Style"/>
          <w:sz w:val="24"/>
          <w:szCs w:val="24"/>
        </w:rPr>
        <w:t xml:space="preserve"> unbeknown to the </w:t>
      </w:r>
      <w:r w:rsidR="0000182A">
        <w:rPr>
          <w:rFonts w:ascii="Bookman Old Style" w:hAnsi="Bookman Old Style"/>
          <w:sz w:val="24"/>
          <w:szCs w:val="24"/>
        </w:rPr>
        <w:t>Plaintiff</w:t>
      </w:r>
      <w:r>
        <w:rPr>
          <w:rFonts w:ascii="Bookman Old Style" w:hAnsi="Bookman Old Style"/>
          <w:sz w:val="24"/>
          <w:szCs w:val="24"/>
        </w:rPr>
        <w:t>, the matter had been struck off the active cause list on 20</w:t>
      </w:r>
      <w:r w:rsidRPr="006A61DB">
        <w:rPr>
          <w:rFonts w:ascii="Bookman Old Style" w:hAnsi="Bookman Old Style"/>
          <w:sz w:val="24"/>
          <w:szCs w:val="24"/>
          <w:vertAlign w:val="superscript"/>
        </w:rPr>
        <w:t>th</w:t>
      </w:r>
      <w:r>
        <w:rPr>
          <w:rFonts w:ascii="Bookman Old Style" w:hAnsi="Bookman Old Style"/>
          <w:sz w:val="24"/>
          <w:szCs w:val="24"/>
        </w:rPr>
        <w:t xml:space="preserve"> April, 2009 which </w:t>
      </w:r>
      <w:r w:rsidR="00C870BB">
        <w:rPr>
          <w:rFonts w:ascii="Bookman Old Style" w:hAnsi="Bookman Old Style"/>
          <w:sz w:val="24"/>
          <w:szCs w:val="24"/>
        </w:rPr>
        <w:t>meant</w:t>
      </w:r>
      <w:r>
        <w:rPr>
          <w:rFonts w:ascii="Bookman Old Style" w:hAnsi="Bookman Old Style"/>
          <w:sz w:val="24"/>
          <w:szCs w:val="24"/>
        </w:rPr>
        <w:t xml:space="preserve"> that the High Court action stood dismissed at the time the consent order was filed on 6</w:t>
      </w:r>
      <w:r w:rsidRPr="006A61DB">
        <w:rPr>
          <w:rFonts w:ascii="Bookman Old Style" w:hAnsi="Bookman Old Style"/>
          <w:sz w:val="24"/>
          <w:szCs w:val="24"/>
          <w:vertAlign w:val="superscript"/>
        </w:rPr>
        <w:t>th</w:t>
      </w:r>
      <w:r>
        <w:rPr>
          <w:rFonts w:ascii="Bookman Old Style" w:hAnsi="Bookman Old Style"/>
          <w:sz w:val="24"/>
          <w:szCs w:val="24"/>
        </w:rPr>
        <w:t xml:space="preserve"> October, 2009.</w:t>
      </w:r>
    </w:p>
    <w:p w:rsidR="006A61DB" w:rsidRDefault="006A61DB" w:rsidP="00BD4763">
      <w:pPr>
        <w:spacing w:line="360" w:lineRule="auto"/>
        <w:jc w:val="both"/>
        <w:rPr>
          <w:rFonts w:ascii="Bookman Old Style" w:hAnsi="Bookman Old Style"/>
          <w:sz w:val="24"/>
          <w:szCs w:val="24"/>
        </w:rPr>
      </w:pPr>
      <w:r>
        <w:rPr>
          <w:rFonts w:ascii="Bookman Old Style" w:hAnsi="Bookman Old Style"/>
          <w:sz w:val="24"/>
          <w:szCs w:val="24"/>
        </w:rPr>
        <w:t xml:space="preserve">Although the case record shows that he was </w:t>
      </w:r>
      <w:r w:rsidR="0000182A">
        <w:rPr>
          <w:rFonts w:ascii="Bookman Old Style" w:hAnsi="Bookman Old Style"/>
          <w:sz w:val="24"/>
          <w:szCs w:val="24"/>
        </w:rPr>
        <w:t xml:space="preserve">not </w:t>
      </w:r>
      <w:r>
        <w:rPr>
          <w:rFonts w:ascii="Bookman Old Style" w:hAnsi="Bookman Old Style"/>
          <w:sz w:val="24"/>
          <w:szCs w:val="24"/>
        </w:rPr>
        <w:t>represent</w:t>
      </w:r>
      <w:r w:rsidR="0000182A">
        <w:rPr>
          <w:rFonts w:ascii="Bookman Old Style" w:hAnsi="Bookman Old Style"/>
          <w:sz w:val="24"/>
          <w:szCs w:val="24"/>
        </w:rPr>
        <w:t>ed</w:t>
      </w:r>
      <w:r>
        <w:rPr>
          <w:rFonts w:ascii="Bookman Old Style" w:hAnsi="Bookman Old Style"/>
          <w:sz w:val="24"/>
          <w:szCs w:val="24"/>
        </w:rPr>
        <w:t xml:space="preserve"> when the matter was heard on 18</w:t>
      </w:r>
      <w:r w:rsidRPr="006A61DB">
        <w:rPr>
          <w:rFonts w:ascii="Bookman Old Style" w:hAnsi="Bookman Old Style"/>
          <w:sz w:val="24"/>
          <w:szCs w:val="24"/>
          <w:vertAlign w:val="superscript"/>
        </w:rPr>
        <w:t>th</w:t>
      </w:r>
      <w:r>
        <w:rPr>
          <w:rFonts w:ascii="Bookman Old Style" w:hAnsi="Bookman Old Style"/>
          <w:sz w:val="24"/>
          <w:szCs w:val="24"/>
        </w:rPr>
        <w:t xml:space="preserve"> February, 2009 and adjourned to 20</w:t>
      </w:r>
      <w:r w:rsidRPr="006A61DB">
        <w:rPr>
          <w:rFonts w:ascii="Bookman Old Style" w:hAnsi="Bookman Old Style"/>
          <w:sz w:val="24"/>
          <w:szCs w:val="24"/>
          <w:vertAlign w:val="superscript"/>
        </w:rPr>
        <w:t>th</w:t>
      </w:r>
      <w:r>
        <w:rPr>
          <w:rFonts w:ascii="Bookman Old Style" w:hAnsi="Bookman Old Style"/>
          <w:sz w:val="24"/>
          <w:szCs w:val="24"/>
        </w:rPr>
        <w:t xml:space="preserve"> April, 2009 at 09.30 hours for a scheduling conference, he stated that the order was not served on his advocates.</w:t>
      </w:r>
    </w:p>
    <w:p w:rsidR="006A61DB" w:rsidRDefault="006A61DB" w:rsidP="00BD4763">
      <w:pPr>
        <w:spacing w:line="360" w:lineRule="auto"/>
        <w:jc w:val="both"/>
        <w:rPr>
          <w:rFonts w:ascii="Bookman Old Style" w:hAnsi="Bookman Old Style"/>
          <w:sz w:val="24"/>
          <w:szCs w:val="24"/>
        </w:rPr>
      </w:pPr>
      <w:r>
        <w:rPr>
          <w:rFonts w:ascii="Bookman Old Style" w:hAnsi="Bookman Old Style"/>
          <w:sz w:val="24"/>
          <w:szCs w:val="24"/>
        </w:rPr>
        <w:t>On or about 27</w:t>
      </w:r>
      <w:r w:rsidRPr="006A61DB">
        <w:rPr>
          <w:rFonts w:ascii="Bookman Old Style" w:hAnsi="Bookman Old Style"/>
          <w:sz w:val="24"/>
          <w:szCs w:val="24"/>
          <w:vertAlign w:val="superscript"/>
        </w:rPr>
        <w:t>th</w:t>
      </w:r>
      <w:r>
        <w:rPr>
          <w:rFonts w:ascii="Bookman Old Style" w:hAnsi="Bookman Old Style"/>
          <w:sz w:val="24"/>
          <w:szCs w:val="24"/>
        </w:rPr>
        <w:t xml:space="preserve"> April, 2009, the Defendant’s </w:t>
      </w:r>
      <w:r w:rsidR="00C870BB">
        <w:rPr>
          <w:rFonts w:ascii="Bookman Old Style" w:hAnsi="Bookman Old Style"/>
          <w:sz w:val="24"/>
          <w:szCs w:val="24"/>
        </w:rPr>
        <w:t xml:space="preserve">advocates sent two consent orders to his advocates for execution.  One consent order related to the </w:t>
      </w:r>
      <w:r w:rsidR="00C870BB">
        <w:rPr>
          <w:rFonts w:ascii="Bookman Old Style" w:hAnsi="Bookman Old Style"/>
          <w:sz w:val="24"/>
          <w:szCs w:val="24"/>
        </w:rPr>
        <w:lastRenderedPageBreak/>
        <w:t>withdrawal of the appeal lodged under Cause No. SCZ/8/311/2008 and another consent order under Cause No. 2008/HPC/273 staying the ruling of the High Court dated 12</w:t>
      </w:r>
      <w:r w:rsidR="00C870BB" w:rsidRPr="00C870BB">
        <w:rPr>
          <w:rFonts w:ascii="Bookman Old Style" w:hAnsi="Bookman Old Style"/>
          <w:sz w:val="24"/>
          <w:szCs w:val="24"/>
          <w:vertAlign w:val="superscript"/>
        </w:rPr>
        <w:t>th</w:t>
      </w:r>
      <w:r w:rsidR="00C870BB">
        <w:rPr>
          <w:rFonts w:ascii="Bookman Old Style" w:hAnsi="Bookman Old Style"/>
          <w:sz w:val="24"/>
          <w:szCs w:val="24"/>
        </w:rPr>
        <w:t xml:space="preserve"> December, 2008.</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t xml:space="preserve">Although both consent orders were executed by the advocates for the parties, only the consent order under Cause No. SCZ/8/311/2008 was executed and endorsed by </w:t>
      </w:r>
      <w:r w:rsidR="0000182A">
        <w:rPr>
          <w:rFonts w:ascii="Bookman Old Style" w:hAnsi="Bookman Old Style"/>
          <w:sz w:val="24"/>
          <w:szCs w:val="24"/>
        </w:rPr>
        <w:t xml:space="preserve">the Supreme Court </w:t>
      </w:r>
      <w:r>
        <w:rPr>
          <w:rFonts w:ascii="Bookman Old Style" w:hAnsi="Bookman Old Style"/>
          <w:sz w:val="24"/>
          <w:szCs w:val="24"/>
        </w:rPr>
        <w:t>while the consent order under Cause No. 2008/HPC/273 was not executed by the High Court Judge on the premise that the matter in the High Court was struck off the cause list on 20</w:t>
      </w:r>
      <w:r w:rsidRPr="00C870BB">
        <w:rPr>
          <w:rFonts w:ascii="Bookman Old Style" w:hAnsi="Bookman Old Style"/>
          <w:sz w:val="24"/>
          <w:szCs w:val="24"/>
          <w:vertAlign w:val="superscript"/>
        </w:rPr>
        <w:t>th</w:t>
      </w:r>
      <w:r>
        <w:rPr>
          <w:rFonts w:ascii="Bookman Old Style" w:hAnsi="Bookman Old Style"/>
          <w:sz w:val="24"/>
          <w:szCs w:val="24"/>
        </w:rPr>
        <w:t xml:space="preserve"> April, 2009 and since it was not restored within the period provided under Order 53 rule 7 of the Commercial Action Practice Directions, it stood dismissed.</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t>The Defendant’s advocates represented to his advocates by the said letter dated 27</w:t>
      </w:r>
      <w:r w:rsidRPr="00C870BB">
        <w:rPr>
          <w:rFonts w:ascii="Bookman Old Style" w:hAnsi="Bookman Old Style"/>
          <w:sz w:val="24"/>
          <w:szCs w:val="24"/>
          <w:vertAlign w:val="superscript"/>
        </w:rPr>
        <w:t>th</w:t>
      </w:r>
      <w:r>
        <w:rPr>
          <w:rFonts w:ascii="Bookman Old Style" w:hAnsi="Bookman Old Style"/>
          <w:sz w:val="24"/>
          <w:szCs w:val="24"/>
        </w:rPr>
        <w:t xml:space="preserve"> April, 2009 that further discussions on the resolution of the matter under Cause No. 2008/HPC/0273 and SCZ/8/311/2008 would follow after the execution of the two consent orders.</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t>After the refusal of the High Court to endorse the consent order under Cause No. 2008/HPC/273, the Defendant trough its advocates, by letter dated 23</w:t>
      </w:r>
      <w:r w:rsidRPr="00C870BB">
        <w:rPr>
          <w:rFonts w:ascii="Bookman Old Style" w:hAnsi="Bookman Old Style"/>
          <w:sz w:val="24"/>
          <w:szCs w:val="24"/>
          <w:vertAlign w:val="superscript"/>
        </w:rPr>
        <w:t>rd</w:t>
      </w:r>
      <w:r>
        <w:rPr>
          <w:rFonts w:ascii="Bookman Old Style" w:hAnsi="Bookman Old Style"/>
          <w:sz w:val="24"/>
          <w:szCs w:val="24"/>
        </w:rPr>
        <w:t xml:space="preserve"> April, 2010 ordered him to vacate Plot No. 346, Umuzilikazi Road, Lusaka and hand over the operation of the brewery plant belonging to Top Star Breweries Limited to the appointed receivers.</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t>The Defendant had through the receivers advertised the brewery plant, equipment and Plot No. 346, Umuzilikazi Road, Lusaka for sale and the closing date of receipt of the bids was 18</w:t>
      </w:r>
      <w:r w:rsidRPr="00C870BB">
        <w:rPr>
          <w:rFonts w:ascii="Bookman Old Style" w:hAnsi="Bookman Old Style"/>
          <w:sz w:val="24"/>
          <w:szCs w:val="24"/>
          <w:vertAlign w:val="superscript"/>
        </w:rPr>
        <w:t>th</w:t>
      </w:r>
      <w:r>
        <w:rPr>
          <w:rFonts w:ascii="Bookman Old Style" w:hAnsi="Bookman Old Style"/>
          <w:sz w:val="24"/>
          <w:szCs w:val="24"/>
        </w:rPr>
        <w:t xml:space="preserve"> December, 2011.  If the application for an injunction was not granted, the property described above, namely, the brewery plan</w:t>
      </w:r>
      <w:r w:rsidR="00BD4763">
        <w:rPr>
          <w:rFonts w:ascii="Bookman Old Style" w:hAnsi="Bookman Old Style"/>
          <w:sz w:val="24"/>
          <w:szCs w:val="24"/>
        </w:rPr>
        <w:t>t, equipment and Plot No. 346 U</w:t>
      </w:r>
      <w:r>
        <w:rPr>
          <w:rFonts w:ascii="Bookman Old Style" w:hAnsi="Bookman Old Style"/>
          <w:sz w:val="24"/>
          <w:szCs w:val="24"/>
        </w:rPr>
        <w:t>muzilikazi Road, Lusaka, the main stay of Top Star Breweries Limited, a company in which the Plaintiff was a director and majority shareholder would be sold and the Plaintiff would suffer irreparable damage.</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lastRenderedPageBreak/>
        <w:t>An affidavit in opposition was sworn on 28</w:t>
      </w:r>
      <w:r w:rsidRPr="00C870BB">
        <w:rPr>
          <w:rFonts w:ascii="Bookman Old Style" w:hAnsi="Bookman Old Style"/>
          <w:sz w:val="24"/>
          <w:szCs w:val="24"/>
          <w:vertAlign w:val="superscript"/>
        </w:rPr>
        <w:t>th</w:t>
      </w:r>
      <w:r>
        <w:rPr>
          <w:rFonts w:ascii="Bookman Old Style" w:hAnsi="Bookman Old Style"/>
          <w:sz w:val="24"/>
          <w:szCs w:val="24"/>
        </w:rPr>
        <w:t xml:space="preserve"> December, 2010 by Addie Lyempe and filed on the same day.  </w:t>
      </w:r>
      <w:r w:rsidR="007B0C69">
        <w:rPr>
          <w:rFonts w:ascii="Bookman Old Style" w:hAnsi="Bookman Old Style"/>
          <w:sz w:val="24"/>
          <w:szCs w:val="24"/>
        </w:rPr>
        <w:t xml:space="preserve">According to the </w:t>
      </w:r>
      <w:r>
        <w:rPr>
          <w:rFonts w:ascii="Bookman Old Style" w:hAnsi="Bookman Old Style"/>
          <w:sz w:val="24"/>
          <w:szCs w:val="24"/>
        </w:rPr>
        <w:t>affidavit</w:t>
      </w:r>
      <w:r w:rsidR="007B0C69">
        <w:rPr>
          <w:rFonts w:ascii="Bookman Old Style" w:hAnsi="Bookman Old Style"/>
          <w:sz w:val="24"/>
          <w:szCs w:val="24"/>
        </w:rPr>
        <w:t>,</w:t>
      </w:r>
      <w:r>
        <w:rPr>
          <w:rFonts w:ascii="Bookman Old Style" w:hAnsi="Bookman Old Style"/>
          <w:sz w:val="24"/>
          <w:szCs w:val="24"/>
        </w:rPr>
        <w:t xml:space="preserve"> the action emanated from a loan </w:t>
      </w:r>
      <w:r w:rsidR="00BD4763">
        <w:rPr>
          <w:rFonts w:ascii="Bookman Old Style" w:hAnsi="Bookman Old Style"/>
          <w:sz w:val="24"/>
          <w:szCs w:val="24"/>
        </w:rPr>
        <w:t>agreement</w:t>
      </w:r>
      <w:r>
        <w:rPr>
          <w:rFonts w:ascii="Bookman Old Style" w:hAnsi="Bookman Old Style"/>
          <w:sz w:val="24"/>
          <w:szCs w:val="24"/>
        </w:rPr>
        <w:t xml:space="preserve"> entered into between Top </w:t>
      </w:r>
      <w:r w:rsidR="00BD4763">
        <w:rPr>
          <w:rFonts w:ascii="Bookman Old Style" w:hAnsi="Bookman Old Style"/>
          <w:sz w:val="24"/>
          <w:szCs w:val="24"/>
        </w:rPr>
        <w:t>Star</w:t>
      </w:r>
      <w:r>
        <w:rPr>
          <w:rFonts w:ascii="Bookman Old Style" w:hAnsi="Bookman Old Style"/>
          <w:sz w:val="24"/>
          <w:szCs w:val="24"/>
        </w:rPr>
        <w:t xml:space="preserve"> Breweries</w:t>
      </w:r>
      <w:r w:rsidR="0000182A">
        <w:rPr>
          <w:rFonts w:ascii="Bookman Old Style" w:hAnsi="Bookman Old Style"/>
          <w:sz w:val="24"/>
          <w:szCs w:val="24"/>
        </w:rPr>
        <w:t xml:space="preserve"> Limited</w:t>
      </w:r>
      <w:r>
        <w:rPr>
          <w:rFonts w:ascii="Bookman Old Style" w:hAnsi="Bookman Old Style"/>
          <w:sz w:val="24"/>
          <w:szCs w:val="24"/>
        </w:rPr>
        <w:t xml:space="preserve"> (In Receivership) and the Defendant.  Top State Breweries Limited was availed an overdraft facility and three loans totaling K2,740,234,728.73.  On or about 11</w:t>
      </w:r>
      <w:r w:rsidRPr="00C870BB">
        <w:rPr>
          <w:rFonts w:ascii="Bookman Old Style" w:hAnsi="Bookman Old Style"/>
          <w:sz w:val="24"/>
          <w:szCs w:val="24"/>
          <w:vertAlign w:val="superscript"/>
        </w:rPr>
        <w:t>th</w:t>
      </w:r>
      <w:r>
        <w:rPr>
          <w:rFonts w:ascii="Bookman Old Style" w:hAnsi="Bookman Old Style"/>
          <w:sz w:val="24"/>
          <w:szCs w:val="24"/>
        </w:rPr>
        <w:t xml:space="preserve"> April, 2007, the Defendant </w:t>
      </w:r>
      <w:r w:rsidR="00BD4763">
        <w:rPr>
          <w:rFonts w:ascii="Bookman Old Style" w:hAnsi="Bookman Old Style"/>
          <w:sz w:val="24"/>
          <w:szCs w:val="24"/>
        </w:rPr>
        <w:t>registered</w:t>
      </w:r>
      <w:r>
        <w:rPr>
          <w:rFonts w:ascii="Bookman Old Style" w:hAnsi="Bookman Old Style"/>
          <w:sz w:val="24"/>
          <w:szCs w:val="24"/>
        </w:rPr>
        <w:t xml:space="preserve"> a fixed charge on the assets of </w:t>
      </w:r>
      <w:r w:rsidR="0000182A">
        <w:rPr>
          <w:rFonts w:ascii="Bookman Old Style" w:hAnsi="Bookman Old Style"/>
          <w:sz w:val="24"/>
          <w:szCs w:val="24"/>
        </w:rPr>
        <w:t>T</w:t>
      </w:r>
      <w:r>
        <w:rPr>
          <w:rFonts w:ascii="Bookman Old Style" w:hAnsi="Bookman Old Style"/>
          <w:sz w:val="24"/>
          <w:szCs w:val="24"/>
        </w:rPr>
        <w:t xml:space="preserve">op Star </w:t>
      </w:r>
      <w:r w:rsidR="0000182A">
        <w:rPr>
          <w:rFonts w:ascii="Bookman Old Style" w:hAnsi="Bookman Old Style"/>
          <w:sz w:val="24"/>
          <w:szCs w:val="24"/>
        </w:rPr>
        <w:t>B</w:t>
      </w:r>
      <w:r>
        <w:rPr>
          <w:rFonts w:ascii="Bookman Old Style" w:hAnsi="Bookman Old Style"/>
          <w:sz w:val="24"/>
          <w:szCs w:val="24"/>
        </w:rPr>
        <w:t>reweries Limited</w:t>
      </w:r>
      <w:r w:rsidR="0000182A">
        <w:rPr>
          <w:rFonts w:ascii="Bookman Old Style" w:hAnsi="Bookman Old Style"/>
          <w:sz w:val="24"/>
          <w:szCs w:val="24"/>
        </w:rPr>
        <w:t xml:space="preserve"> (In Receivership)</w:t>
      </w:r>
      <w:r>
        <w:rPr>
          <w:rFonts w:ascii="Bookman Old Style" w:hAnsi="Bookman Old Style"/>
          <w:sz w:val="24"/>
          <w:szCs w:val="24"/>
        </w:rPr>
        <w:t>.  On or about 5</w:t>
      </w:r>
      <w:r w:rsidRPr="00C870BB">
        <w:rPr>
          <w:rFonts w:ascii="Bookman Old Style" w:hAnsi="Bookman Old Style"/>
          <w:sz w:val="24"/>
          <w:szCs w:val="24"/>
          <w:vertAlign w:val="superscript"/>
        </w:rPr>
        <w:t>th</w:t>
      </w:r>
      <w:r>
        <w:rPr>
          <w:rFonts w:ascii="Bookman Old Style" w:hAnsi="Bookman Old Style"/>
          <w:sz w:val="24"/>
          <w:szCs w:val="24"/>
        </w:rPr>
        <w:t xml:space="preserve"> October, 2007, the outstanding </w:t>
      </w:r>
      <w:r w:rsidR="00BD4763">
        <w:rPr>
          <w:rFonts w:ascii="Bookman Old Style" w:hAnsi="Bookman Old Style"/>
          <w:sz w:val="24"/>
          <w:szCs w:val="24"/>
        </w:rPr>
        <w:t>balances</w:t>
      </w:r>
      <w:r>
        <w:rPr>
          <w:rFonts w:ascii="Bookman Old Style" w:hAnsi="Bookman Old Style"/>
          <w:sz w:val="24"/>
          <w:szCs w:val="24"/>
        </w:rPr>
        <w:t xml:space="preserve"> on </w:t>
      </w:r>
      <w:r w:rsidR="00BD4763">
        <w:rPr>
          <w:rFonts w:ascii="Bookman Old Style" w:hAnsi="Bookman Old Style"/>
          <w:sz w:val="24"/>
          <w:szCs w:val="24"/>
        </w:rPr>
        <w:t>the above</w:t>
      </w:r>
      <w:r>
        <w:rPr>
          <w:rFonts w:ascii="Bookman Old Style" w:hAnsi="Bookman Old Style"/>
          <w:sz w:val="24"/>
          <w:szCs w:val="24"/>
        </w:rPr>
        <w:t xml:space="preserve"> overdraft and existing loans were amalgamated and restructured into one loan.</w:t>
      </w:r>
    </w:p>
    <w:p w:rsidR="00C870BB" w:rsidRDefault="00C870BB" w:rsidP="00BD4763">
      <w:pPr>
        <w:spacing w:line="360" w:lineRule="auto"/>
        <w:jc w:val="both"/>
        <w:rPr>
          <w:rFonts w:ascii="Bookman Old Style" w:hAnsi="Bookman Old Style"/>
          <w:sz w:val="24"/>
          <w:szCs w:val="24"/>
        </w:rPr>
      </w:pPr>
      <w:r>
        <w:rPr>
          <w:rFonts w:ascii="Bookman Old Style" w:hAnsi="Bookman Old Style"/>
          <w:sz w:val="24"/>
          <w:szCs w:val="24"/>
        </w:rPr>
        <w:t xml:space="preserve">After the amalgamation and restructuring of the credit facilities it came to the attention of the Defendant through the press and otherwise that some creditors of Top Star </w:t>
      </w:r>
      <w:r w:rsidR="00BD4763">
        <w:rPr>
          <w:rFonts w:ascii="Bookman Old Style" w:hAnsi="Bookman Old Style"/>
          <w:sz w:val="24"/>
          <w:szCs w:val="24"/>
        </w:rPr>
        <w:t>Breweries</w:t>
      </w:r>
      <w:r>
        <w:rPr>
          <w:rFonts w:ascii="Bookman Old Style" w:hAnsi="Bookman Old Style"/>
          <w:sz w:val="24"/>
          <w:szCs w:val="24"/>
        </w:rPr>
        <w:t xml:space="preserve"> Limited (In </w:t>
      </w:r>
      <w:r w:rsidR="00BD4763">
        <w:rPr>
          <w:rFonts w:ascii="Bookman Old Style" w:hAnsi="Bookman Old Style"/>
          <w:sz w:val="24"/>
          <w:szCs w:val="24"/>
        </w:rPr>
        <w:t>Receivership</w:t>
      </w:r>
      <w:r>
        <w:rPr>
          <w:rFonts w:ascii="Bookman Old Style" w:hAnsi="Bookman Old Style"/>
          <w:sz w:val="24"/>
          <w:szCs w:val="24"/>
        </w:rPr>
        <w:t xml:space="preserve">) in order to recover funds owed to them were in the process of realizing or selling some of the assets of </w:t>
      </w:r>
      <w:r w:rsidR="0000182A">
        <w:rPr>
          <w:rFonts w:ascii="Bookman Old Style" w:hAnsi="Bookman Old Style"/>
          <w:sz w:val="24"/>
          <w:szCs w:val="24"/>
        </w:rPr>
        <w:t>T</w:t>
      </w:r>
      <w:r>
        <w:rPr>
          <w:rFonts w:ascii="Bookman Old Style" w:hAnsi="Bookman Old Style"/>
          <w:sz w:val="24"/>
          <w:szCs w:val="24"/>
        </w:rPr>
        <w:t>op Star Breweries Limited (</w:t>
      </w:r>
      <w:r w:rsidR="0000182A">
        <w:rPr>
          <w:rFonts w:ascii="Bookman Old Style" w:hAnsi="Bookman Old Style"/>
          <w:sz w:val="24"/>
          <w:szCs w:val="24"/>
        </w:rPr>
        <w:t>I</w:t>
      </w:r>
      <w:r>
        <w:rPr>
          <w:rFonts w:ascii="Bookman Old Style" w:hAnsi="Bookman Old Style"/>
          <w:sz w:val="24"/>
          <w:szCs w:val="24"/>
        </w:rPr>
        <w:t>n Receivership)</w:t>
      </w:r>
      <w:r w:rsidR="00BD4763">
        <w:rPr>
          <w:rFonts w:ascii="Bookman Old Style" w:hAnsi="Bookman Old Style"/>
          <w:sz w:val="24"/>
          <w:szCs w:val="24"/>
        </w:rPr>
        <w:t xml:space="preserve"> in which the Defendant had an interest.</w:t>
      </w:r>
    </w:p>
    <w:p w:rsidR="0000182A" w:rsidRDefault="00BD4763" w:rsidP="00BD4763">
      <w:pPr>
        <w:spacing w:line="360" w:lineRule="auto"/>
        <w:jc w:val="both"/>
        <w:rPr>
          <w:rFonts w:ascii="Bookman Old Style" w:hAnsi="Bookman Old Style"/>
          <w:sz w:val="24"/>
          <w:szCs w:val="24"/>
        </w:rPr>
      </w:pPr>
      <w:r>
        <w:rPr>
          <w:rFonts w:ascii="Bookman Old Style" w:hAnsi="Bookman Old Style"/>
          <w:sz w:val="24"/>
          <w:szCs w:val="24"/>
        </w:rPr>
        <w:t>In terms of Clause 7 of the restructured loan offer letter dated 5</w:t>
      </w:r>
      <w:r w:rsidRPr="00BD4763">
        <w:rPr>
          <w:rFonts w:ascii="Bookman Old Style" w:hAnsi="Bookman Old Style"/>
          <w:sz w:val="24"/>
          <w:szCs w:val="24"/>
          <w:vertAlign w:val="superscript"/>
        </w:rPr>
        <w:t>th</w:t>
      </w:r>
      <w:r>
        <w:rPr>
          <w:rFonts w:ascii="Bookman Old Style" w:hAnsi="Bookman Old Style"/>
          <w:sz w:val="24"/>
          <w:szCs w:val="24"/>
        </w:rPr>
        <w:t xml:space="preserve"> October, 2007 the execution against the borrower</w:t>
      </w:r>
      <w:r w:rsidR="0000182A">
        <w:rPr>
          <w:rFonts w:ascii="Bookman Old Style" w:hAnsi="Bookman Old Style"/>
          <w:sz w:val="24"/>
          <w:szCs w:val="24"/>
        </w:rPr>
        <w:t>’</w:t>
      </w:r>
      <w:r>
        <w:rPr>
          <w:rFonts w:ascii="Bookman Old Style" w:hAnsi="Bookman Old Style"/>
          <w:sz w:val="24"/>
          <w:szCs w:val="24"/>
        </w:rPr>
        <w:t>s properties some of which the Defendant had financed and had an interest amounted to a default under the facility.  It was the Defendant’s reasonable belief that the restructured facility was at great risk of not being repaid in view of the several executions</w:t>
      </w:r>
      <w:r w:rsidR="0000182A">
        <w:rPr>
          <w:rFonts w:ascii="Bookman Old Style" w:hAnsi="Bookman Old Style"/>
          <w:sz w:val="24"/>
          <w:szCs w:val="24"/>
        </w:rPr>
        <w:t xml:space="preserve">.  As a result, </w:t>
      </w:r>
      <w:r>
        <w:rPr>
          <w:rFonts w:ascii="Bookman Old Style" w:hAnsi="Bookman Old Style"/>
          <w:sz w:val="24"/>
          <w:szCs w:val="24"/>
        </w:rPr>
        <w:t>the Defendant appointed receivers for Top Star Breweries Limited (In Receivership) on 22</w:t>
      </w:r>
      <w:r w:rsidRPr="00BD4763">
        <w:rPr>
          <w:rFonts w:ascii="Bookman Old Style" w:hAnsi="Bookman Old Style"/>
          <w:sz w:val="24"/>
          <w:szCs w:val="24"/>
          <w:vertAlign w:val="superscript"/>
        </w:rPr>
        <w:t>nd</w:t>
      </w:r>
      <w:r>
        <w:rPr>
          <w:rFonts w:ascii="Bookman Old Style" w:hAnsi="Bookman Old Style"/>
          <w:sz w:val="24"/>
          <w:szCs w:val="24"/>
        </w:rPr>
        <w:t xml:space="preserve"> October, 2007.  The Defendant paid K11.5 Million as bailiff’s fees and has continued spending money on security to guard the charged assets.  </w:t>
      </w:r>
    </w:p>
    <w:p w:rsidR="0000182A" w:rsidRDefault="00BD4763" w:rsidP="00BD4763">
      <w:pPr>
        <w:spacing w:line="360" w:lineRule="auto"/>
        <w:jc w:val="both"/>
        <w:rPr>
          <w:rFonts w:ascii="Bookman Old Style" w:hAnsi="Bookman Old Style"/>
          <w:sz w:val="24"/>
          <w:szCs w:val="24"/>
        </w:rPr>
      </w:pPr>
      <w:r>
        <w:rPr>
          <w:rFonts w:ascii="Bookman Old Style" w:hAnsi="Bookman Old Style"/>
          <w:sz w:val="24"/>
          <w:szCs w:val="24"/>
        </w:rPr>
        <w:t>On 14</w:t>
      </w:r>
      <w:r w:rsidRPr="00BD4763">
        <w:rPr>
          <w:rFonts w:ascii="Bookman Old Style" w:hAnsi="Bookman Old Style"/>
          <w:sz w:val="24"/>
          <w:szCs w:val="24"/>
          <w:vertAlign w:val="superscript"/>
        </w:rPr>
        <w:t>th</w:t>
      </w:r>
      <w:r>
        <w:rPr>
          <w:rFonts w:ascii="Bookman Old Style" w:hAnsi="Bookman Old Style"/>
          <w:sz w:val="24"/>
          <w:szCs w:val="24"/>
        </w:rPr>
        <w:t xml:space="preserve"> March, 2008 Top Star Breweries Limited (In Receivership) commenced an action under Cause 2008/HPC/0111 in which the High Court granted the Plaintiff an injunction restraining Zambia National Commercial Bank Plc and the receivers from among other things running </w:t>
      </w:r>
      <w:r w:rsidR="0000182A">
        <w:rPr>
          <w:rFonts w:ascii="Bookman Old Style" w:hAnsi="Bookman Old Style"/>
          <w:sz w:val="24"/>
          <w:szCs w:val="24"/>
        </w:rPr>
        <w:t>T</w:t>
      </w:r>
      <w:r>
        <w:rPr>
          <w:rFonts w:ascii="Bookman Old Style" w:hAnsi="Bookman Old Style"/>
          <w:sz w:val="24"/>
          <w:szCs w:val="24"/>
        </w:rPr>
        <w:t>op Star Breweries</w:t>
      </w:r>
      <w:r w:rsidR="0000182A">
        <w:rPr>
          <w:rFonts w:ascii="Bookman Old Style" w:hAnsi="Bookman Old Style"/>
          <w:sz w:val="24"/>
          <w:szCs w:val="24"/>
        </w:rPr>
        <w:t xml:space="preserve"> Limited (In Receivership)</w:t>
      </w:r>
      <w:r>
        <w:rPr>
          <w:rFonts w:ascii="Bookman Old Style" w:hAnsi="Bookman Old Style"/>
          <w:sz w:val="24"/>
          <w:szCs w:val="24"/>
        </w:rPr>
        <w:t xml:space="preserve"> or disposing of</w:t>
      </w:r>
      <w:r w:rsidR="0000182A">
        <w:rPr>
          <w:rFonts w:ascii="Bookman Old Style" w:hAnsi="Bookman Old Style"/>
          <w:sz w:val="24"/>
          <w:szCs w:val="24"/>
        </w:rPr>
        <w:t>f</w:t>
      </w:r>
      <w:r>
        <w:rPr>
          <w:rFonts w:ascii="Bookman Old Style" w:hAnsi="Bookman Old Style"/>
          <w:sz w:val="24"/>
          <w:szCs w:val="24"/>
        </w:rPr>
        <w:t xml:space="preserve"> the Brewery plant.   By virtue of the said injunction, the Plaintiff had possession of the company and was in total control </w:t>
      </w:r>
      <w:r>
        <w:rPr>
          <w:rFonts w:ascii="Bookman Old Style" w:hAnsi="Bookman Old Style"/>
          <w:sz w:val="24"/>
          <w:szCs w:val="24"/>
        </w:rPr>
        <w:lastRenderedPageBreak/>
        <w:t>of its operations.  The injunction was discharged on 14</w:t>
      </w:r>
      <w:r w:rsidRPr="00BD4763">
        <w:rPr>
          <w:rFonts w:ascii="Bookman Old Style" w:hAnsi="Bookman Old Style"/>
          <w:sz w:val="24"/>
          <w:szCs w:val="24"/>
          <w:vertAlign w:val="superscript"/>
        </w:rPr>
        <w:t>th</w:t>
      </w:r>
      <w:r>
        <w:rPr>
          <w:rFonts w:ascii="Bookman Old Style" w:hAnsi="Bookman Old Style"/>
          <w:sz w:val="24"/>
          <w:szCs w:val="24"/>
        </w:rPr>
        <w:t xml:space="preserve"> July, 2008 following the discontinuance of the proceedings by the Plaintiff under Cause 2008/HPC/0111.  </w:t>
      </w:r>
    </w:p>
    <w:p w:rsidR="00BD4763" w:rsidRDefault="00BD4763" w:rsidP="00BD4763">
      <w:pPr>
        <w:spacing w:line="360" w:lineRule="auto"/>
        <w:jc w:val="both"/>
        <w:rPr>
          <w:rFonts w:ascii="Bookman Old Style" w:hAnsi="Bookman Old Style"/>
          <w:sz w:val="24"/>
          <w:szCs w:val="24"/>
        </w:rPr>
      </w:pPr>
      <w:r>
        <w:rPr>
          <w:rFonts w:ascii="Bookman Old Style" w:hAnsi="Bookman Old Style"/>
          <w:sz w:val="24"/>
          <w:szCs w:val="24"/>
        </w:rPr>
        <w:t>On or about 17</w:t>
      </w:r>
      <w:r w:rsidRPr="00BD4763">
        <w:rPr>
          <w:rFonts w:ascii="Bookman Old Style" w:hAnsi="Bookman Old Style"/>
          <w:sz w:val="24"/>
          <w:szCs w:val="24"/>
          <w:vertAlign w:val="superscript"/>
        </w:rPr>
        <w:t>th</w:t>
      </w:r>
      <w:r>
        <w:rPr>
          <w:rFonts w:ascii="Bookman Old Style" w:hAnsi="Bookman Old Style"/>
          <w:sz w:val="24"/>
          <w:szCs w:val="24"/>
        </w:rPr>
        <w:t xml:space="preserve"> July, 2008, the Plaintiff commenced Cause No. 2008/HPC/273 against the </w:t>
      </w:r>
      <w:r w:rsidR="00B553E1">
        <w:rPr>
          <w:rFonts w:ascii="Bookman Old Style" w:hAnsi="Bookman Old Style"/>
          <w:sz w:val="24"/>
          <w:szCs w:val="24"/>
        </w:rPr>
        <w:t>Defendant.  An ex parte order of interim injunction was obtained on 18</w:t>
      </w:r>
      <w:r w:rsidR="00B553E1" w:rsidRPr="00B553E1">
        <w:rPr>
          <w:rFonts w:ascii="Bookman Old Style" w:hAnsi="Bookman Old Style"/>
          <w:sz w:val="24"/>
          <w:szCs w:val="24"/>
          <w:vertAlign w:val="superscript"/>
        </w:rPr>
        <w:t>th</w:t>
      </w:r>
      <w:r w:rsidR="00B553E1">
        <w:rPr>
          <w:rFonts w:ascii="Bookman Old Style" w:hAnsi="Bookman Old Style"/>
          <w:sz w:val="24"/>
          <w:szCs w:val="24"/>
        </w:rPr>
        <w:t xml:space="preserve"> July, 2008 but was discharged on 12</w:t>
      </w:r>
      <w:r w:rsidR="00B553E1" w:rsidRPr="00B553E1">
        <w:rPr>
          <w:rFonts w:ascii="Bookman Old Style" w:hAnsi="Bookman Old Style"/>
          <w:sz w:val="24"/>
          <w:szCs w:val="24"/>
          <w:vertAlign w:val="superscript"/>
        </w:rPr>
        <w:t>th</w:t>
      </w:r>
      <w:r w:rsidR="00B553E1">
        <w:rPr>
          <w:rFonts w:ascii="Bookman Old Style" w:hAnsi="Bookman Old Style"/>
          <w:sz w:val="24"/>
          <w:szCs w:val="24"/>
        </w:rPr>
        <w:t xml:space="preserve"> December, 2008.  A further ex parte order was obtained in the Supreme Court on 12</w:t>
      </w:r>
      <w:r w:rsidR="00B553E1" w:rsidRPr="00B553E1">
        <w:rPr>
          <w:rFonts w:ascii="Bookman Old Style" w:hAnsi="Bookman Old Style"/>
          <w:sz w:val="24"/>
          <w:szCs w:val="24"/>
          <w:vertAlign w:val="superscript"/>
        </w:rPr>
        <w:t>th</w:t>
      </w:r>
      <w:r w:rsidR="00B553E1">
        <w:rPr>
          <w:rFonts w:ascii="Bookman Old Style" w:hAnsi="Bookman Old Style"/>
          <w:sz w:val="24"/>
          <w:szCs w:val="24"/>
        </w:rPr>
        <w:t xml:space="preserve"> February, 2009 and was later confirmed on 23</w:t>
      </w:r>
      <w:r w:rsidR="00B553E1" w:rsidRPr="00B553E1">
        <w:rPr>
          <w:rFonts w:ascii="Bookman Old Style" w:hAnsi="Bookman Old Style"/>
          <w:sz w:val="24"/>
          <w:szCs w:val="24"/>
          <w:vertAlign w:val="superscript"/>
        </w:rPr>
        <w:t>rd</w:t>
      </w:r>
      <w:r w:rsidR="00B553E1">
        <w:rPr>
          <w:rFonts w:ascii="Bookman Old Style" w:hAnsi="Bookman Old Style"/>
          <w:sz w:val="24"/>
          <w:szCs w:val="24"/>
        </w:rPr>
        <w:t xml:space="preserve"> March, 2009.  During this period, the Plaintiff retained possession and control of the company.  The Defendant’s receivers only took possession of the charged property in November, 2010.  This was the third time the Plaintiff was seeking an application for </w:t>
      </w:r>
      <w:r w:rsidR="0000182A">
        <w:rPr>
          <w:rFonts w:ascii="Bookman Old Style" w:hAnsi="Bookman Old Style"/>
          <w:sz w:val="24"/>
          <w:szCs w:val="24"/>
        </w:rPr>
        <w:t xml:space="preserve">an </w:t>
      </w:r>
      <w:r w:rsidR="00B553E1">
        <w:rPr>
          <w:rFonts w:ascii="Bookman Old Style" w:hAnsi="Bookman Old Style"/>
          <w:sz w:val="24"/>
          <w:szCs w:val="24"/>
        </w:rPr>
        <w:t xml:space="preserve">injunction over the same subject matter before the High Court and she verily believed that this application was an abuse of court process as the matter was </w:t>
      </w:r>
      <w:r w:rsidR="00B553E1" w:rsidRPr="00B553E1">
        <w:rPr>
          <w:rFonts w:ascii="Bookman Old Style" w:hAnsi="Bookman Old Style"/>
          <w:i/>
          <w:sz w:val="24"/>
          <w:szCs w:val="24"/>
        </w:rPr>
        <w:t>res judicata</w:t>
      </w:r>
      <w:r w:rsidR="00B553E1">
        <w:rPr>
          <w:rFonts w:ascii="Bookman Old Style" w:hAnsi="Bookman Old Style"/>
          <w:i/>
          <w:sz w:val="24"/>
          <w:szCs w:val="24"/>
        </w:rPr>
        <w:t xml:space="preserve"> </w:t>
      </w:r>
      <w:r w:rsidR="00B553E1">
        <w:rPr>
          <w:rFonts w:ascii="Bookman Old Style" w:hAnsi="Bookman Old Style"/>
          <w:sz w:val="24"/>
          <w:szCs w:val="24"/>
        </w:rPr>
        <w:t>and it would cause chaos in the administration of justice.</w:t>
      </w:r>
    </w:p>
    <w:p w:rsidR="00B553E1" w:rsidRDefault="00B553E1" w:rsidP="00BD4763">
      <w:pPr>
        <w:spacing w:line="360" w:lineRule="auto"/>
        <w:jc w:val="both"/>
        <w:rPr>
          <w:rFonts w:ascii="Bookman Old Style" w:hAnsi="Bookman Old Style"/>
          <w:sz w:val="24"/>
          <w:szCs w:val="24"/>
        </w:rPr>
      </w:pPr>
      <w:r>
        <w:rPr>
          <w:rFonts w:ascii="Bookman Old Style" w:hAnsi="Bookman Old Style"/>
          <w:sz w:val="24"/>
          <w:szCs w:val="24"/>
        </w:rPr>
        <w:t xml:space="preserve">Top Star </w:t>
      </w:r>
      <w:r w:rsidR="0000182A">
        <w:rPr>
          <w:rFonts w:ascii="Bookman Old Style" w:hAnsi="Bookman Old Style"/>
          <w:sz w:val="24"/>
          <w:szCs w:val="24"/>
        </w:rPr>
        <w:t>B</w:t>
      </w:r>
      <w:r>
        <w:rPr>
          <w:rFonts w:ascii="Bookman Old Style" w:hAnsi="Bookman Old Style"/>
          <w:sz w:val="24"/>
          <w:szCs w:val="24"/>
        </w:rPr>
        <w:t>reweries Limited (In Receivership) had not serviced the restructured loan facility of K2,740,234,728.73 due as at 5</w:t>
      </w:r>
      <w:r w:rsidRPr="00B553E1">
        <w:rPr>
          <w:rFonts w:ascii="Bookman Old Style" w:hAnsi="Bookman Old Style"/>
          <w:sz w:val="24"/>
          <w:szCs w:val="24"/>
          <w:vertAlign w:val="superscript"/>
        </w:rPr>
        <w:t>th</w:t>
      </w:r>
      <w:r>
        <w:rPr>
          <w:rFonts w:ascii="Bookman Old Style" w:hAnsi="Bookman Old Style"/>
          <w:sz w:val="24"/>
          <w:szCs w:val="24"/>
        </w:rPr>
        <w:t xml:space="preserve"> October, 2007 in spite of having injunction orders and stays in place restraining the receivers and the Defendant.  The Plaintiff had not fully disclosed to the court all the facts relating to the matter and that since the matter arose out of a loan/credit agreement with stipulated figures in monetary terms</w:t>
      </w:r>
      <w:r w:rsidR="0000182A">
        <w:rPr>
          <w:rFonts w:ascii="Bookman Old Style" w:hAnsi="Bookman Old Style"/>
          <w:sz w:val="24"/>
          <w:szCs w:val="24"/>
        </w:rPr>
        <w:t>,</w:t>
      </w:r>
      <w:r>
        <w:rPr>
          <w:rFonts w:ascii="Bookman Old Style" w:hAnsi="Bookman Old Style"/>
          <w:sz w:val="24"/>
          <w:szCs w:val="24"/>
        </w:rPr>
        <w:t xml:space="preserve"> damages were an adequate remedy as they could be quantified.</w:t>
      </w:r>
    </w:p>
    <w:p w:rsidR="00B553E1" w:rsidRDefault="00B553E1" w:rsidP="00BD4763">
      <w:pPr>
        <w:spacing w:line="360" w:lineRule="auto"/>
        <w:jc w:val="both"/>
        <w:rPr>
          <w:rFonts w:ascii="Bookman Old Style" w:hAnsi="Bookman Old Style"/>
          <w:sz w:val="24"/>
          <w:szCs w:val="24"/>
        </w:rPr>
      </w:pPr>
      <w:r>
        <w:rPr>
          <w:rFonts w:ascii="Bookman Old Style" w:hAnsi="Bookman Old Style"/>
          <w:sz w:val="24"/>
          <w:szCs w:val="24"/>
        </w:rPr>
        <w:t xml:space="preserve">In his </w:t>
      </w:r>
      <w:r w:rsidR="000037A1">
        <w:rPr>
          <w:rFonts w:ascii="Bookman Old Style" w:hAnsi="Bookman Old Style"/>
          <w:sz w:val="24"/>
          <w:szCs w:val="24"/>
        </w:rPr>
        <w:t>affidavit</w:t>
      </w:r>
      <w:r>
        <w:rPr>
          <w:rFonts w:ascii="Bookman Old Style" w:hAnsi="Bookman Old Style"/>
          <w:sz w:val="24"/>
          <w:szCs w:val="24"/>
        </w:rPr>
        <w:t xml:space="preserve"> in reply which was filed on 21</w:t>
      </w:r>
      <w:r w:rsidRPr="00B553E1">
        <w:rPr>
          <w:rFonts w:ascii="Bookman Old Style" w:hAnsi="Bookman Old Style"/>
          <w:sz w:val="24"/>
          <w:szCs w:val="24"/>
          <w:vertAlign w:val="superscript"/>
        </w:rPr>
        <w:t>st</w:t>
      </w:r>
      <w:r>
        <w:rPr>
          <w:rFonts w:ascii="Bookman Old Style" w:hAnsi="Bookman Old Style"/>
          <w:sz w:val="24"/>
          <w:szCs w:val="24"/>
        </w:rPr>
        <w:t xml:space="preserve"> February, 2011, the Plaintiff </w:t>
      </w:r>
      <w:r w:rsidR="000037A1">
        <w:rPr>
          <w:rFonts w:ascii="Bookman Old Style" w:hAnsi="Bookman Old Style"/>
          <w:sz w:val="24"/>
          <w:szCs w:val="24"/>
        </w:rPr>
        <w:t>s</w:t>
      </w:r>
      <w:r w:rsidR="0000182A">
        <w:rPr>
          <w:rFonts w:ascii="Bookman Old Style" w:hAnsi="Bookman Old Style"/>
          <w:sz w:val="24"/>
          <w:szCs w:val="24"/>
        </w:rPr>
        <w:t>t</w:t>
      </w:r>
      <w:r w:rsidR="000037A1">
        <w:rPr>
          <w:rFonts w:ascii="Bookman Old Style" w:hAnsi="Bookman Old Style"/>
          <w:sz w:val="24"/>
          <w:szCs w:val="24"/>
        </w:rPr>
        <w:t>ated</w:t>
      </w:r>
      <w:r>
        <w:rPr>
          <w:rFonts w:ascii="Bookman Old Style" w:hAnsi="Bookman Old Style"/>
          <w:sz w:val="24"/>
          <w:szCs w:val="24"/>
        </w:rPr>
        <w:t xml:space="preserve"> that paragraph 6 (b) of the fixed charge made provision for the receiver to carry on and manage the business until the debt was repaid.  He was ready to </w:t>
      </w:r>
      <w:r w:rsidR="000037A1">
        <w:rPr>
          <w:rFonts w:ascii="Bookman Old Style" w:hAnsi="Bookman Old Style"/>
          <w:sz w:val="24"/>
          <w:szCs w:val="24"/>
        </w:rPr>
        <w:t>work</w:t>
      </w:r>
      <w:r>
        <w:rPr>
          <w:rFonts w:ascii="Bookman Old Style" w:hAnsi="Bookman Old Style"/>
          <w:sz w:val="24"/>
          <w:szCs w:val="24"/>
        </w:rPr>
        <w:t xml:space="preserve"> with the receivers to manage the business.  He disputed the sum of K2,740,234,728.73 as being due because it was inclusive of K875,000,000.00 which had been charged twice in the bank statement.</w:t>
      </w:r>
    </w:p>
    <w:p w:rsidR="00B553E1" w:rsidRDefault="00B553E1" w:rsidP="00BD4763">
      <w:pPr>
        <w:spacing w:line="360" w:lineRule="auto"/>
        <w:jc w:val="both"/>
        <w:rPr>
          <w:rFonts w:ascii="Bookman Old Style" w:hAnsi="Bookman Old Style"/>
          <w:sz w:val="24"/>
          <w:szCs w:val="24"/>
        </w:rPr>
      </w:pPr>
      <w:r>
        <w:rPr>
          <w:rFonts w:ascii="Bookman Old Style" w:hAnsi="Bookman Old Style"/>
          <w:sz w:val="24"/>
          <w:szCs w:val="24"/>
        </w:rPr>
        <w:t xml:space="preserve">The restructuring of the facility was subject to the execution of relevant security documents as provided by Clause </w:t>
      </w:r>
      <w:r w:rsidR="000037A1">
        <w:rPr>
          <w:rFonts w:ascii="Bookman Old Style" w:hAnsi="Bookman Old Style"/>
          <w:sz w:val="24"/>
          <w:szCs w:val="24"/>
        </w:rPr>
        <w:t xml:space="preserve">10.2 of the </w:t>
      </w:r>
      <w:r w:rsidR="0000182A">
        <w:rPr>
          <w:rFonts w:ascii="Bookman Old Style" w:hAnsi="Bookman Old Style"/>
          <w:sz w:val="24"/>
          <w:szCs w:val="24"/>
        </w:rPr>
        <w:t>C</w:t>
      </w:r>
      <w:r w:rsidR="000037A1">
        <w:rPr>
          <w:rFonts w:ascii="Bookman Old Style" w:hAnsi="Bookman Old Style"/>
          <w:sz w:val="24"/>
          <w:szCs w:val="24"/>
        </w:rPr>
        <w:t xml:space="preserve">redit </w:t>
      </w:r>
      <w:r w:rsidR="0000182A">
        <w:rPr>
          <w:rFonts w:ascii="Bookman Old Style" w:hAnsi="Bookman Old Style"/>
          <w:sz w:val="24"/>
          <w:szCs w:val="24"/>
        </w:rPr>
        <w:t>F</w:t>
      </w:r>
      <w:r w:rsidR="000037A1">
        <w:rPr>
          <w:rFonts w:ascii="Bookman Old Style" w:hAnsi="Bookman Old Style"/>
          <w:sz w:val="24"/>
          <w:szCs w:val="24"/>
        </w:rPr>
        <w:t xml:space="preserve">acility </w:t>
      </w:r>
      <w:r w:rsidR="0000182A">
        <w:rPr>
          <w:rFonts w:ascii="Bookman Old Style" w:hAnsi="Bookman Old Style"/>
          <w:sz w:val="24"/>
          <w:szCs w:val="24"/>
        </w:rPr>
        <w:t>L</w:t>
      </w:r>
      <w:r w:rsidR="000037A1">
        <w:rPr>
          <w:rFonts w:ascii="Bookman Old Style" w:hAnsi="Bookman Old Style"/>
          <w:sz w:val="24"/>
          <w:szCs w:val="24"/>
        </w:rPr>
        <w:t xml:space="preserve">etter.  </w:t>
      </w:r>
      <w:r w:rsidR="000037A1">
        <w:rPr>
          <w:rFonts w:ascii="Bookman Old Style" w:hAnsi="Bookman Old Style"/>
          <w:sz w:val="24"/>
          <w:szCs w:val="24"/>
        </w:rPr>
        <w:lastRenderedPageBreak/>
        <w:t>Since no security documents were ever executed, the provisions of the credit facility letter could not be implemented.  The appointment of the receivers on 22</w:t>
      </w:r>
      <w:r w:rsidR="000037A1" w:rsidRPr="000037A1">
        <w:rPr>
          <w:rFonts w:ascii="Bookman Old Style" w:hAnsi="Bookman Old Style"/>
          <w:sz w:val="24"/>
          <w:szCs w:val="24"/>
          <w:vertAlign w:val="superscript"/>
        </w:rPr>
        <w:t>nd</w:t>
      </w:r>
      <w:r w:rsidR="000037A1">
        <w:rPr>
          <w:rFonts w:ascii="Bookman Old Style" w:hAnsi="Bookman Old Style"/>
          <w:sz w:val="24"/>
          <w:szCs w:val="24"/>
        </w:rPr>
        <w:t xml:space="preserve"> October, 2007 was highly irregular as the appointment was effected pursuant to a debenture allegedly dated 28</w:t>
      </w:r>
      <w:r w:rsidR="000037A1" w:rsidRPr="000037A1">
        <w:rPr>
          <w:rFonts w:ascii="Bookman Old Style" w:hAnsi="Bookman Old Style"/>
          <w:sz w:val="24"/>
          <w:szCs w:val="24"/>
          <w:vertAlign w:val="superscript"/>
        </w:rPr>
        <w:t>th</w:t>
      </w:r>
      <w:r w:rsidR="000037A1">
        <w:rPr>
          <w:rFonts w:ascii="Bookman Old Style" w:hAnsi="Bookman Old Style"/>
          <w:sz w:val="24"/>
          <w:szCs w:val="24"/>
        </w:rPr>
        <w:t xml:space="preserve"> June, 2005 which had neither been registered.   He reasonably believed that the debenture did not exist and that was why the Defendant had failed to exhibit it.  Further, the Credit Facility Letter provided in Clause 4 for a repayment period of 60 monthly instalments with a grace period of two months.  The Defendant appointed receivers over the security before even the two months grace period expired.</w:t>
      </w:r>
    </w:p>
    <w:p w:rsidR="000037A1" w:rsidRDefault="000037A1" w:rsidP="00BD4763">
      <w:pPr>
        <w:spacing w:line="360" w:lineRule="auto"/>
        <w:jc w:val="both"/>
        <w:rPr>
          <w:rFonts w:ascii="Bookman Old Style" w:hAnsi="Bookman Old Style"/>
          <w:sz w:val="24"/>
          <w:szCs w:val="24"/>
        </w:rPr>
      </w:pPr>
      <w:r>
        <w:rPr>
          <w:rFonts w:ascii="Bookman Old Style" w:hAnsi="Bookman Old Style"/>
          <w:sz w:val="24"/>
          <w:szCs w:val="24"/>
        </w:rPr>
        <w:t>In so far as the execut</w:t>
      </w:r>
      <w:r w:rsidR="00454177">
        <w:rPr>
          <w:rFonts w:ascii="Bookman Old Style" w:hAnsi="Bookman Old Style"/>
          <w:sz w:val="24"/>
          <w:szCs w:val="24"/>
        </w:rPr>
        <w:t xml:space="preserve">ions </w:t>
      </w:r>
      <w:r>
        <w:rPr>
          <w:rFonts w:ascii="Bookman Old Style" w:hAnsi="Bookman Old Style"/>
          <w:sz w:val="24"/>
          <w:szCs w:val="24"/>
        </w:rPr>
        <w:t>were concerned, there was no risk to the security as the Defendant was secured by way of a fixed charge and its interests took priority over all other creditors.  He was extremely concerned that if the Defendant was allowed to proceed with the sale of the brewery plant, the sale would be premised on the wrong figure of K2,740,234,728.73 and also on the irregular and premature appointment of the receivers.</w:t>
      </w:r>
    </w:p>
    <w:p w:rsidR="000037A1" w:rsidRDefault="000037A1" w:rsidP="00BD4763">
      <w:pPr>
        <w:spacing w:line="360" w:lineRule="auto"/>
        <w:jc w:val="both"/>
        <w:rPr>
          <w:rFonts w:ascii="Bookman Old Style" w:hAnsi="Bookman Old Style"/>
          <w:sz w:val="24"/>
          <w:szCs w:val="24"/>
        </w:rPr>
      </w:pPr>
      <w:r>
        <w:rPr>
          <w:rFonts w:ascii="Bookman Old Style" w:hAnsi="Bookman Old Style"/>
          <w:sz w:val="24"/>
          <w:szCs w:val="24"/>
        </w:rPr>
        <w:t xml:space="preserve">I am grateful to both Counsel for their submissions on whether or not the injunction should be granted, principles regarding injunctions and the authorities which are now legion.  It is also now </w:t>
      </w:r>
      <w:r w:rsidR="00B12989">
        <w:rPr>
          <w:rFonts w:ascii="Bookman Old Style" w:hAnsi="Bookman Old Style"/>
          <w:sz w:val="24"/>
          <w:szCs w:val="24"/>
        </w:rPr>
        <w:t xml:space="preserve">not uncommon as will be observed from the summary given above that there is a tendency to argue the merits of the case at the injunction stage.  Although it is tempting to do so, the principles regarding injunctions do not allow the parties to do so.  The parties therefore must confine themselves </w:t>
      </w:r>
      <w:r w:rsidR="0000182A">
        <w:rPr>
          <w:rFonts w:ascii="Bookman Old Style" w:hAnsi="Bookman Old Style"/>
          <w:sz w:val="24"/>
          <w:szCs w:val="24"/>
        </w:rPr>
        <w:t xml:space="preserve">to the </w:t>
      </w:r>
      <w:r w:rsidR="00B12989">
        <w:rPr>
          <w:rFonts w:ascii="Bookman Old Style" w:hAnsi="Bookman Old Style"/>
          <w:sz w:val="24"/>
          <w:szCs w:val="24"/>
        </w:rPr>
        <w:t>injunction.</w:t>
      </w:r>
    </w:p>
    <w:p w:rsidR="00B12989" w:rsidRDefault="00B12989" w:rsidP="00BD4763">
      <w:pPr>
        <w:spacing w:line="360" w:lineRule="auto"/>
        <w:jc w:val="both"/>
        <w:rPr>
          <w:rFonts w:ascii="Bookman Old Style" w:hAnsi="Bookman Old Style"/>
          <w:sz w:val="24"/>
          <w:szCs w:val="24"/>
        </w:rPr>
      </w:pPr>
      <w:r>
        <w:rPr>
          <w:rFonts w:ascii="Bookman Old Style" w:hAnsi="Bookman Old Style"/>
          <w:sz w:val="24"/>
          <w:szCs w:val="24"/>
        </w:rPr>
        <w:t xml:space="preserve">Given the background relating to this application, I am of the view that I should first deal with the issue of </w:t>
      </w:r>
      <w:r w:rsidRPr="00B12989">
        <w:rPr>
          <w:rFonts w:ascii="Bookman Old Style" w:hAnsi="Bookman Old Style"/>
          <w:i/>
          <w:sz w:val="24"/>
          <w:szCs w:val="24"/>
        </w:rPr>
        <w:t>res judicata</w:t>
      </w:r>
      <w:r>
        <w:rPr>
          <w:rFonts w:ascii="Bookman Old Style" w:hAnsi="Bookman Old Style"/>
          <w:sz w:val="24"/>
          <w:szCs w:val="24"/>
        </w:rPr>
        <w:t xml:space="preserve"> which was raised by the Defendant.  The law relating to res judicata has been well explained by both the Supreme Court and the High Court in Zambia.</w:t>
      </w:r>
    </w:p>
    <w:p w:rsidR="00B12989" w:rsidRDefault="00B12989" w:rsidP="00B12989">
      <w:pPr>
        <w:spacing w:line="360" w:lineRule="auto"/>
        <w:jc w:val="both"/>
        <w:rPr>
          <w:rFonts w:ascii="Bookman Old Style" w:hAnsi="Bookman Old Style"/>
          <w:sz w:val="24"/>
          <w:szCs w:val="24"/>
        </w:rPr>
      </w:pPr>
      <w:r>
        <w:rPr>
          <w:rFonts w:ascii="Bookman Old Style" w:hAnsi="Bookman Old Style"/>
          <w:sz w:val="24"/>
          <w:szCs w:val="24"/>
        </w:rPr>
        <w:t xml:space="preserve">In </w:t>
      </w:r>
      <w:r w:rsidRPr="005E2401">
        <w:rPr>
          <w:rFonts w:ascii="Bookman Old Style" w:hAnsi="Bookman Old Style"/>
          <w:b/>
          <w:i/>
          <w:sz w:val="24"/>
          <w:szCs w:val="24"/>
          <w:u w:val="single"/>
        </w:rPr>
        <w:t>ANZ Grindlays Bank (Z) Limited V. Chrispin Kaoma</w:t>
      </w:r>
      <w:r w:rsidRPr="005E2401">
        <w:rPr>
          <w:rFonts w:ascii="Bookman Old Style" w:hAnsi="Bookman Old Style"/>
          <w:b/>
          <w:i/>
          <w:sz w:val="24"/>
          <w:szCs w:val="24"/>
        </w:rPr>
        <w:t xml:space="preserve"> (1</w:t>
      </w:r>
      <w:r w:rsidR="005E2401" w:rsidRPr="005E2401">
        <w:rPr>
          <w:rFonts w:ascii="Bookman Old Style" w:hAnsi="Bookman Old Style"/>
          <w:b/>
          <w:i/>
          <w:sz w:val="24"/>
          <w:szCs w:val="24"/>
        </w:rPr>
        <w:t>)</w:t>
      </w:r>
      <w:r w:rsidR="005E2401">
        <w:rPr>
          <w:rFonts w:ascii="Bookman Old Style" w:hAnsi="Bookman Old Style"/>
          <w:b/>
          <w:sz w:val="24"/>
          <w:szCs w:val="24"/>
        </w:rPr>
        <w:t xml:space="preserve"> </w:t>
      </w:r>
      <w:r>
        <w:rPr>
          <w:rFonts w:ascii="Bookman Old Style" w:hAnsi="Bookman Old Style"/>
          <w:sz w:val="24"/>
          <w:szCs w:val="24"/>
        </w:rPr>
        <w:t xml:space="preserve">the Supreme Court held that in order for the defence of </w:t>
      </w:r>
      <w:r w:rsidRPr="00B12989">
        <w:rPr>
          <w:rFonts w:ascii="Bookman Old Style" w:hAnsi="Bookman Old Style"/>
          <w:i/>
          <w:sz w:val="24"/>
          <w:szCs w:val="24"/>
        </w:rPr>
        <w:t>res judicata</w:t>
      </w:r>
      <w:r>
        <w:rPr>
          <w:rFonts w:ascii="Bookman Old Style" w:hAnsi="Bookman Old Style"/>
          <w:sz w:val="24"/>
          <w:szCs w:val="24"/>
        </w:rPr>
        <w:t xml:space="preserve"> to succeed, it is necessary to show not only that the cause of action was the same but also that </w:t>
      </w:r>
      <w:r>
        <w:rPr>
          <w:rFonts w:ascii="Bookman Old Style" w:hAnsi="Bookman Old Style"/>
          <w:sz w:val="24"/>
          <w:szCs w:val="24"/>
        </w:rPr>
        <w:lastRenderedPageBreak/>
        <w:t>the Plaintiff has had no opportunity of recovering in the first action that which he hopes to recover in the second.</w:t>
      </w:r>
    </w:p>
    <w:p w:rsidR="00B12989" w:rsidRDefault="00B12989" w:rsidP="00B12989">
      <w:pPr>
        <w:spacing w:line="360" w:lineRule="auto"/>
        <w:rPr>
          <w:rFonts w:ascii="Bookman Old Style" w:hAnsi="Bookman Old Style"/>
          <w:sz w:val="24"/>
          <w:szCs w:val="24"/>
        </w:rPr>
      </w:pPr>
      <w:r w:rsidRPr="005E2401">
        <w:rPr>
          <w:rFonts w:ascii="Bookman Old Style" w:hAnsi="Bookman Old Style"/>
          <w:sz w:val="24"/>
          <w:szCs w:val="24"/>
        </w:rPr>
        <w:t>In</w:t>
      </w:r>
      <w:r w:rsidRPr="00E11967">
        <w:rPr>
          <w:rFonts w:ascii="Bookman Old Style" w:hAnsi="Bookman Old Style"/>
          <w:b/>
          <w:i/>
          <w:sz w:val="24"/>
          <w:szCs w:val="24"/>
        </w:rPr>
        <w:t xml:space="preserve"> </w:t>
      </w:r>
      <w:r w:rsidRPr="00007700">
        <w:rPr>
          <w:rFonts w:ascii="Bookman Old Style" w:hAnsi="Bookman Old Style"/>
          <w:b/>
          <w:i/>
          <w:sz w:val="24"/>
          <w:szCs w:val="24"/>
          <w:u w:val="single"/>
        </w:rPr>
        <w:t>Musakanya and Anor V. Attorney General</w:t>
      </w:r>
      <w:r w:rsidR="00007700">
        <w:rPr>
          <w:rFonts w:ascii="Bookman Old Style" w:hAnsi="Bookman Old Style"/>
          <w:b/>
          <w:i/>
          <w:sz w:val="24"/>
          <w:szCs w:val="24"/>
        </w:rPr>
        <w:t xml:space="preserve"> </w:t>
      </w:r>
      <w:r w:rsidRPr="00E11967">
        <w:rPr>
          <w:rFonts w:ascii="Bookman Old Style" w:hAnsi="Bookman Old Style"/>
          <w:b/>
          <w:i/>
          <w:sz w:val="24"/>
          <w:szCs w:val="24"/>
        </w:rPr>
        <w:t>(</w:t>
      </w:r>
      <w:r w:rsidR="00007700">
        <w:rPr>
          <w:rFonts w:ascii="Bookman Old Style" w:hAnsi="Bookman Old Style"/>
          <w:b/>
          <w:i/>
          <w:sz w:val="24"/>
          <w:szCs w:val="24"/>
        </w:rPr>
        <w:t>2)</w:t>
      </w:r>
      <w:r w:rsidR="00007700">
        <w:rPr>
          <w:rFonts w:ascii="Bookman Old Style" w:hAnsi="Bookman Old Style"/>
          <w:sz w:val="24"/>
          <w:szCs w:val="24"/>
        </w:rPr>
        <w:t>,</w:t>
      </w:r>
      <w:r>
        <w:rPr>
          <w:rFonts w:ascii="Bookman Old Style" w:hAnsi="Bookman Old Style"/>
          <w:sz w:val="24"/>
          <w:szCs w:val="24"/>
        </w:rPr>
        <w:t xml:space="preserve"> Chirwa J. (as he then was) stated the law on res judicata in the following terms at page 225:</w:t>
      </w:r>
    </w:p>
    <w:p w:rsidR="000037A1" w:rsidRPr="00E11967" w:rsidRDefault="00B12989" w:rsidP="005E2401">
      <w:pPr>
        <w:spacing w:line="360" w:lineRule="auto"/>
        <w:ind w:left="720"/>
        <w:jc w:val="both"/>
        <w:rPr>
          <w:rFonts w:ascii="Bookman Old Style" w:hAnsi="Bookman Old Style"/>
          <w:b/>
          <w:i/>
          <w:sz w:val="24"/>
          <w:szCs w:val="24"/>
        </w:rPr>
      </w:pPr>
      <w:r w:rsidRPr="00E11967">
        <w:rPr>
          <w:rFonts w:ascii="Bookman Old Style" w:hAnsi="Bookman Old Style"/>
          <w:b/>
          <w:i/>
          <w:sz w:val="24"/>
          <w:szCs w:val="24"/>
        </w:rPr>
        <w:t xml:space="preserve">“the law on estoppels or res judicata is very clear as </w:t>
      </w:r>
      <w:r w:rsidR="00CF24A4" w:rsidRPr="00E11967">
        <w:rPr>
          <w:rFonts w:ascii="Bookman Old Style" w:hAnsi="Bookman Old Style"/>
          <w:b/>
          <w:i/>
          <w:sz w:val="24"/>
          <w:szCs w:val="24"/>
        </w:rPr>
        <w:t>stated</w:t>
      </w:r>
      <w:r w:rsidRPr="00E11967">
        <w:rPr>
          <w:rFonts w:ascii="Bookman Old Style" w:hAnsi="Bookman Old Style"/>
          <w:b/>
          <w:i/>
          <w:sz w:val="24"/>
          <w:szCs w:val="24"/>
        </w:rPr>
        <w:t xml:space="preserve"> in </w:t>
      </w:r>
      <w:r w:rsidR="005E2401">
        <w:rPr>
          <w:rFonts w:ascii="Bookman Old Style" w:hAnsi="Bookman Old Style"/>
          <w:b/>
          <w:i/>
          <w:sz w:val="24"/>
          <w:szCs w:val="24"/>
        </w:rPr>
        <w:t>H</w:t>
      </w:r>
      <w:r w:rsidRPr="00E11967">
        <w:rPr>
          <w:rFonts w:ascii="Bookman Old Style" w:hAnsi="Bookman Old Style"/>
          <w:b/>
          <w:i/>
          <w:sz w:val="24"/>
          <w:szCs w:val="24"/>
        </w:rPr>
        <w:t xml:space="preserve">alsbury’s Laws of </w:t>
      </w:r>
      <w:r w:rsidR="00CF24A4" w:rsidRPr="00E11967">
        <w:rPr>
          <w:rFonts w:ascii="Bookman Old Style" w:hAnsi="Bookman Old Style"/>
          <w:b/>
          <w:i/>
          <w:sz w:val="24"/>
          <w:szCs w:val="24"/>
        </w:rPr>
        <w:t>England</w:t>
      </w:r>
      <w:r w:rsidRPr="00E11967">
        <w:rPr>
          <w:rFonts w:ascii="Bookman Old Style" w:hAnsi="Bookman Old Style"/>
          <w:b/>
          <w:i/>
          <w:sz w:val="24"/>
          <w:szCs w:val="24"/>
        </w:rPr>
        <w:t xml:space="preserve"> Vol. 16, 4</w:t>
      </w:r>
      <w:r w:rsidRPr="00E11967">
        <w:rPr>
          <w:rFonts w:ascii="Bookman Old Style" w:hAnsi="Bookman Old Style"/>
          <w:b/>
          <w:i/>
          <w:sz w:val="24"/>
          <w:szCs w:val="24"/>
          <w:vertAlign w:val="superscript"/>
        </w:rPr>
        <w:t>th</w:t>
      </w:r>
      <w:r w:rsidRPr="00E11967">
        <w:rPr>
          <w:rFonts w:ascii="Bookman Old Style" w:hAnsi="Bookman Old Style"/>
          <w:b/>
          <w:i/>
          <w:sz w:val="24"/>
          <w:szCs w:val="24"/>
        </w:rPr>
        <w:t xml:space="preserve"> Edition, at page 1027 and </w:t>
      </w:r>
      <w:r w:rsidR="00E11967" w:rsidRPr="00E11967">
        <w:rPr>
          <w:rFonts w:ascii="Bookman Old Style" w:hAnsi="Bookman Old Style"/>
          <w:b/>
          <w:i/>
          <w:sz w:val="24"/>
          <w:szCs w:val="24"/>
        </w:rPr>
        <w:t>in fact</w:t>
      </w:r>
      <w:r w:rsidRPr="00E11967">
        <w:rPr>
          <w:rFonts w:ascii="Bookman Old Style" w:hAnsi="Bookman Old Style"/>
          <w:b/>
          <w:i/>
          <w:sz w:val="24"/>
          <w:szCs w:val="24"/>
        </w:rPr>
        <w:t xml:space="preserve"> Lord Denning M-R, put it this way in the case of </w:t>
      </w:r>
      <w:r w:rsidRPr="005E2401">
        <w:rPr>
          <w:rFonts w:ascii="Bookman Old Style" w:hAnsi="Bookman Old Style"/>
          <w:b/>
          <w:i/>
          <w:sz w:val="24"/>
          <w:szCs w:val="24"/>
          <w:u w:val="single"/>
        </w:rPr>
        <w:t>Fidelitas Shipping v. VV/O Exportchles</w:t>
      </w:r>
      <w:r w:rsidRPr="002E0C2E">
        <w:rPr>
          <w:rFonts w:ascii="Bookman Old Style" w:hAnsi="Bookman Old Style"/>
          <w:b/>
          <w:i/>
          <w:sz w:val="24"/>
          <w:szCs w:val="24"/>
        </w:rPr>
        <w:t xml:space="preserve"> </w:t>
      </w:r>
      <w:r w:rsidR="002E0C2E" w:rsidRPr="002E0C2E">
        <w:rPr>
          <w:rFonts w:ascii="Bookman Old Style" w:hAnsi="Bookman Old Style"/>
          <w:b/>
          <w:i/>
          <w:sz w:val="24"/>
          <w:szCs w:val="24"/>
        </w:rPr>
        <w:t xml:space="preserve"> (3) </w:t>
      </w:r>
      <w:r w:rsidRPr="00E11967">
        <w:rPr>
          <w:rFonts w:ascii="Bookman Old Style" w:hAnsi="Bookman Old Style"/>
          <w:b/>
          <w:i/>
          <w:sz w:val="24"/>
          <w:szCs w:val="24"/>
        </w:rPr>
        <w:t>at page 8:</w:t>
      </w:r>
    </w:p>
    <w:p w:rsidR="00B12989" w:rsidRPr="00E11967" w:rsidRDefault="00CF24A4" w:rsidP="0000182A">
      <w:pPr>
        <w:spacing w:line="360" w:lineRule="auto"/>
        <w:ind w:left="1440"/>
        <w:jc w:val="both"/>
        <w:rPr>
          <w:rFonts w:ascii="Bookman Old Style" w:hAnsi="Bookman Old Style"/>
          <w:b/>
          <w:i/>
          <w:sz w:val="24"/>
          <w:szCs w:val="24"/>
        </w:rPr>
      </w:pPr>
      <w:r w:rsidRPr="00E11967">
        <w:rPr>
          <w:rFonts w:ascii="Bookman Old Style" w:hAnsi="Bookman Old Style"/>
          <w:b/>
          <w:i/>
          <w:sz w:val="24"/>
          <w:szCs w:val="24"/>
        </w:rPr>
        <w:t xml:space="preserve">“…The law as I understand it is this; If a party brings an action </w:t>
      </w:r>
      <w:r w:rsidR="005E2401" w:rsidRPr="00E11967">
        <w:rPr>
          <w:rFonts w:ascii="Bookman Old Style" w:hAnsi="Bookman Old Style"/>
          <w:b/>
          <w:i/>
          <w:sz w:val="24"/>
          <w:szCs w:val="24"/>
        </w:rPr>
        <w:t>against</w:t>
      </w:r>
      <w:r w:rsidRPr="00E11967">
        <w:rPr>
          <w:rFonts w:ascii="Bookman Old Style" w:hAnsi="Bookman Old Style"/>
          <w:b/>
          <w:i/>
          <w:sz w:val="24"/>
          <w:szCs w:val="24"/>
        </w:rPr>
        <w:t xml:space="preserve"> another for a particular cause or and judgment is given on it, there is a strict rule of law that he cannot bring another action </w:t>
      </w:r>
      <w:r w:rsidR="005E2401" w:rsidRPr="00E11967">
        <w:rPr>
          <w:rFonts w:ascii="Bookman Old Style" w:hAnsi="Bookman Old Style"/>
          <w:b/>
          <w:i/>
          <w:sz w:val="24"/>
          <w:szCs w:val="24"/>
        </w:rPr>
        <w:t>against</w:t>
      </w:r>
      <w:r w:rsidRPr="00E11967">
        <w:rPr>
          <w:rFonts w:ascii="Bookman Old Style" w:hAnsi="Bookman Old Style"/>
          <w:b/>
          <w:i/>
          <w:sz w:val="24"/>
          <w:szCs w:val="24"/>
        </w:rPr>
        <w:t xml:space="preserve"> the same party for the </w:t>
      </w:r>
      <w:r w:rsidR="005E2401" w:rsidRPr="00E11967">
        <w:rPr>
          <w:rFonts w:ascii="Bookman Old Style" w:hAnsi="Bookman Old Style"/>
          <w:b/>
          <w:i/>
          <w:sz w:val="24"/>
          <w:szCs w:val="24"/>
        </w:rPr>
        <w:t>same</w:t>
      </w:r>
      <w:r w:rsidRPr="00E11967">
        <w:rPr>
          <w:rFonts w:ascii="Bookman Old Style" w:hAnsi="Bookman Old Style"/>
          <w:b/>
          <w:i/>
          <w:sz w:val="24"/>
          <w:szCs w:val="24"/>
        </w:rPr>
        <w:t xml:space="preserve"> </w:t>
      </w:r>
      <w:r w:rsidR="005E2401" w:rsidRPr="00E11967">
        <w:rPr>
          <w:rFonts w:ascii="Bookman Old Style" w:hAnsi="Bookman Old Style"/>
          <w:b/>
          <w:i/>
          <w:sz w:val="24"/>
          <w:szCs w:val="24"/>
        </w:rPr>
        <w:t>cause</w:t>
      </w:r>
      <w:r w:rsidRPr="00E11967">
        <w:rPr>
          <w:rFonts w:ascii="Bookman Old Style" w:hAnsi="Bookman Old Style"/>
          <w:b/>
          <w:i/>
          <w:sz w:val="24"/>
          <w:szCs w:val="24"/>
        </w:rPr>
        <w:t xml:space="preserve">.  Transit in res judicatam.  But within one </w:t>
      </w:r>
      <w:r w:rsidR="005E2401" w:rsidRPr="00E11967">
        <w:rPr>
          <w:rFonts w:ascii="Bookman Old Style" w:hAnsi="Bookman Old Style"/>
          <w:b/>
          <w:i/>
          <w:sz w:val="24"/>
          <w:szCs w:val="24"/>
        </w:rPr>
        <w:t>cause</w:t>
      </w:r>
      <w:r w:rsidRPr="00E11967">
        <w:rPr>
          <w:rFonts w:ascii="Bookman Old Style" w:hAnsi="Bookman Old Style"/>
          <w:b/>
          <w:i/>
          <w:sz w:val="24"/>
          <w:szCs w:val="24"/>
        </w:rPr>
        <w:t xml:space="preserve"> of action there may be several issues raised </w:t>
      </w:r>
      <w:r w:rsidR="005E2401" w:rsidRPr="00E11967">
        <w:rPr>
          <w:rFonts w:ascii="Bookman Old Style" w:hAnsi="Bookman Old Style"/>
          <w:b/>
          <w:i/>
          <w:sz w:val="24"/>
          <w:szCs w:val="24"/>
        </w:rPr>
        <w:t>which</w:t>
      </w:r>
      <w:r w:rsidRPr="00E11967">
        <w:rPr>
          <w:rFonts w:ascii="Bookman Old Style" w:hAnsi="Bookman Old Style"/>
          <w:b/>
          <w:i/>
          <w:sz w:val="24"/>
          <w:szCs w:val="24"/>
        </w:rPr>
        <w:t xml:space="preserve"> are necessary for the determination of the whole case, the rule is that once an issue has been raised and distinctly determined between the parties, then as a general rule neither party can be allowed to fight that issue all over again.  The same issue cannot be raised by either of them in the same or subsequent proceedings except in special circumstances.”</w:t>
      </w:r>
    </w:p>
    <w:p w:rsidR="00CF24A4" w:rsidRPr="00E11967" w:rsidRDefault="00CF24A4" w:rsidP="003C6912">
      <w:pPr>
        <w:spacing w:line="360" w:lineRule="auto"/>
        <w:ind w:left="1440"/>
        <w:jc w:val="both"/>
        <w:rPr>
          <w:rFonts w:ascii="Bookman Old Style" w:hAnsi="Bookman Old Style"/>
          <w:b/>
          <w:i/>
          <w:sz w:val="24"/>
          <w:szCs w:val="24"/>
        </w:rPr>
      </w:pPr>
      <w:r w:rsidRPr="00E11967">
        <w:rPr>
          <w:rFonts w:ascii="Bookman Old Style" w:hAnsi="Bookman Old Style"/>
          <w:b/>
          <w:i/>
          <w:sz w:val="24"/>
          <w:szCs w:val="24"/>
        </w:rPr>
        <w:t>I agree with Denning M.R. in (1) quoted above that this res judicata is a strict rule of law and the parties are bound by any decision made by a competent court.  I do not agree that courts have discretion on these issues.”</w:t>
      </w:r>
    </w:p>
    <w:p w:rsidR="00CF24A4" w:rsidRPr="00E11967" w:rsidRDefault="00CF24A4" w:rsidP="005E2401">
      <w:pPr>
        <w:spacing w:line="360" w:lineRule="auto"/>
        <w:ind w:left="720"/>
        <w:jc w:val="both"/>
        <w:rPr>
          <w:rFonts w:ascii="Bookman Old Style" w:hAnsi="Bookman Old Style"/>
          <w:b/>
          <w:i/>
          <w:sz w:val="24"/>
          <w:szCs w:val="24"/>
        </w:rPr>
      </w:pPr>
      <w:r w:rsidRPr="00E11967">
        <w:rPr>
          <w:rFonts w:ascii="Bookman Old Style" w:hAnsi="Bookman Old Style"/>
          <w:b/>
          <w:i/>
          <w:sz w:val="24"/>
          <w:szCs w:val="24"/>
        </w:rPr>
        <w:t xml:space="preserve">In </w:t>
      </w:r>
      <w:r w:rsidRPr="005E2401">
        <w:rPr>
          <w:rFonts w:ascii="Bookman Old Style" w:hAnsi="Bookman Old Style"/>
          <w:b/>
          <w:i/>
          <w:sz w:val="24"/>
          <w:szCs w:val="24"/>
          <w:u w:val="single"/>
        </w:rPr>
        <w:t>Bank of Zambia v. Tembo and Others</w:t>
      </w:r>
      <w:r w:rsidRPr="002E0C2E">
        <w:rPr>
          <w:rFonts w:ascii="Bookman Old Style" w:hAnsi="Bookman Old Style"/>
          <w:b/>
          <w:i/>
          <w:sz w:val="24"/>
          <w:szCs w:val="24"/>
        </w:rPr>
        <w:t xml:space="preserve"> (</w:t>
      </w:r>
      <w:r w:rsidR="002E0C2E" w:rsidRPr="002E0C2E">
        <w:rPr>
          <w:rFonts w:ascii="Bookman Old Style" w:hAnsi="Bookman Old Style"/>
          <w:b/>
          <w:i/>
          <w:sz w:val="24"/>
          <w:szCs w:val="24"/>
        </w:rPr>
        <w:t xml:space="preserve">4) </w:t>
      </w:r>
      <w:r w:rsidRPr="00E11967">
        <w:rPr>
          <w:rFonts w:ascii="Bookman Old Style" w:hAnsi="Bookman Old Style"/>
          <w:b/>
          <w:i/>
          <w:sz w:val="24"/>
          <w:szCs w:val="24"/>
        </w:rPr>
        <w:t>the Supreme Court put it a</w:t>
      </w:r>
      <w:r w:rsidR="005E2401">
        <w:rPr>
          <w:rFonts w:ascii="Bookman Old Style" w:hAnsi="Bookman Old Style"/>
          <w:b/>
          <w:i/>
          <w:sz w:val="24"/>
          <w:szCs w:val="24"/>
        </w:rPr>
        <w:t>s follows</w:t>
      </w:r>
      <w:r w:rsidRPr="00E11967">
        <w:rPr>
          <w:rFonts w:ascii="Bookman Old Style" w:hAnsi="Bookman Old Style"/>
          <w:b/>
          <w:i/>
          <w:sz w:val="24"/>
          <w:szCs w:val="24"/>
        </w:rPr>
        <w:t>:</w:t>
      </w:r>
    </w:p>
    <w:p w:rsidR="00CF24A4" w:rsidRPr="00E11967" w:rsidRDefault="00CF24A4" w:rsidP="005E2401">
      <w:pPr>
        <w:spacing w:line="360" w:lineRule="auto"/>
        <w:ind w:left="1440"/>
        <w:jc w:val="both"/>
        <w:rPr>
          <w:rFonts w:ascii="Bookman Old Style" w:hAnsi="Bookman Old Style"/>
          <w:b/>
          <w:i/>
          <w:sz w:val="24"/>
          <w:szCs w:val="24"/>
        </w:rPr>
      </w:pPr>
      <w:r w:rsidRPr="00E11967">
        <w:rPr>
          <w:rFonts w:ascii="Bookman Old Style" w:hAnsi="Bookman Old Style"/>
          <w:b/>
          <w:i/>
          <w:sz w:val="24"/>
          <w:szCs w:val="24"/>
        </w:rPr>
        <w:t xml:space="preserve">“In order that the defence of res judicata may succeed it is necessary to show that not only the cause of action was the </w:t>
      </w:r>
      <w:r w:rsidRPr="00E11967">
        <w:rPr>
          <w:rFonts w:ascii="Bookman Old Style" w:hAnsi="Bookman Old Style"/>
          <w:b/>
          <w:i/>
          <w:sz w:val="24"/>
          <w:szCs w:val="24"/>
        </w:rPr>
        <w:lastRenderedPageBreak/>
        <w:t>same, but also the Plaintiff has had an opportunity of recovering and but for his own fault might have recovered in the first action that he seeks to recover in the second.  A plea of res judicata must show either an actual merger or that the same points had been actually decided between the same parties.  Where the former judgment has been for the defendant, the conditions necessary to exclude the plaintiff are not less stringent.  It is not enough that the matter alleged to be concluded might have been put in issue, or that the relief sought might have been claimed.  It is necessary to show that it actually was so put in issue.”</w:t>
      </w:r>
    </w:p>
    <w:p w:rsidR="00CF24A4" w:rsidRPr="00E11967" w:rsidRDefault="00CF24A4" w:rsidP="005E2401">
      <w:pPr>
        <w:spacing w:line="360" w:lineRule="auto"/>
        <w:ind w:left="720"/>
        <w:jc w:val="both"/>
        <w:rPr>
          <w:rFonts w:ascii="Bookman Old Style" w:hAnsi="Bookman Old Style"/>
          <w:b/>
          <w:i/>
          <w:sz w:val="24"/>
          <w:szCs w:val="24"/>
        </w:rPr>
      </w:pPr>
      <w:r w:rsidRPr="00E11967">
        <w:rPr>
          <w:rFonts w:ascii="Bookman Old Style" w:hAnsi="Bookman Old Style"/>
          <w:b/>
          <w:i/>
          <w:sz w:val="24"/>
          <w:szCs w:val="24"/>
        </w:rPr>
        <w:t xml:space="preserve">In </w:t>
      </w:r>
      <w:r w:rsidRPr="005E2401">
        <w:rPr>
          <w:rFonts w:ascii="Bookman Old Style" w:hAnsi="Bookman Old Style"/>
          <w:b/>
          <w:i/>
          <w:sz w:val="24"/>
          <w:szCs w:val="24"/>
          <w:u w:val="single"/>
        </w:rPr>
        <w:t>BP Zambia Plc v. Interland Motors</w:t>
      </w:r>
      <w:r w:rsidRPr="002E0C2E">
        <w:rPr>
          <w:rFonts w:ascii="Bookman Old Style" w:hAnsi="Bookman Old Style"/>
          <w:b/>
          <w:i/>
          <w:sz w:val="24"/>
          <w:szCs w:val="24"/>
        </w:rPr>
        <w:t xml:space="preserve"> (</w:t>
      </w:r>
      <w:r w:rsidR="002E0C2E" w:rsidRPr="002E0C2E">
        <w:rPr>
          <w:rFonts w:ascii="Bookman Old Style" w:hAnsi="Bookman Old Style"/>
          <w:b/>
          <w:i/>
          <w:sz w:val="24"/>
          <w:szCs w:val="24"/>
        </w:rPr>
        <w:t>5</w:t>
      </w:r>
      <w:r w:rsidR="002E0C2E">
        <w:rPr>
          <w:rFonts w:ascii="Bookman Old Style" w:hAnsi="Bookman Old Style"/>
          <w:b/>
          <w:i/>
          <w:sz w:val="24"/>
          <w:szCs w:val="24"/>
        </w:rPr>
        <w:t xml:space="preserve">) </w:t>
      </w:r>
      <w:r w:rsidR="003C6912">
        <w:rPr>
          <w:rFonts w:ascii="Bookman Old Style" w:hAnsi="Bookman Old Style"/>
          <w:b/>
          <w:i/>
          <w:sz w:val="24"/>
          <w:szCs w:val="24"/>
        </w:rPr>
        <w:t xml:space="preserve">the </w:t>
      </w:r>
      <w:r w:rsidR="002E0C2E">
        <w:rPr>
          <w:rFonts w:ascii="Bookman Old Style" w:hAnsi="Bookman Old Style"/>
          <w:b/>
          <w:i/>
          <w:sz w:val="24"/>
          <w:szCs w:val="24"/>
        </w:rPr>
        <w:t>Supreme</w:t>
      </w:r>
      <w:r w:rsidRPr="00E11967">
        <w:rPr>
          <w:rFonts w:ascii="Bookman Old Style" w:hAnsi="Bookman Old Style"/>
          <w:b/>
          <w:i/>
          <w:sz w:val="24"/>
          <w:szCs w:val="24"/>
        </w:rPr>
        <w:t xml:space="preserve"> Court stated as follows:</w:t>
      </w:r>
    </w:p>
    <w:p w:rsidR="00CF24A4" w:rsidRPr="00E11967" w:rsidRDefault="00CF24A4" w:rsidP="005E2401">
      <w:pPr>
        <w:spacing w:line="360" w:lineRule="auto"/>
        <w:ind w:left="1440"/>
        <w:jc w:val="both"/>
        <w:rPr>
          <w:rFonts w:ascii="Bookman Old Style" w:hAnsi="Bookman Old Style"/>
          <w:b/>
          <w:i/>
          <w:sz w:val="24"/>
          <w:szCs w:val="24"/>
        </w:rPr>
      </w:pPr>
      <w:r w:rsidRPr="00E11967">
        <w:rPr>
          <w:rFonts w:ascii="Bookman Old Style" w:hAnsi="Bookman Old Style"/>
          <w:b/>
          <w:i/>
          <w:sz w:val="24"/>
          <w:szCs w:val="24"/>
        </w:rPr>
        <w:t xml:space="preserve">“for our part we are satisfied that, as a </w:t>
      </w:r>
      <w:r w:rsidR="00652797" w:rsidRPr="00E11967">
        <w:rPr>
          <w:rFonts w:ascii="Bookman Old Style" w:hAnsi="Bookman Old Style"/>
          <w:b/>
          <w:i/>
          <w:sz w:val="24"/>
          <w:szCs w:val="24"/>
        </w:rPr>
        <w:t>general</w:t>
      </w:r>
      <w:r w:rsidRPr="00E11967">
        <w:rPr>
          <w:rFonts w:ascii="Bookman Old Style" w:hAnsi="Bookman Old Style"/>
          <w:b/>
          <w:i/>
          <w:sz w:val="24"/>
          <w:szCs w:val="24"/>
        </w:rPr>
        <w:t xml:space="preserve"> rule, it will be regarded as </w:t>
      </w:r>
      <w:r w:rsidR="00652797" w:rsidRPr="00E11967">
        <w:rPr>
          <w:rFonts w:ascii="Bookman Old Style" w:hAnsi="Bookman Old Style"/>
          <w:b/>
          <w:i/>
          <w:sz w:val="24"/>
          <w:szCs w:val="24"/>
        </w:rPr>
        <w:t>an abuse</w:t>
      </w:r>
      <w:r w:rsidRPr="00E11967">
        <w:rPr>
          <w:rFonts w:ascii="Bookman Old Style" w:hAnsi="Bookman Old Style"/>
          <w:b/>
          <w:i/>
          <w:sz w:val="24"/>
          <w:szCs w:val="24"/>
        </w:rPr>
        <w:t xml:space="preserve"> of </w:t>
      </w:r>
      <w:r w:rsidR="00652797" w:rsidRPr="00E11967">
        <w:rPr>
          <w:rFonts w:ascii="Bookman Old Style" w:hAnsi="Bookman Old Style"/>
          <w:b/>
          <w:i/>
          <w:sz w:val="24"/>
          <w:szCs w:val="24"/>
        </w:rPr>
        <w:t>the process</w:t>
      </w:r>
      <w:r w:rsidRPr="00E11967">
        <w:rPr>
          <w:rFonts w:ascii="Bookman Old Style" w:hAnsi="Bookman Old Style"/>
          <w:b/>
          <w:i/>
          <w:sz w:val="24"/>
          <w:szCs w:val="24"/>
        </w:rPr>
        <w:t xml:space="preserve"> if the </w:t>
      </w:r>
      <w:r w:rsidR="00652797" w:rsidRPr="00E11967">
        <w:rPr>
          <w:rFonts w:ascii="Bookman Old Style" w:hAnsi="Bookman Old Style"/>
          <w:b/>
          <w:i/>
          <w:sz w:val="24"/>
          <w:szCs w:val="24"/>
        </w:rPr>
        <w:t>s</w:t>
      </w:r>
      <w:r w:rsidRPr="00E11967">
        <w:rPr>
          <w:rFonts w:ascii="Bookman Old Style" w:hAnsi="Bookman Old Style"/>
          <w:b/>
          <w:i/>
          <w:sz w:val="24"/>
          <w:szCs w:val="24"/>
        </w:rPr>
        <w:t>ame parties relitigate the same subject matter from one action to another or from Judge to Judge… In conformity with</w:t>
      </w:r>
      <w:r w:rsidR="00652797" w:rsidRPr="00E11967">
        <w:rPr>
          <w:rFonts w:ascii="Bookman Old Style" w:hAnsi="Bookman Old Style"/>
          <w:b/>
          <w:i/>
          <w:sz w:val="24"/>
          <w:szCs w:val="24"/>
        </w:rPr>
        <w:t xml:space="preserve"> the</w:t>
      </w:r>
      <w:r w:rsidRPr="00E11967">
        <w:rPr>
          <w:rFonts w:ascii="Bookman Old Style" w:hAnsi="Bookman Old Style"/>
          <w:b/>
          <w:i/>
          <w:sz w:val="24"/>
          <w:szCs w:val="24"/>
        </w:rPr>
        <w:t xml:space="preserve"> courts inherent power to prevent abuse of its process, a party in dis</w:t>
      </w:r>
      <w:r w:rsidR="00652797" w:rsidRPr="00E11967">
        <w:rPr>
          <w:rFonts w:ascii="Bookman Old Style" w:hAnsi="Bookman Old Style"/>
          <w:b/>
          <w:i/>
          <w:sz w:val="24"/>
          <w:szCs w:val="24"/>
        </w:rPr>
        <w:t>pute with another over a particular subject should not be allowed to deploy his grievance piecemeal in scattered litigation and keep on hauling the same opponent over the same matter before various courts.  The administration of justice would be brought into disrepute if a party managed to get conflicting decisions or decisions which undermine each other from two or more judges over the same subject matter.</w:t>
      </w:r>
    </w:p>
    <w:p w:rsidR="00652797" w:rsidRPr="00E11967" w:rsidRDefault="00652797" w:rsidP="005E2401">
      <w:pPr>
        <w:spacing w:line="360" w:lineRule="auto"/>
        <w:ind w:left="720"/>
        <w:jc w:val="both"/>
        <w:rPr>
          <w:rFonts w:ascii="Bookman Old Style" w:hAnsi="Bookman Old Style"/>
          <w:b/>
          <w:i/>
          <w:sz w:val="24"/>
          <w:szCs w:val="24"/>
        </w:rPr>
      </w:pPr>
      <w:r w:rsidRPr="00E11967">
        <w:rPr>
          <w:rFonts w:ascii="Bookman Old Style" w:hAnsi="Bookman Old Style"/>
          <w:b/>
          <w:i/>
          <w:sz w:val="24"/>
          <w:szCs w:val="24"/>
        </w:rPr>
        <w:t xml:space="preserve">In the case of </w:t>
      </w:r>
      <w:r w:rsidRPr="005E2401">
        <w:rPr>
          <w:rFonts w:ascii="Bookman Old Style" w:hAnsi="Bookman Old Style"/>
          <w:b/>
          <w:i/>
          <w:sz w:val="24"/>
          <w:szCs w:val="24"/>
          <w:u w:val="single"/>
        </w:rPr>
        <w:t>Aaron v. Shelton</w:t>
      </w:r>
      <w:r w:rsidR="002E0C2E" w:rsidRPr="002E0C2E">
        <w:rPr>
          <w:rFonts w:ascii="Bookman Old Style" w:hAnsi="Bookman Old Style"/>
          <w:b/>
          <w:i/>
          <w:sz w:val="24"/>
          <w:szCs w:val="24"/>
        </w:rPr>
        <w:t xml:space="preserve"> (6)</w:t>
      </w:r>
      <w:r w:rsidR="002E0C2E" w:rsidRPr="00E11967">
        <w:rPr>
          <w:rFonts w:ascii="Bookman Old Style" w:hAnsi="Bookman Old Style"/>
          <w:b/>
          <w:i/>
          <w:sz w:val="24"/>
          <w:szCs w:val="24"/>
        </w:rPr>
        <w:t xml:space="preserve"> Mr</w:t>
      </w:r>
      <w:r w:rsidRPr="00E11967">
        <w:rPr>
          <w:rFonts w:ascii="Bookman Old Style" w:hAnsi="Bookman Old Style"/>
          <w:b/>
          <w:i/>
          <w:sz w:val="24"/>
          <w:szCs w:val="24"/>
        </w:rPr>
        <w:t>. Justice Jack said the following at page 568:</w:t>
      </w:r>
    </w:p>
    <w:p w:rsidR="005E2401" w:rsidRDefault="00652797" w:rsidP="005E2401">
      <w:pPr>
        <w:spacing w:line="360" w:lineRule="auto"/>
        <w:ind w:left="1440"/>
        <w:jc w:val="both"/>
        <w:rPr>
          <w:rFonts w:ascii="Bookman Old Style" w:hAnsi="Bookman Old Style"/>
          <w:b/>
          <w:i/>
          <w:sz w:val="24"/>
          <w:szCs w:val="24"/>
        </w:rPr>
      </w:pPr>
      <w:r w:rsidRPr="00E11967">
        <w:rPr>
          <w:rFonts w:ascii="Bookman Old Style" w:hAnsi="Bookman Old Style"/>
          <w:b/>
          <w:i/>
          <w:sz w:val="24"/>
          <w:szCs w:val="24"/>
        </w:rPr>
        <w:t xml:space="preserve">“An analogy can be found in the principal that, if a party could properly have raised an issue in proceedings but does </w:t>
      </w:r>
      <w:r w:rsidRPr="00E11967">
        <w:rPr>
          <w:rFonts w:ascii="Bookman Old Style" w:hAnsi="Bookman Old Style"/>
          <w:b/>
          <w:i/>
          <w:sz w:val="24"/>
          <w:szCs w:val="24"/>
        </w:rPr>
        <w:lastRenderedPageBreak/>
        <w:t xml:space="preserve">not, he will not be permitted to </w:t>
      </w:r>
      <w:r w:rsidR="003C6912">
        <w:rPr>
          <w:rFonts w:ascii="Bookman Old Style" w:hAnsi="Bookman Old Style"/>
          <w:b/>
          <w:i/>
          <w:sz w:val="24"/>
          <w:szCs w:val="24"/>
        </w:rPr>
        <w:t xml:space="preserve">do </w:t>
      </w:r>
      <w:r w:rsidRPr="00E11967">
        <w:rPr>
          <w:rFonts w:ascii="Bookman Old Style" w:hAnsi="Bookman Old Style"/>
          <w:b/>
          <w:i/>
          <w:sz w:val="24"/>
          <w:szCs w:val="24"/>
        </w:rPr>
        <w:t xml:space="preserve">so subsequently.  I refer to </w:t>
      </w:r>
      <w:r w:rsidRPr="005E2401">
        <w:rPr>
          <w:rFonts w:ascii="Bookman Old Style" w:hAnsi="Bookman Old Style"/>
          <w:b/>
          <w:i/>
          <w:sz w:val="24"/>
          <w:szCs w:val="24"/>
          <w:u w:val="single"/>
        </w:rPr>
        <w:t>Yat Tung Investment Company Limited v. Dao Heng Bank</w:t>
      </w:r>
      <w:r w:rsidR="002E0C2E" w:rsidRPr="002E0C2E">
        <w:rPr>
          <w:rFonts w:ascii="Bookman Old Style" w:hAnsi="Bookman Old Style"/>
          <w:b/>
          <w:i/>
          <w:sz w:val="24"/>
          <w:szCs w:val="24"/>
        </w:rPr>
        <w:t xml:space="preserve"> (7)</w:t>
      </w:r>
      <w:r w:rsidRPr="002E0C2E">
        <w:rPr>
          <w:rFonts w:ascii="Bookman Old Style" w:hAnsi="Bookman Old Style"/>
          <w:b/>
          <w:i/>
          <w:sz w:val="24"/>
          <w:szCs w:val="24"/>
        </w:rPr>
        <w:t>:</w:t>
      </w:r>
      <w:r w:rsidRPr="00E11967">
        <w:rPr>
          <w:rFonts w:ascii="Bookman Old Style" w:hAnsi="Bookman Old Style"/>
          <w:b/>
          <w:i/>
          <w:sz w:val="24"/>
          <w:szCs w:val="24"/>
        </w:rPr>
        <w:t xml:space="preserve"> “But there is a wider sense in which the doctrine may be appealed to, so that it becomes an abuse of process to </w:t>
      </w:r>
      <w:r w:rsidR="00E11967" w:rsidRPr="00E11967">
        <w:rPr>
          <w:rFonts w:ascii="Bookman Old Style" w:hAnsi="Bookman Old Style"/>
          <w:b/>
          <w:i/>
          <w:sz w:val="24"/>
          <w:szCs w:val="24"/>
        </w:rPr>
        <w:t>raise</w:t>
      </w:r>
      <w:r w:rsidRPr="00E11967">
        <w:rPr>
          <w:rFonts w:ascii="Bookman Old Style" w:hAnsi="Bookman Old Style"/>
          <w:b/>
          <w:i/>
          <w:sz w:val="24"/>
          <w:szCs w:val="24"/>
        </w:rPr>
        <w:t xml:space="preserve"> matters which could and therefore should have been litigated in earlier proceedings.  The locus classicus of the aspect of res judicata is the judgment of Wigram V-C in </w:t>
      </w:r>
      <w:r w:rsidRPr="005E2401">
        <w:rPr>
          <w:rFonts w:ascii="Bookman Old Style" w:hAnsi="Bookman Old Style"/>
          <w:b/>
          <w:i/>
          <w:sz w:val="24"/>
          <w:szCs w:val="24"/>
          <w:u w:val="single"/>
        </w:rPr>
        <w:t>Henderson v. Henderson</w:t>
      </w:r>
      <w:r w:rsidR="002E0C2E" w:rsidRPr="002E0C2E">
        <w:rPr>
          <w:rFonts w:ascii="Bookman Old Style" w:hAnsi="Bookman Old Style"/>
          <w:b/>
          <w:i/>
          <w:sz w:val="24"/>
          <w:szCs w:val="24"/>
        </w:rPr>
        <w:t xml:space="preserve"> (8)</w:t>
      </w:r>
      <w:r w:rsidRPr="002E0C2E">
        <w:rPr>
          <w:rFonts w:ascii="Bookman Old Style" w:hAnsi="Bookman Old Style"/>
          <w:b/>
          <w:i/>
          <w:sz w:val="24"/>
          <w:szCs w:val="24"/>
        </w:rPr>
        <w:t xml:space="preserve"> </w:t>
      </w:r>
      <w:r w:rsidRPr="00E11967">
        <w:rPr>
          <w:rFonts w:ascii="Bookman Old Style" w:hAnsi="Bookman Old Style"/>
          <w:b/>
          <w:i/>
          <w:sz w:val="24"/>
          <w:szCs w:val="24"/>
        </w:rPr>
        <w:t xml:space="preserve">where </w:t>
      </w:r>
      <w:r w:rsidR="00E11967" w:rsidRPr="00E11967">
        <w:rPr>
          <w:rFonts w:ascii="Bookman Old Style" w:hAnsi="Bookman Old Style"/>
          <w:b/>
          <w:i/>
          <w:sz w:val="24"/>
          <w:szCs w:val="24"/>
        </w:rPr>
        <w:t>the Judge</w:t>
      </w:r>
      <w:r w:rsidRPr="00E11967">
        <w:rPr>
          <w:rFonts w:ascii="Bookman Old Style" w:hAnsi="Bookman Old Style"/>
          <w:b/>
          <w:i/>
          <w:sz w:val="24"/>
          <w:szCs w:val="24"/>
        </w:rPr>
        <w:t xml:space="preserve"> says “…where a given matter becomes the subject of litigation in, and of adjudication by, a court of competent jurisdiction, the court requires the parties to that litigation to bring forward the whole case, and will not, except under special circumstances, permit the same parties to open the same subject of litigation in respect of  a matter which might have been brought forward as part of the subject in contest, but which was not brought forward, only because they have from negligence, </w:t>
      </w:r>
      <w:r w:rsidR="00E11967" w:rsidRPr="00E11967">
        <w:rPr>
          <w:rFonts w:ascii="Bookman Old Style" w:hAnsi="Bookman Old Style"/>
          <w:b/>
          <w:i/>
          <w:sz w:val="24"/>
          <w:szCs w:val="24"/>
        </w:rPr>
        <w:t>inadvertence</w:t>
      </w:r>
      <w:r w:rsidRPr="00E11967">
        <w:rPr>
          <w:rFonts w:ascii="Bookman Old Style" w:hAnsi="Bookman Old Style"/>
          <w:b/>
          <w:i/>
          <w:sz w:val="24"/>
          <w:szCs w:val="24"/>
        </w:rPr>
        <w:t>, or even accident omitted part of their case.  The plea of res judicata applies, except in exceptional cases, not only to p</w:t>
      </w:r>
      <w:r w:rsidR="003C6912">
        <w:rPr>
          <w:rFonts w:ascii="Bookman Old Style" w:hAnsi="Bookman Old Style"/>
          <w:b/>
          <w:i/>
          <w:sz w:val="24"/>
          <w:szCs w:val="24"/>
        </w:rPr>
        <w:t>o</w:t>
      </w:r>
      <w:r w:rsidRPr="00E11967">
        <w:rPr>
          <w:rFonts w:ascii="Bookman Old Style" w:hAnsi="Bookman Old Style"/>
          <w:b/>
          <w:i/>
          <w:sz w:val="24"/>
          <w:szCs w:val="24"/>
        </w:rPr>
        <w:t>ints upon which the court was actually required by the parties to form an opinion and pronounce a judgment, but to every point which the parties, exercising reasonable diligence, might have brought forward at the time.”</w:t>
      </w:r>
    </w:p>
    <w:p w:rsidR="00652797" w:rsidRDefault="005E2401" w:rsidP="00D96DCD">
      <w:pPr>
        <w:spacing w:line="360" w:lineRule="auto"/>
        <w:jc w:val="both"/>
        <w:rPr>
          <w:rFonts w:ascii="Bookman Old Style" w:hAnsi="Bookman Old Style"/>
          <w:sz w:val="24"/>
          <w:szCs w:val="24"/>
        </w:rPr>
      </w:pPr>
      <w:r>
        <w:rPr>
          <w:rFonts w:ascii="Bookman Old Style" w:hAnsi="Bookman Old Style"/>
          <w:sz w:val="24"/>
          <w:szCs w:val="24"/>
        </w:rPr>
        <w:t>The sequence of events in this matter was as follows:</w:t>
      </w:r>
    </w:p>
    <w:p w:rsidR="005E2401" w:rsidRDefault="005E2401" w:rsidP="00D96DCD">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14</w:t>
      </w:r>
      <w:r w:rsidRPr="005E2401">
        <w:rPr>
          <w:rFonts w:ascii="Bookman Old Style" w:hAnsi="Bookman Old Style"/>
          <w:sz w:val="24"/>
          <w:szCs w:val="24"/>
          <w:vertAlign w:val="superscript"/>
        </w:rPr>
        <w:t>th</w:t>
      </w:r>
      <w:r>
        <w:rPr>
          <w:rFonts w:ascii="Bookman Old Style" w:hAnsi="Bookman Old Style"/>
          <w:sz w:val="24"/>
          <w:szCs w:val="24"/>
        </w:rPr>
        <w:t xml:space="preserve"> March, 2008 </w:t>
      </w:r>
      <w:r w:rsidR="003C6912">
        <w:rPr>
          <w:rFonts w:ascii="Bookman Old Style" w:hAnsi="Bookman Old Style"/>
          <w:sz w:val="24"/>
          <w:szCs w:val="24"/>
        </w:rPr>
        <w:t>T</w:t>
      </w:r>
      <w:r>
        <w:rPr>
          <w:rFonts w:ascii="Bookman Old Style" w:hAnsi="Bookman Old Style"/>
          <w:sz w:val="24"/>
          <w:szCs w:val="24"/>
        </w:rPr>
        <w:t xml:space="preserve">op Star Breweries Limited commenced an action against the Defendant under Cause No. 2008/HPC/0111 for inter </w:t>
      </w:r>
      <w:r w:rsidR="003C6912">
        <w:rPr>
          <w:rFonts w:ascii="Bookman Old Style" w:hAnsi="Bookman Old Style"/>
          <w:sz w:val="24"/>
          <w:szCs w:val="24"/>
        </w:rPr>
        <w:t xml:space="preserve">alia an </w:t>
      </w:r>
      <w:r>
        <w:rPr>
          <w:rFonts w:ascii="Bookman Old Style" w:hAnsi="Bookman Old Style"/>
          <w:sz w:val="24"/>
          <w:szCs w:val="24"/>
        </w:rPr>
        <w:t>injunction restraining the Defendant and the receivers from running the brewery plant or disposing it.  The injunction was discharged on 14</w:t>
      </w:r>
      <w:r w:rsidRPr="005E2401">
        <w:rPr>
          <w:rFonts w:ascii="Bookman Old Style" w:hAnsi="Bookman Old Style"/>
          <w:sz w:val="24"/>
          <w:szCs w:val="24"/>
          <w:vertAlign w:val="superscript"/>
        </w:rPr>
        <w:t>th</w:t>
      </w:r>
      <w:r>
        <w:rPr>
          <w:rFonts w:ascii="Bookman Old Style" w:hAnsi="Bookman Old Style"/>
          <w:sz w:val="24"/>
          <w:szCs w:val="24"/>
        </w:rPr>
        <w:t xml:space="preserve"> July, 2008 following a notice of discontinuance.  I will ignore this cause of action because the Plaintiff was different even though the Plaintiff in the current matter was its alter ego.</w:t>
      </w:r>
    </w:p>
    <w:p w:rsidR="005E2401" w:rsidRDefault="005E2401" w:rsidP="00D96DCD">
      <w:pPr>
        <w:pStyle w:val="ListParagraph"/>
        <w:spacing w:line="360" w:lineRule="auto"/>
        <w:jc w:val="both"/>
        <w:rPr>
          <w:rFonts w:ascii="Bookman Old Style" w:hAnsi="Bookman Old Style"/>
          <w:sz w:val="24"/>
          <w:szCs w:val="24"/>
        </w:rPr>
      </w:pPr>
    </w:p>
    <w:p w:rsidR="005E2401" w:rsidRDefault="005E2401" w:rsidP="00D96DCD">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17</w:t>
      </w:r>
      <w:r w:rsidRPr="005E2401">
        <w:rPr>
          <w:rFonts w:ascii="Bookman Old Style" w:hAnsi="Bookman Old Style"/>
          <w:sz w:val="24"/>
          <w:szCs w:val="24"/>
          <w:vertAlign w:val="superscript"/>
        </w:rPr>
        <w:t>th</w:t>
      </w:r>
      <w:r>
        <w:rPr>
          <w:rFonts w:ascii="Bookman Old Style" w:hAnsi="Bookman Old Style"/>
          <w:sz w:val="24"/>
          <w:szCs w:val="24"/>
        </w:rPr>
        <w:t xml:space="preserve"> July, 2008, the Plaintiff commenced another matter under Cause No. 2008/HPC/273.  The claim in Cause No. 2008/HPC/273 is almost similar to the claim in </w:t>
      </w:r>
      <w:r w:rsidR="00D96DCD">
        <w:rPr>
          <w:rFonts w:ascii="Bookman Old Style" w:hAnsi="Bookman Old Style"/>
          <w:sz w:val="24"/>
          <w:szCs w:val="24"/>
        </w:rPr>
        <w:t xml:space="preserve">the current action.  The only difference to which I shall return to shortly is that the Plaintiff is seeking to </w:t>
      </w:r>
      <w:r w:rsidR="00D307F6">
        <w:rPr>
          <w:rFonts w:ascii="Bookman Old Style" w:hAnsi="Bookman Old Style"/>
          <w:sz w:val="24"/>
          <w:szCs w:val="24"/>
        </w:rPr>
        <w:t>set</w:t>
      </w:r>
      <w:r w:rsidR="00D96DCD">
        <w:rPr>
          <w:rFonts w:ascii="Bookman Old Style" w:hAnsi="Bookman Old Style"/>
          <w:sz w:val="24"/>
          <w:szCs w:val="24"/>
        </w:rPr>
        <w:t xml:space="preserve"> aside the consent order under Cause No. SCZ/8/311/2008 in the Supreme Court on grounds of misrepresentation.</w:t>
      </w:r>
    </w:p>
    <w:p w:rsidR="00D96DCD" w:rsidRPr="00D96DCD" w:rsidRDefault="00D96DCD" w:rsidP="00D96DCD">
      <w:pPr>
        <w:pStyle w:val="ListParagraph"/>
        <w:spacing w:line="360" w:lineRule="auto"/>
        <w:jc w:val="both"/>
        <w:rPr>
          <w:rFonts w:ascii="Bookman Old Style" w:hAnsi="Bookman Old Style"/>
          <w:sz w:val="24"/>
          <w:szCs w:val="24"/>
        </w:rPr>
      </w:pPr>
    </w:p>
    <w:p w:rsidR="00D96DCD" w:rsidRDefault="00D96DCD" w:rsidP="00D96DCD">
      <w:pPr>
        <w:pStyle w:val="ListParagraph"/>
        <w:numPr>
          <w:ilvl w:val="0"/>
          <w:numId w:val="1"/>
        </w:numPr>
        <w:spacing w:line="360" w:lineRule="auto"/>
        <w:jc w:val="both"/>
        <w:rPr>
          <w:rFonts w:ascii="Bookman Old Style" w:hAnsi="Bookman Old Style"/>
          <w:sz w:val="24"/>
          <w:szCs w:val="24"/>
        </w:rPr>
      </w:pPr>
      <w:r>
        <w:rPr>
          <w:rFonts w:ascii="Bookman Old Style" w:hAnsi="Bookman Old Style"/>
          <w:sz w:val="24"/>
          <w:szCs w:val="24"/>
        </w:rPr>
        <w:t>On 20</w:t>
      </w:r>
      <w:r w:rsidRPr="00D96DCD">
        <w:rPr>
          <w:rFonts w:ascii="Bookman Old Style" w:hAnsi="Bookman Old Style"/>
          <w:sz w:val="24"/>
          <w:szCs w:val="24"/>
          <w:vertAlign w:val="superscript"/>
        </w:rPr>
        <w:t>th</w:t>
      </w:r>
      <w:r>
        <w:rPr>
          <w:rFonts w:ascii="Bookman Old Style" w:hAnsi="Bookman Old Style"/>
          <w:sz w:val="24"/>
          <w:szCs w:val="24"/>
        </w:rPr>
        <w:t xml:space="preserve"> December, 2010, the Plaintiff commenced this action claiming substantially the same relief he had claimed in Cause No. 2008/HPC/273.</w:t>
      </w:r>
    </w:p>
    <w:p w:rsidR="00D96DCD" w:rsidRPr="00D96DCD" w:rsidRDefault="00D96DCD" w:rsidP="00D96DCD">
      <w:pPr>
        <w:pStyle w:val="ListParagraph"/>
        <w:spacing w:line="360" w:lineRule="auto"/>
        <w:jc w:val="both"/>
        <w:rPr>
          <w:rFonts w:ascii="Bookman Old Style" w:hAnsi="Bookman Old Style"/>
          <w:sz w:val="24"/>
          <w:szCs w:val="24"/>
        </w:rPr>
      </w:pPr>
    </w:p>
    <w:p w:rsidR="00D96DCD" w:rsidRDefault="00D96DCD" w:rsidP="00D96DCD">
      <w:pPr>
        <w:spacing w:line="360" w:lineRule="auto"/>
        <w:jc w:val="both"/>
        <w:rPr>
          <w:rFonts w:ascii="Bookman Old Style" w:hAnsi="Bookman Old Style"/>
          <w:sz w:val="24"/>
          <w:szCs w:val="24"/>
        </w:rPr>
      </w:pPr>
      <w:r>
        <w:rPr>
          <w:rFonts w:ascii="Bookman Old Style" w:hAnsi="Bookman Old Style"/>
          <w:sz w:val="24"/>
          <w:szCs w:val="24"/>
        </w:rPr>
        <w:t xml:space="preserve">So far as I can discern from the exhibits, the effect of the Supreme Court consent order was to withdraw the appeal and remit the cause or matter to the High Court to be determined on the merits after trial.  The ruling of the Supreme Court granted a stay “to allow all these matters to be seriously considered by the Supreme Court”. Both the Supreme Court ruling and the </w:t>
      </w:r>
      <w:r w:rsidR="00D307F6">
        <w:rPr>
          <w:rFonts w:ascii="Bookman Old Style" w:hAnsi="Bookman Old Style"/>
          <w:sz w:val="24"/>
          <w:szCs w:val="24"/>
        </w:rPr>
        <w:t>consent</w:t>
      </w:r>
      <w:r>
        <w:rPr>
          <w:rFonts w:ascii="Bookman Old Style" w:hAnsi="Bookman Old Style"/>
          <w:sz w:val="24"/>
          <w:szCs w:val="24"/>
        </w:rPr>
        <w:t xml:space="preserve"> order do not set aside the High Court order discharging the injunction</w:t>
      </w:r>
      <w:r w:rsidR="003C6912">
        <w:rPr>
          <w:rFonts w:ascii="Bookman Old Style" w:hAnsi="Bookman Old Style"/>
          <w:sz w:val="24"/>
          <w:szCs w:val="24"/>
        </w:rPr>
        <w:t xml:space="preserve"> no</w:t>
      </w:r>
      <w:r w:rsidR="007B0C69">
        <w:rPr>
          <w:rFonts w:ascii="Bookman Old Style" w:hAnsi="Bookman Old Style"/>
          <w:sz w:val="24"/>
          <w:szCs w:val="24"/>
        </w:rPr>
        <w:t>r</w:t>
      </w:r>
      <w:r w:rsidR="003C6912">
        <w:rPr>
          <w:rFonts w:ascii="Bookman Old Style" w:hAnsi="Bookman Old Style"/>
          <w:sz w:val="24"/>
          <w:szCs w:val="24"/>
        </w:rPr>
        <w:t xml:space="preserve"> can it be implied that they do.</w:t>
      </w:r>
      <w:r>
        <w:rPr>
          <w:rFonts w:ascii="Bookman Old Style" w:hAnsi="Bookman Old Style"/>
          <w:sz w:val="24"/>
          <w:szCs w:val="24"/>
        </w:rPr>
        <w:t xml:space="preserve">  This in effect means that although the discharge has been stayed, the discharge can either be confirmed or set aside on appeal.  It also means, when considered </w:t>
      </w:r>
      <w:r w:rsidR="00D307F6">
        <w:rPr>
          <w:rFonts w:ascii="Bookman Old Style" w:hAnsi="Bookman Old Style"/>
          <w:sz w:val="24"/>
          <w:szCs w:val="24"/>
        </w:rPr>
        <w:t>against</w:t>
      </w:r>
      <w:r>
        <w:rPr>
          <w:rFonts w:ascii="Bookman Old Style" w:hAnsi="Bookman Old Style"/>
          <w:sz w:val="24"/>
          <w:szCs w:val="24"/>
        </w:rPr>
        <w:t xml:space="preserve"> </w:t>
      </w:r>
      <w:r w:rsidR="00D307F6">
        <w:rPr>
          <w:rFonts w:ascii="Bookman Old Style" w:hAnsi="Bookman Old Style"/>
          <w:sz w:val="24"/>
          <w:szCs w:val="24"/>
        </w:rPr>
        <w:t>backdrop</w:t>
      </w:r>
      <w:r>
        <w:rPr>
          <w:rFonts w:ascii="Bookman Old Style" w:hAnsi="Bookman Old Style"/>
          <w:sz w:val="24"/>
          <w:szCs w:val="24"/>
        </w:rPr>
        <w:t xml:space="preserve"> of the various authorities cited on </w:t>
      </w:r>
      <w:r w:rsidRPr="00D307F6">
        <w:rPr>
          <w:rFonts w:ascii="Bookman Old Style" w:hAnsi="Bookman Old Style"/>
          <w:i/>
          <w:sz w:val="24"/>
          <w:szCs w:val="24"/>
        </w:rPr>
        <w:t>res judicata</w:t>
      </w:r>
      <w:r>
        <w:rPr>
          <w:rFonts w:ascii="Bookman Old Style" w:hAnsi="Bookman Old Style"/>
          <w:sz w:val="24"/>
          <w:szCs w:val="24"/>
        </w:rPr>
        <w:t>, that the narrow issue of the injunction under Cause No. 2008/HPC/273 was decided between the same parties over the same subject matter and it is the same parties and the same subject matter in the present case.</w:t>
      </w:r>
    </w:p>
    <w:p w:rsidR="00D96DCD" w:rsidRDefault="00D96DCD" w:rsidP="00D96DCD">
      <w:pPr>
        <w:spacing w:line="360" w:lineRule="auto"/>
        <w:jc w:val="both"/>
        <w:rPr>
          <w:rFonts w:ascii="Bookman Old Style" w:hAnsi="Bookman Old Style"/>
          <w:sz w:val="24"/>
          <w:szCs w:val="24"/>
        </w:rPr>
      </w:pPr>
      <w:r>
        <w:rPr>
          <w:rFonts w:ascii="Bookman Old Style" w:hAnsi="Bookman Old Style"/>
          <w:sz w:val="24"/>
          <w:szCs w:val="24"/>
        </w:rPr>
        <w:t xml:space="preserve">There is no doubt that the </w:t>
      </w:r>
      <w:r w:rsidR="00D307F6">
        <w:rPr>
          <w:rFonts w:ascii="Bookman Old Style" w:hAnsi="Bookman Old Style"/>
          <w:sz w:val="24"/>
          <w:szCs w:val="24"/>
        </w:rPr>
        <w:t>Plaintiff is</w:t>
      </w:r>
      <w:r>
        <w:rPr>
          <w:rFonts w:ascii="Bookman Old Style" w:hAnsi="Bookman Old Style"/>
          <w:sz w:val="24"/>
          <w:szCs w:val="24"/>
        </w:rPr>
        <w:t xml:space="preserve"> in a legal limbo as the appeal was withdrawn and the matter in the High Court was dismissed.  If the </w:t>
      </w:r>
      <w:r w:rsidR="00D307F6">
        <w:rPr>
          <w:rFonts w:ascii="Bookman Old Style" w:hAnsi="Bookman Old Style"/>
          <w:sz w:val="24"/>
          <w:szCs w:val="24"/>
        </w:rPr>
        <w:t>Plaintiff</w:t>
      </w:r>
      <w:r>
        <w:rPr>
          <w:rFonts w:ascii="Bookman Old Style" w:hAnsi="Bookman Old Style"/>
          <w:sz w:val="24"/>
          <w:szCs w:val="24"/>
        </w:rPr>
        <w:t xml:space="preserve"> succeeds with his main claim in the current action, he will return to the Supreme Court to pursue his appeal.  In the meantime, </w:t>
      </w:r>
      <w:r w:rsidR="00D307F6">
        <w:rPr>
          <w:rFonts w:ascii="Bookman Old Style" w:hAnsi="Bookman Old Style"/>
          <w:sz w:val="24"/>
          <w:szCs w:val="24"/>
        </w:rPr>
        <w:t>there is</w:t>
      </w:r>
      <w:r>
        <w:rPr>
          <w:rFonts w:ascii="Bookman Old Style" w:hAnsi="Bookman Old Style"/>
          <w:sz w:val="24"/>
          <w:szCs w:val="24"/>
        </w:rPr>
        <w:t xml:space="preserve"> no order setting aside the ruling </w:t>
      </w:r>
      <w:r w:rsidR="00D307F6">
        <w:rPr>
          <w:rFonts w:ascii="Bookman Old Style" w:hAnsi="Bookman Old Style"/>
          <w:sz w:val="24"/>
          <w:szCs w:val="24"/>
        </w:rPr>
        <w:t>made by the High Court on 12</w:t>
      </w:r>
      <w:r w:rsidR="00D307F6" w:rsidRPr="00D307F6">
        <w:rPr>
          <w:rFonts w:ascii="Bookman Old Style" w:hAnsi="Bookman Old Style"/>
          <w:sz w:val="24"/>
          <w:szCs w:val="24"/>
          <w:vertAlign w:val="superscript"/>
        </w:rPr>
        <w:t>th</w:t>
      </w:r>
      <w:r w:rsidR="00D307F6">
        <w:rPr>
          <w:rFonts w:ascii="Bookman Old Style" w:hAnsi="Bookman Old Style"/>
          <w:sz w:val="24"/>
          <w:szCs w:val="24"/>
        </w:rPr>
        <w:t xml:space="preserve"> December, 2008 </w:t>
      </w:r>
      <w:r w:rsidR="00D307F6">
        <w:rPr>
          <w:rFonts w:ascii="Bookman Old Style" w:hAnsi="Bookman Old Style"/>
          <w:sz w:val="24"/>
          <w:szCs w:val="24"/>
        </w:rPr>
        <w:lastRenderedPageBreak/>
        <w:t xml:space="preserve">discharging the injunction under Cause No. 2008/HPC/0273 and I have come to the conclusion that this matter in so far as the application for an injunction is concerned is </w:t>
      </w:r>
      <w:r w:rsidR="00D307F6" w:rsidRPr="00D307F6">
        <w:rPr>
          <w:rFonts w:ascii="Bookman Old Style" w:hAnsi="Bookman Old Style"/>
          <w:i/>
          <w:sz w:val="24"/>
          <w:szCs w:val="24"/>
        </w:rPr>
        <w:t>res judicata</w:t>
      </w:r>
      <w:r w:rsidR="00D307F6">
        <w:rPr>
          <w:rFonts w:ascii="Bookman Old Style" w:hAnsi="Bookman Old Style"/>
          <w:sz w:val="24"/>
          <w:szCs w:val="24"/>
        </w:rPr>
        <w:t xml:space="preserve"> and should not be relitigated upon.</w:t>
      </w:r>
    </w:p>
    <w:p w:rsidR="00D307F6" w:rsidRDefault="00D307F6" w:rsidP="00D96DCD">
      <w:pPr>
        <w:spacing w:line="360" w:lineRule="auto"/>
        <w:jc w:val="both"/>
        <w:rPr>
          <w:rFonts w:ascii="Bookman Old Style" w:hAnsi="Bookman Old Style"/>
          <w:sz w:val="24"/>
          <w:szCs w:val="24"/>
        </w:rPr>
      </w:pPr>
      <w:r>
        <w:rPr>
          <w:rFonts w:ascii="Bookman Old Style" w:hAnsi="Bookman Old Style"/>
          <w:sz w:val="24"/>
          <w:szCs w:val="24"/>
        </w:rPr>
        <w:t xml:space="preserve">Having come to the conclusion that the issue relating to the injunction is </w:t>
      </w:r>
      <w:r w:rsidRPr="00D307F6">
        <w:rPr>
          <w:rFonts w:ascii="Bookman Old Style" w:hAnsi="Bookman Old Style"/>
          <w:i/>
          <w:sz w:val="24"/>
          <w:szCs w:val="24"/>
        </w:rPr>
        <w:t>res judicata</w:t>
      </w:r>
      <w:r>
        <w:rPr>
          <w:rFonts w:ascii="Bookman Old Style" w:hAnsi="Bookman Old Style"/>
          <w:sz w:val="24"/>
          <w:szCs w:val="24"/>
        </w:rPr>
        <w:t>, it is not necessary to address the arguments raised on whether or not the injunction should be granted.  Doing so would amount to embarking on an academic exercise.  The application for an injunction is refused</w:t>
      </w:r>
      <w:r w:rsidR="007B0C69">
        <w:rPr>
          <w:rFonts w:ascii="Bookman Old Style" w:hAnsi="Bookman Old Style"/>
          <w:sz w:val="24"/>
          <w:szCs w:val="24"/>
        </w:rPr>
        <w:t>.</w:t>
      </w:r>
      <w:r>
        <w:rPr>
          <w:rFonts w:ascii="Bookman Old Style" w:hAnsi="Bookman Old Style"/>
          <w:sz w:val="24"/>
          <w:szCs w:val="24"/>
        </w:rPr>
        <w:t xml:space="preserve"> </w:t>
      </w:r>
      <w:r w:rsidR="007B0C69">
        <w:rPr>
          <w:rFonts w:ascii="Bookman Old Style" w:hAnsi="Bookman Old Style"/>
          <w:sz w:val="24"/>
          <w:szCs w:val="24"/>
        </w:rPr>
        <w:t xml:space="preserve"> C</w:t>
      </w:r>
      <w:r>
        <w:rPr>
          <w:rFonts w:ascii="Bookman Old Style" w:hAnsi="Bookman Old Style"/>
          <w:sz w:val="24"/>
          <w:szCs w:val="24"/>
        </w:rPr>
        <w:t>osts</w:t>
      </w:r>
      <w:r w:rsidR="007B0C69">
        <w:rPr>
          <w:rFonts w:ascii="Bookman Old Style" w:hAnsi="Bookman Old Style"/>
          <w:sz w:val="24"/>
          <w:szCs w:val="24"/>
        </w:rPr>
        <w:t xml:space="preserve"> to the Defendant</w:t>
      </w:r>
      <w:r>
        <w:rPr>
          <w:rFonts w:ascii="Bookman Old Style" w:hAnsi="Bookman Old Style"/>
          <w:sz w:val="24"/>
          <w:szCs w:val="24"/>
        </w:rPr>
        <w:t xml:space="preserve"> to be taxed in default of agreement.</w:t>
      </w:r>
    </w:p>
    <w:p w:rsidR="00D307F6" w:rsidRPr="00D307F6" w:rsidRDefault="00D307F6" w:rsidP="00D96DCD">
      <w:pPr>
        <w:spacing w:line="360" w:lineRule="auto"/>
        <w:jc w:val="both"/>
        <w:rPr>
          <w:rFonts w:ascii="Bookman Old Style" w:hAnsi="Bookman Old Style"/>
          <w:b/>
          <w:sz w:val="24"/>
          <w:szCs w:val="24"/>
        </w:rPr>
      </w:pPr>
      <w:r w:rsidRPr="00D307F6">
        <w:rPr>
          <w:rFonts w:ascii="Bookman Old Style" w:hAnsi="Bookman Old Style"/>
          <w:b/>
          <w:sz w:val="24"/>
          <w:szCs w:val="24"/>
        </w:rPr>
        <w:t>DONE IN CHAMBERS AT LUSAKA THIS</w:t>
      </w:r>
      <w:r w:rsidR="003C6912">
        <w:rPr>
          <w:rFonts w:ascii="Bookman Old Style" w:hAnsi="Bookman Old Style"/>
          <w:b/>
          <w:sz w:val="24"/>
          <w:szCs w:val="24"/>
        </w:rPr>
        <w:t xml:space="preserve"> </w:t>
      </w:r>
      <w:r w:rsidR="007B0C69">
        <w:rPr>
          <w:rFonts w:ascii="Bookman Old Style" w:hAnsi="Bookman Old Style"/>
          <w:b/>
          <w:sz w:val="24"/>
          <w:szCs w:val="24"/>
        </w:rPr>
        <w:t>28</w:t>
      </w:r>
      <w:r w:rsidR="007B0C69" w:rsidRPr="003C6912">
        <w:rPr>
          <w:rFonts w:ascii="Bookman Old Style" w:hAnsi="Bookman Old Style"/>
          <w:b/>
          <w:sz w:val="24"/>
          <w:szCs w:val="24"/>
          <w:vertAlign w:val="superscript"/>
        </w:rPr>
        <w:t>TH</w:t>
      </w:r>
      <w:r w:rsidR="007B0C69">
        <w:rPr>
          <w:rFonts w:ascii="Bookman Old Style" w:hAnsi="Bookman Old Style"/>
          <w:b/>
          <w:sz w:val="24"/>
          <w:szCs w:val="24"/>
        </w:rPr>
        <w:t xml:space="preserve"> </w:t>
      </w:r>
      <w:r w:rsidR="007B0C69" w:rsidRPr="00D307F6">
        <w:rPr>
          <w:rFonts w:ascii="Bookman Old Style" w:hAnsi="Bookman Old Style"/>
          <w:b/>
          <w:sz w:val="24"/>
          <w:szCs w:val="24"/>
        </w:rPr>
        <w:t>DAY</w:t>
      </w:r>
      <w:r w:rsidRPr="00D307F6">
        <w:rPr>
          <w:rFonts w:ascii="Bookman Old Style" w:hAnsi="Bookman Old Style"/>
          <w:b/>
          <w:sz w:val="24"/>
          <w:szCs w:val="24"/>
        </w:rPr>
        <w:t xml:space="preserve"> OF FEBRUARY 2011</w:t>
      </w:r>
    </w:p>
    <w:p w:rsidR="00D307F6" w:rsidRDefault="00D307F6" w:rsidP="00D96DCD">
      <w:pPr>
        <w:spacing w:line="360" w:lineRule="auto"/>
        <w:jc w:val="both"/>
        <w:rPr>
          <w:rFonts w:ascii="Bookman Old Style" w:hAnsi="Bookman Old Style"/>
          <w:sz w:val="24"/>
          <w:szCs w:val="24"/>
        </w:rPr>
      </w:pPr>
    </w:p>
    <w:p w:rsidR="00D307F6" w:rsidRDefault="00D307F6" w:rsidP="00D96DCD">
      <w:pPr>
        <w:spacing w:line="360" w:lineRule="auto"/>
        <w:jc w:val="both"/>
        <w:rPr>
          <w:rFonts w:ascii="Bookman Old Style" w:hAnsi="Bookman Old Style"/>
          <w:sz w:val="24"/>
          <w:szCs w:val="24"/>
        </w:rPr>
      </w:pPr>
    </w:p>
    <w:p w:rsidR="00D307F6" w:rsidRPr="00D307F6" w:rsidRDefault="00D307F6" w:rsidP="00D307F6">
      <w:pPr>
        <w:pStyle w:val="NoSpacing"/>
        <w:jc w:val="center"/>
        <w:rPr>
          <w:rFonts w:ascii="Bookman Old Style" w:hAnsi="Bookman Old Style"/>
          <w:b/>
          <w:sz w:val="24"/>
          <w:szCs w:val="24"/>
        </w:rPr>
      </w:pPr>
      <w:r w:rsidRPr="00D307F6">
        <w:rPr>
          <w:rFonts w:ascii="Bookman Old Style" w:hAnsi="Bookman Old Style"/>
          <w:b/>
          <w:sz w:val="24"/>
          <w:szCs w:val="24"/>
        </w:rPr>
        <w:t>A.M. WOOD</w:t>
      </w:r>
    </w:p>
    <w:p w:rsidR="00D307F6" w:rsidRPr="00D307F6" w:rsidRDefault="00D307F6" w:rsidP="00D307F6">
      <w:pPr>
        <w:pStyle w:val="NoSpacing"/>
        <w:jc w:val="center"/>
        <w:rPr>
          <w:rFonts w:ascii="Bookman Old Style" w:hAnsi="Bookman Old Style"/>
          <w:b/>
          <w:sz w:val="24"/>
          <w:szCs w:val="24"/>
          <w:u w:val="single"/>
        </w:rPr>
      </w:pPr>
      <w:r w:rsidRPr="00D307F6">
        <w:rPr>
          <w:rFonts w:ascii="Bookman Old Style" w:hAnsi="Bookman Old Style"/>
          <w:b/>
          <w:sz w:val="24"/>
          <w:szCs w:val="24"/>
          <w:u w:val="single"/>
        </w:rPr>
        <w:t>JUDGE</w:t>
      </w:r>
    </w:p>
    <w:sectPr w:rsidR="00D307F6" w:rsidRPr="00D307F6" w:rsidSect="008757B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341" w:rsidRDefault="00021341" w:rsidP="008757BD">
      <w:pPr>
        <w:spacing w:after="0" w:line="240" w:lineRule="auto"/>
      </w:pPr>
      <w:r>
        <w:separator/>
      </w:r>
    </w:p>
  </w:endnote>
  <w:endnote w:type="continuationSeparator" w:id="1">
    <w:p w:rsidR="00021341" w:rsidRDefault="00021341" w:rsidP="00875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341" w:rsidRDefault="00021341" w:rsidP="008757BD">
      <w:pPr>
        <w:spacing w:after="0" w:line="240" w:lineRule="auto"/>
      </w:pPr>
      <w:r>
        <w:separator/>
      </w:r>
    </w:p>
  </w:footnote>
  <w:footnote w:type="continuationSeparator" w:id="1">
    <w:p w:rsidR="00021341" w:rsidRDefault="00021341" w:rsidP="00875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12189388"/>
      <w:docPartObj>
        <w:docPartGallery w:val="Page Numbers (Top of Page)"/>
        <w:docPartUnique/>
      </w:docPartObj>
    </w:sdtPr>
    <w:sdtContent>
      <w:p w:rsidR="00D96DCD" w:rsidRPr="008757BD" w:rsidRDefault="00D96DCD">
        <w:pPr>
          <w:pStyle w:val="Header"/>
          <w:jc w:val="center"/>
          <w:rPr>
            <w:rFonts w:ascii="Bookman Old Style" w:hAnsi="Bookman Old Style"/>
          </w:rPr>
        </w:pPr>
        <w:r w:rsidRPr="008757BD">
          <w:rPr>
            <w:rFonts w:ascii="Bookman Old Style" w:hAnsi="Bookman Old Style"/>
          </w:rPr>
          <w:t>R</w:t>
        </w:r>
        <w:r w:rsidR="00596B27" w:rsidRPr="008757BD">
          <w:rPr>
            <w:rFonts w:ascii="Bookman Old Style" w:hAnsi="Bookman Old Style"/>
          </w:rPr>
          <w:fldChar w:fldCharType="begin"/>
        </w:r>
        <w:r w:rsidRPr="008757BD">
          <w:rPr>
            <w:rFonts w:ascii="Bookman Old Style" w:hAnsi="Bookman Old Style"/>
          </w:rPr>
          <w:instrText xml:space="preserve"> PAGE   \* MERGEFORMAT </w:instrText>
        </w:r>
        <w:r w:rsidR="00596B27" w:rsidRPr="008757BD">
          <w:rPr>
            <w:rFonts w:ascii="Bookman Old Style" w:hAnsi="Bookman Old Style"/>
          </w:rPr>
          <w:fldChar w:fldCharType="separate"/>
        </w:r>
        <w:r w:rsidR="00547A6C">
          <w:rPr>
            <w:rFonts w:ascii="Bookman Old Style" w:hAnsi="Bookman Old Style"/>
            <w:noProof/>
          </w:rPr>
          <w:t>9</w:t>
        </w:r>
        <w:r w:rsidR="00596B27" w:rsidRPr="008757BD">
          <w:rPr>
            <w:rFonts w:ascii="Bookman Old Style" w:hAnsi="Bookman Old Style"/>
          </w:rPr>
          <w:fldChar w:fldCharType="end"/>
        </w:r>
      </w:p>
    </w:sdtContent>
  </w:sdt>
  <w:p w:rsidR="00D96DCD" w:rsidRDefault="00D96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841B5"/>
    <w:multiLevelType w:val="hybridMultilevel"/>
    <w:tmpl w:val="5C8C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6301F"/>
    <w:multiLevelType w:val="hybridMultilevel"/>
    <w:tmpl w:val="5B02C1DE"/>
    <w:lvl w:ilvl="0" w:tplc="1D582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43F8"/>
    <w:rsid w:val="0000182A"/>
    <w:rsid w:val="000037A1"/>
    <w:rsid w:val="00007700"/>
    <w:rsid w:val="00020D5D"/>
    <w:rsid w:val="00021341"/>
    <w:rsid w:val="00093D11"/>
    <w:rsid w:val="002B43F8"/>
    <w:rsid w:val="002E0C2E"/>
    <w:rsid w:val="003A3318"/>
    <w:rsid w:val="003C6912"/>
    <w:rsid w:val="0043787D"/>
    <w:rsid w:val="00454177"/>
    <w:rsid w:val="00547A6C"/>
    <w:rsid w:val="00596B27"/>
    <w:rsid w:val="005E2401"/>
    <w:rsid w:val="005F147E"/>
    <w:rsid w:val="00652797"/>
    <w:rsid w:val="006A61DB"/>
    <w:rsid w:val="006C47A5"/>
    <w:rsid w:val="007B0C69"/>
    <w:rsid w:val="00817E9D"/>
    <w:rsid w:val="008757BD"/>
    <w:rsid w:val="00B12989"/>
    <w:rsid w:val="00B553E1"/>
    <w:rsid w:val="00B7740F"/>
    <w:rsid w:val="00BD4763"/>
    <w:rsid w:val="00C870BB"/>
    <w:rsid w:val="00CF24A4"/>
    <w:rsid w:val="00D307F6"/>
    <w:rsid w:val="00D96DCD"/>
    <w:rsid w:val="00DB469B"/>
    <w:rsid w:val="00E11967"/>
    <w:rsid w:val="00F652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3F8"/>
    <w:pPr>
      <w:spacing w:after="0" w:line="240" w:lineRule="auto"/>
    </w:pPr>
  </w:style>
  <w:style w:type="paragraph" w:styleId="Header">
    <w:name w:val="header"/>
    <w:basedOn w:val="Normal"/>
    <w:link w:val="HeaderChar"/>
    <w:uiPriority w:val="99"/>
    <w:unhideWhenUsed/>
    <w:rsid w:val="0087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7BD"/>
  </w:style>
  <w:style w:type="paragraph" w:styleId="Footer">
    <w:name w:val="footer"/>
    <w:basedOn w:val="Normal"/>
    <w:link w:val="FooterChar"/>
    <w:uiPriority w:val="99"/>
    <w:semiHidden/>
    <w:unhideWhenUsed/>
    <w:rsid w:val="00875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57BD"/>
  </w:style>
  <w:style w:type="paragraph" w:styleId="ListParagraph">
    <w:name w:val="List Paragraph"/>
    <w:basedOn w:val="Normal"/>
    <w:uiPriority w:val="34"/>
    <w:qFormat/>
    <w:rsid w:val="005E2401"/>
    <w:pPr>
      <w:ind w:left="720"/>
      <w:contextualSpacing/>
    </w:pPr>
  </w:style>
  <w:style w:type="paragraph" w:styleId="BalloonText">
    <w:name w:val="Balloon Text"/>
    <w:basedOn w:val="Normal"/>
    <w:link w:val="BalloonTextChar"/>
    <w:uiPriority w:val="99"/>
    <w:semiHidden/>
    <w:unhideWhenUsed/>
    <w:rsid w:val="00D3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3895-2A6D-436D-9394-37D23544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11</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2011-02-28T07:14:00Z</cp:lastPrinted>
  <dcterms:created xsi:type="dcterms:W3CDTF">2011-02-25T09:00:00Z</dcterms:created>
  <dcterms:modified xsi:type="dcterms:W3CDTF">2011-02-28T08:55:00Z</dcterms:modified>
</cp:coreProperties>
</file>