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A6" w:rsidRDefault="00683EA6" w:rsidP="00683EA6">
      <w:pPr>
        <w:pStyle w:val="NoSpacing"/>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2011/HPC/0023</w:t>
      </w:r>
    </w:p>
    <w:p w:rsidR="00683EA6" w:rsidRDefault="00683EA6" w:rsidP="00683EA6">
      <w:pPr>
        <w:pStyle w:val="NoSpacing"/>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683EA6" w:rsidRDefault="00683EA6" w:rsidP="00683EA6">
      <w:pPr>
        <w:pStyle w:val="NoSpacing"/>
        <w:ind w:left="0" w:firstLine="0"/>
        <w:contextualSpacing/>
        <w:rPr>
          <w:rFonts w:ascii="Bookman Old Style" w:hAnsi="Bookman Old Style"/>
          <w:b/>
          <w:sz w:val="24"/>
          <w:szCs w:val="24"/>
        </w:rPr>
      </w:pPr>
      <w:r>
        <w:rPr>
          <w:rFonts w:ascii="Bookman Old Style" w:hAnsi="Bookman Old Style"/>
          <w:b/>
          <w:sz w:val="24"/>
          <w:szCs w:val="24"/>
        </w:rPr>
        <w:t>HOLDEN AT LUSAKA</w:t>
      </w:r>
    </w:p>
    <w:p w:rsidR="00683EA6" w:rsidRDefault="00683EA6" w:rsidP="00683EA6">
      <w:pPr>
        <w:pStyle w:val="NoSpacing"/>
        <w:ind w:left="0" w:firstLine="0"/>
        <w:contextualSpacing/>
        <w:rPr>
          <w:rFonts w:ascii="Bookman Old Style" w:hAnsi="Bookman Old Style"/>
          <w:i/>
          <w:sz w:val="24"/>
          <w:szCs w:val="24"/>
        </w:rPr>
      </w:pPr>
      <w:r>
        <w:rPr>
          <w:rFonts w:ascii="Bookman Old Style" w:hAnsi="Bookman Old Style"/>
          <w:i/>
          <w:sz w:val="24"/>
          <w:szCs w:val="24"/>
        </w:rPr>
        <w:t>(Civil Jurisdiction)</w:t>
      </w: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ELMAR ENGINEERING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683EA6" w:rsidRDefault="00683EA6" w:rsidP="00683EA6">
      <w:pPr>
        <w:pStyle w:val="NoSpacing"/>
        <w:spacing w:line="360" w:lineRule="auto"/>
        <w:ind w:left="0" w:firstLine="0"/>
        <w:contextualSpacing/>
        <w:rPr>
          <w:rFonts w:ascii="Bookman Old Style" w:hAnsi="Bookman Old Style"/>
          <w:b/>
          <w:sz w:val="24"/>
          <w:szCs w:val="24"/>
        </w:rPr>
      </w:pPr>
    </w:p>
    <w:p w:rsidR="00683EA6" w:rsidRDefault="00683EA6" w:rsidP="00683EA6">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ind w:left="0" w:firstLine="720"/>
        <w:contextualSpacing/>
        <w:rPr>
          <w:rFonts w:ascii="Bookman Old Style" w:hAnsi="Bookman Old Style"/>
          <w:b/>
          <w:sz w:val="24"/>
          <w:szCs w:val="24"/>
        </w:rPr>
      </w:pPr>
      <w:r>
        <w:rPr>
          <w:rFonts w:ascii="Bookman Old Style" w:hAnsi="Bookman Old Style"/>
          <w:b/>
          <w:sz w:val="24"/>
          <w:szCs w:val="24"/>
        </w:rPr>
        <w:t>ALLEGRA MINING ZAMBIA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683EA6" w:rsidRDefault="00683EA6" w:rsidP="00683EA6">
      <w:pPr>
        <w:pStyle w:val="NoSpacing"/>
        <w:ind w:left="0" w:firstLine="720"/>
        <w:contextualSpacing/>
        <w:rPr>
          <w:rFonts w:ascii="Bookman Old Style" w:hAnsi="Bookman Old Style"/>
          <w:b/>
          <w:sz w:val="24"/>
          <w:szCs w:val="24"/>
        </w:rPr>
      </w:pP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ind w:left="0" w:firstLine="0"/>
        <w:contextualSpacing/>
        <w:rPr>
          <w:rFonts w:ascii="Bookman Old Style" w:hAnsi="Bookman Old Style"/>
          <w:b/>
        </w:rPr>
      </w:pPr>
      <w:r>
        <w:rPr>
          <w:rFonts w:ascii="Bookman Old Style" w:hAnsi="Bookman Old Style"/>
          <w:b/>
        </w:rPr>
        <w:t xml:space="preserve">BEFORE THE HON. JUSTICE NIGEL K. MUTUNA </w:t>
      </w:r>
      <w:r w:rsidR="008B118D">
        <w:rPr>
          <w:rFonts w:ascii="Bookman Old Style" w:hAnsi="Bookman Old Style"/>
          <w:b/>
        </w:rPr>
        <w:t>ON 1</w:t>
      </w:r>
      <w:r w:rsidR="00DA6D4F">
        <w:rPr>
          <w:rFonts w:ascii="Bookman Old Style" w:hAnsi="Bookman Old Style"/>
          <w:b/>
        </w:rPr>
        <w:t>3</w:t>
      </w:r>
      <w:r w:rsidR="008B118D" w:rsidRPr="008B118D">
        <w:rPr>
          <w:rFonts w:ascii="Bookman Old Style" w:hAnsi="Bookman Old Style"/>
          <w:b/>
          <w:vertAlign w:val="superscript"/>
        </w:rPr>
        <w:t>th</w:t>
      </w:r>
      <w:r w:rsidR="008B118D">
        <w:rPr>
          <w:rFonts w:ascii="Bookman Old Style" w:hAnsi="Bookman Old Style"/>
          <w:b/>
        </w:rPr>
        <w:t xml:space="preserve"> </w:t>
      </w:r>
      <w:r>
        <w:rPr>
          <w:rFonts w:ascii="Bookman Old Style" w:hAnsi="Bookman Old Style"/>
          <w:b/>
        </w:rPr>
        <w:t>DAY OF JULY, 2011</w:t>
      </w: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spacing w:line="276" w:lineRule="auto"/>
        <w:ind w:left="0" w:firstLine="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t>:</w:t>
      </w:r>
      <w:r>
        <w:rPr>
          <w:rFonts w:ascii="Bookman Old Style" w:hAnsi="Bookman Old Style"/>
        </w:rPr>
        <w:tab/>
        <w:t>Mr. Madaika of Simeza Sangwa &amp; Associates</w:t>
      </w:r>
    </w:p>
    <w:p w:rsidR="00683EA6" w:rsidRDefault="00683EA6" w:rsidP="00683EA6">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t>:</w:t>
      </w:r>
      <w:r>
        <w:rPr>
          <w:rFonts w:ascii="Bookman Old Style" w:hAnsi="Bookman Old Style"/>
        </w:rPr>
        <w:tab/>
        <w:t>Mr. P. Chungu Ranchod Chungu Advocates</w:t>
      </w:r>
    </w:p>
    <w:p w:rsidR="00683EA6" w:rsidRDefault="00683EA6" w:rsidP="00683EA6">
      <w:pPr>
        <w:pStyle w:val="NoSpacing"/>
        <w:pBdr>
          <w:bottom w:val="single" w:sz="6" w:space="1" w:color="auto"/>
        </w:pBdr>
        <w:spacing w:line="276" w:lineRule="auto"/>
        <w:ind w:left="0" w:firstLine="0"/>
        <w:contextualSpacing/>
        <w:rPr>
          <w:rFonts w:ascii="Bookman Old Style" w:hAnsi="Bookman Old Style"/>
        </w:rPr>
      </w:pPr>
    </w:p>
    <w:p w:rsidR="00683EA6" w:rsidRDefault="00683EA6" w:rsidP="00683EA6">
      <w:pPr>
        <w:pStyle w:val="NoSpacing"/>
        <w:ind w:left="0" w:firstLine="0"/>
        <w:contextualSpacing/>
        <w:rPr>
          <w:rFonts w:ascii="Bookman Old Style" w:hAnsi="Bookman Old Style"/>
          <w:b/>
          <w:sz w:val="24"/>
          <w:szCs w:val="24"/>
        </w:rPr>
      </w:pPr>
    </w:p>
    <w:p w:rsidR="00683EA6" w:rsidRDefault="00683EA6" w:rsidP="00683EA6">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683EA6" w:rsidRDefault="00683EA6" w:rsidP="00683EA6">
      <w:pPr>
        <w:pStyle w:val="NoSpacing"/>
        <w:pBdr>
          <w:bottom w:val="single" w:sz="6" w:space="1" w:color="auto"/>
        </w:pBdr>
        <w:ind w:left="0" w:firstLine="0"/>
        <w:contextualSpacing/>
        <w:jc w:val="center"/>
        <w:rPr>
          <w:rFonts w:ascii="Bookman Old Style" w:hAnsi="Bookman Old Style"/>
          <w:b/>
          <w:sz w:val="32"/>
          <w:szCs w:val="28"/>
        </w:rPr>
      </w:pPr>
    </w:p>
    <w:p w:rsidR="00683EA6" w:rsidRDefault="00683EA6" w:rsidP="00683EA6">
      <w:pPr>
        <w:pStyle w:val="NoSpacing"/>
        <w:ind w:left="0" w:firstLine="0"/>
        <w:jc w:val="right"/>
        <w:rPr>
          <w:rFonts w:ascii="Bookman Old Style" w:hAnsi="Bookman Old Style"/>
          <w:sz w:val="24"/>
          <w:szCs w:val="24"/>
        </w:rPr>
      </w:pPr>
    </w:p>
    <w:p w:rsidR="00683EA6" w:rsidRDefault="00683EA6" w:rsidP="00683EA6">
      <w:pPr>
        <w:pStyle w:val="NoSpacing"/>
        <w:ind w:left="0" w:firstLine="0"/>
        <w:rPr>
          <w:rFonts w:ascii="Bookman Old Style" w:hAnsi="Bookman Old Style"/>
          <w:sz w:val="24"/>
          <w:szCs w:val="24"/>
          <w:u w:val="single"/>
        </w:rPr>
      </w:pPr>
    </w:p>
    <w:p w:rsidR="00683EA6" w:rsidRDefault="00683EA6" w:rsidP="00683EA6">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683EA6" w:rsidRDefault="00683EA6" w:rsidP="00683EA6">
      <w:pPr>
        <w:pStyle w:val="NoSpacing"/>
        <w:ind w:left="0" w:firstLine="0"/>
        <w:rPr>
          <w:rFonts w:ascii="Bookman Old Style" w:hAnsi="Bookman Old Style"/>
          <w:sz w:val="24"/>
          <w:szCs w:val="24"/>
        </w:rPr>
      </w:pPr>
    </w:p>
    <w:p w:rsidR="00683EA6" w:rsidRPr="00B72DF9" w:rsidRDefault="00683EA6"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 xml:space="preserve"> </w:t>
      </w:r>
      <w:r w:rsidR="00B72DF9">
        <w:rPr>
          <w:rFonts w:ascii="Bookman Old Style" w:hAnsi="Bookman Old Style"/>
          <w:b/>
          <w:i/>
        </w:rPr>
        <w:t>Smith –VS- Peters (1895) LR.</w:t>
      </w:r>
    </w:p>
    <w:p w:rsidR="00B72DF9" w:rsidRPr="00B72DF9" w:rsidRDefault="00B72DF9"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Bank Mellat –VS- Nikpour (1985) Com. L.R. 158.</w:t>
      </w:r>
    </w:p>
    <w:p w:rsidR="00B72DF9" w:rsidRPr="00B72DF9" w:rsidRDefault="00B72DF9"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R –VS- Kensignton Insurance Tax Commissioners Ex-parte Polynac (1917) 1</w:t>
      </w:r>
      <w:r w:rsidR="008B118D">
        <w:rPr>
          <w:rFonts w:ascii="Bookman Old Style" w:hAnsi="Bookman Old Style"/>
          <w:b/>
          <w:i/>
        </w:rPr>
        <w:t>KB</w:t>
      </w:r>
      <w:r>
        <w:rPr>
          <w:rFonts w:ascii="Bookman Old Style" w:hAnsi="Bookman Old Style"/>
          <w:b/>
          <w:i/>
        </w:rPr>
        <w:t xml:space="preserve"> 486.</w:t>
      </w:r>
    </w:p>
    <w:p w:rsidR="00B72DF9" w:rsidRPr="00B72DF9" w:rsidRDefault="008B118D"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Third Chandr</w:t>
      </w:r>
      <w:r w:rsidR="00B72DF9">
        <w:rPr>
          <w:rFonts w:ascii="Bookman Old Style" w:hAnsi="Bookman Old Style"/>
          <w:b/>
          <w:i/>
        </w:rPr>
        <w:t>is Corporation –VS- Unimarine SA (1979) QB 645.</w:t>
      </w:r>
    </w:p>
    <w:p w:rsidR="00B72DF9" w:rsidRPr="00B72DF9" w:rsidRDefault="00B72DF9"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London and Blackwall RY –VS- Cross (1886) 31 Ch D 345.</w:t>
      </w:r>
    </w:p>
    <w:p w:rsidR="00B72DF9" w:rsidRPr="00296EF3" w:rsidRDefault="008B118D"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Ar</w:t>
      </w:r>
      <w:r w:rsidR="00B72DF9">
        <w:rPr>
          <w:rFonts w:ascii="Bookman Old Style" w:hAnsi="Bookman Old Style"/>
          <w:b/>
          <w:i/>
        </w:rPr>
        <w:t>isto</w:t>
      </w:r>
      <w:r>
        <w:rPr>
          <w:rFonts w:ascii="Bookman Old Style" w:hAnsi="Bookman Old Style"/>
          <w:b/>
          <w:i/>
        </w:rPr>
        <w:t>gerasimos Vangelatos –VS- Demetr</w:t>
      </w:r>
      <w:r w:rsidR="00B72DF9">
        <w:rPr>
          <w:rFonts w:ascii="Bookman Old Style" w:hAnsi="Bookman Old Style"/>
          <w:b/>
          <w:i/>
        </w:rPr>
        <w:t>e Vangelatos, Detec</w:t>
      </w:r>
      <w:r>
        <w:rPr>
          <w:rFonts w:ascii="Bookman Old Style" w:hAnsi="Bookman Old Style"/>
          <w:b/>
          <w:i/>
        </w:rPr>
        <w:t>tive</w:t>
      </w:r>
      <w:r w:rsidR="00B72DF9">
        <w:rPr>
          <w:rFonts w:ascii="Bookman Old Style" w:hAnsi="Bookman Old Style"/>
          <w:b/>
          <w:i/>
        </w:rPr>
        <w:t xml:space="preserve"> Constable Chishimba and V.B. Malambo (Partner Malambo and Company) (2005) ZR 132.</w:t>
      </w:r>
    </w:p>
    <w:p w:rsidR="00296EF3" w:rsidRDefault="008B118D" w:rsidP="00B72DF9">
      <w:pPr>
        <w:pStyle w:val="NoSpacing"/>
        <w:numPr>
          <w:ilvl w:val="0"/>
          <w:numId w:val="1"/>
        </w:numPr>
        <w:contextualSpacing/>
        <w:rPr>
          <w:rFonts w:ascii="Bookman Old Style" w:hAnsi="Bookman Old Style"/>
          <w:b/>
          <w:i/>
          <w:sz w:val="24"/>
          <w:szCs w:val="24"/>
          <w:u w:val="single"/>
        </w:rPr>
      </w:pPr>
      <w:r>
        <w:rPr>
          <w:rFonts w:ascii="Bookman Old Style" w:hAnsi="Bookman Old Style"/>
          <w:b/>
          <w:i/>
        </w:rPr>
        <w:t>Mar</w:t>
      </w:r>
      <w:r w:rsidR="00296EF3">
        <w:rPr>
          <w:rFonts w:ascii="Bookman Old Style" w:hAnsi="Bookman Old Style"/>
          <w:b/>
          <w:i/>
        </w:rPr>
        <w:t xml:space="preserve">eva Compania Navera SA –VS- International Bulkcarriers SA (1980) 1 ALL ER page 213. </w:t>
      </w:r>
    </w:p>
    <w:p w:rsidR="00683EA6" w:rsidRDefault="00683EA6" w:rsidP="00683EA6">
      <w:pPr>
        <w:pStyle w:val="NoSpacing"/>
        <w:ind w:left="0" w:firstLine="0"/>
        <w:rPr>
          <w:rFonts w:ascii="Bookman Old Style" w:hAnsi="Bookman Old Style"/>
          <w:sz w:val="24"/>
          <w:szCs w:val="24"/>
          <w:u w:val="single"/>
        </w:rPr>
      </w:pPr>
    </w:p>
    <w:p w:rsidR="00683EA6" w:rsidRDefault="00683EA6" w:rsidP="00683EA6">
      <w:pPr>
        <w:pStyle w:val="NoSpacing"/>
        <w:ind w:left="0" w:firstLine="0"/>
        <w:rPr>
          <w:rFonts w:ascii="Bookman Old Style" w:hAnsi="Bookman Old Style"/>
          <w:sz w:val="24"/>
          <w:szCs w:val="24"/>
          <w:u w:val="single"/>
        </w:rPr>
      </w:pPr>
    </w:p>
    <w:p w:rsidR="00683EA6" w:rsidRDefault="00683EA6" w:rsidP="00683EA6">
      <w:pPr>
        <w:pStyle w:val="NoSpacing"/>
        <w:ind w:left="0" w:firstLine="0"/>
        <w:rPr>
          <w:rFonts w:ascii="Bookman Old Style" w:hAnsi="Bookman Old Style"/>
          <w:sz w:val="24"/>
          <w:szCs w:val="24"/>
          <w:u w:val="single"/>
        </w:rPr>
      </w:pPr>
    </w:p>
    <w:p w:rsidR="00683EA6" w:rsidRDefault="00683EA6" w:rsidP="00683EA6">
      <w:pPr>
        <w:pStyle w:val="NoSpacing"/>
        <w:ind w:left="0" w:firstLine="0"/>
        <w:rPr>
          <w:rFonts w:ascii="Bookman Old Style" w:hAnsi="Bookman Old Style"/>
          <w:sz w:val="24"/>
          <w:szCs w:val="24"/>
          <w:u w:val="single"/>
        </w:rPr>
      </w:pPr>
    </w:p>
    <w:p w:rsidR="00683EA6" w:rsidRDefault="00683EA6" w:rsidP="00683EA6">
      <w:pPr>
        <w:pStyle w:val="NoSpacing"/>
        <w:ind w:left="0" w:firstLine="0"/>
        <w:rPr>
          <w:rFonts w:ascii="Bookman Old Style" w:hAnsi="Bookman Old Style"/>
          <w:sz w:val="24"/>
          <w:szCs w:val="24"/>
          <w:u w:val="single"/>
        </w:rPr>
      </w:pPr>
      <w:r>
        <w:rPr>
          <w:rFonts w:ascii="Bookman Old Style" w:hAnsi="Bookman Old Style"/>
          <w:sz w:val="24"/>
          <w:szCs w:val="24"/>
          <w:u w:val="single"/>
        </w:rPr>
        <w:lastRenderedPageBreak/>
        <w:t>Other authorities referred to:</w:t>
      </w:r>
    </w:p>
    <w:p w:rsidR="00683EA6" w:rsidRDefault="00683EA6" w:rsidP="00683EA6">
      <w:pPr>
        <w:pStyle w:val="NoSpacing"/>
        <w:rPr>
          <w:rFonts w:ascii="Bookman Old Style" w:hAnsi="Bookman Old Style"/>
          <w:sz w:val="24"/>
          <w:szCs w:val="24"/>
        </w:rPr>
      </w:pPr>
    </w:p>
    <w:p w:rsidR="00683EA6" w:rsidRDefault="00BB65D1" w:rsidP="00683EA6">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rPr>
        <w:t>Supreme Court Practice, 1999, Volume 1.</w:t>
      </w:r>
    </w:p>
    <w:p w:rsidR="00683EA6" w:rsidRDefault="00BB65D1" w:rsidP="00683EA6">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sz w:val="24"/>
          <w:szCs w:val="24"/>
        </w:rPr>
        <w:t>Halsbury’s Laws of England third edition, Volume 21 page 343.</w:t>
      </w:r>
    </w:p>
    <w:p w:rsidR="00BB65D1" w:rsidRDefault="00BB65D1" w:rsidP="00683EA6">
      <w:pPr>
        <w:pStyle w:val="ListParagraph"/>
        <w:numPr>
          <w:ilvl w:val="0"/>
          <w:numId w:val="2"/>
        </w:numPr>
        <w:spacing w:after="0"/>
        <w:rPr>
          <w:rFonts w:ascii="Bookman Old Style" w:hAnsi="Bookman Old Style" w:cs="Times New Roman"/>
          <w:b/>
          <w:i/>
          <w:sz w:val="24"/>
          <w:szCs w:val="24"/>
        </w:rPr>
      </w:pPr>
      <w:r>
        <w:rPr>
          <w:rFonts w:ascii="Bookman Old Style" w:hAnsi="Bookman Old Style" w:cs="Times New Roman"/>
          <w:b/>
          <w:i/>
          <w:sz w:val="24"/>
          <w:szCs w:val="24"/>
        </w:rPr>
        <w:t>Commercial Litigation: Premptive Remedies, third edition Sweet and Maxwell 1997 page 207.</w:t>
      </w:r>
    </w:p>
    <w:p w:rsidR="00683EA6" w:rsidRDefault="00683EA6" w:rsidP="00683EA6">
      <w:pPr>
        <w:rPr>
          <w:rFonts w:ascii="Bookman Old Style" w:hAnsi="Bookman Old Style" w:cs="Times New Roman"/>
          <w:b/>
          <w:i/>
          <w:sz w:val="24"/>
          <w:szCs w:val="24"/>
        </w:rPr>
      </w:pPr>
    </w:p>
    <w:p w:rsidR="00BB65D1" w:rsidRDefault="00BB65D1" w:rsidP="00BB65D1">
      <w:pPr>
        <w:spacing w:after="0" w:line="360" w:lineRule="auto"/>
        <w:rPr>
          <w:rFonts w:ascii="Bookman Old Style" w:hAnsi="Bookman Old Style" w:cs="Times New Roman"/>
          <w:sz w:val="24"/>
          <w:szCs w:val="24"/>
        </w:rPr>
      </w:pPr>
      <w:r>
        <w:rPr>
          <w:rFonts w:ascii="Bookman Old Style" w:hAnsi="Bookman Old Style" w:cs="Times New Roman"/>
          <w:sz w:val="24"/>
          <w:szCs w:val="24"/>
        </w:rPr>
        <w:t>On 13</w:t>
      </w:r>
      <w:r w:rsidRPr="00BB65D1">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May, 2011, I granted an ex-parte order for a </w:t>
      </w:r>
      <w:r w:rsidR="00A3171C">
        <w:rPr>
          <w:rFonts w:ascii="Bookman Old Style" w:hAnsi="Bookman Old Style" w:cs="Times New Roman"/>
          <w:i/>
          <w:sz w:val="24"/>
          <w:szCs w:val="24"/>
        </w:rPr>
        <w:t>m</w:t>
      </w:r>
      <w:r w:rsidR="001036EB" w:rsidRPr="001036EB">
        <w:rPr>
          <w:rFonts w:ascii="Bookman Old Style" w:hAnsi="Bookman Old Style" w:cs="Times New Roman"/>
          <w:i/>
          <w:sz w:val="24"/>
          <w:szCs w:val="24"/>
        </w:rPr>
        <w:t>areva</w:t>
      </w:r>
      <w:r>
        <w:rPr>
          <w:rFonts w:ascii="Bookman Old Style" w:hAnsi="Bookman Old Style" w:cs="Times New Roman"/>
          <w:sz w:val="24"/>
          <w:szCs w:val="24"/>
        </w:rPr>
        <w:t xml:space="preserve"> injunction in favour of the Plaintiff again</w:t>
      </w:r>
      <w:r w:rsidR="00A3171C">
        <w:rPr>
          <w:rFonts w:ascii="Bookman Old Style" w:hAnsi="Bookman Old Style" w:cs="Times New Roman"/>
          <w:sz w:val="24"/>
          <w:szCs w:val="24"/>
        </w:rPr>
        <w:t>st the Defendant.  The matter came</w:t>
      </w:r>
      <w:r>
        <w:rPr>
          <w:rFonts w:ascii="Bookman Old Style" w:hAnsi="Bookman Old Style" w:cs="Times New Roman"/>
          <w:sz w:val="24"/>
          <w:szCs w:val="24"/>
        </w:rPr>
        <w:t xml:space="preserve"> up </w:t>
      </w:r>
      <w:r w:rsidR="00A3171C">
        <w:rPr>
          <w:rFonts w:ascii="Bookman Old Style" w:hAnsi="Bookman Old Style" w:cs="Times New Roman"/>
          <w:sz w:val="24"/>
          <w:szCs w:val="24"/>
        </w:rPr>
        <w:t>on inter parte hearing on 8</w:t>
      </w:r>
      <w:r w:rsidR="00A3171C" w:rsidRPr="00A3171C">
        <w:rPr>
          <w:rFonts w:ascii="Bookman Old Style" w:hAnsi="Bookman Old Style" w:cs="Times New Roman"/>
          <w:sz w:val="24"/>
          <w:szCs w:val="24"/>
          <w:vertAlign w:val="superscript"/>
        </w:rPr>
        <w:t>th</w:t>
      </w:r>
      <w:r w:rsidR="00A3171C">
        <w:rPr>
          <w:rFonts w:ascii="Bookman Old Style" w:hAnsi="Bookman Old Style" w:cs="Times New Roman"/>
          <w:sz w:val="24"/>
          <w:szCs w:val="24"/>
        </w:rPr>
        <w:t xml:space="preserve"> June, 2011</w:t>
      </w:r>
      <w:r w:rsidR="008A60CB">
        <w:rPr>
          <w:rFonts w:ascii="Bookman Old Style" w:hAnsi="Bookman Old Style" w:cs="Times New Roman"/>
          <w:sz w:val="24"/>
          <w:szCs w:val="24"/>
        </w:rPr>
        <w:t>.</w:t>
      </w:r>
      <w:r w:rsidR="00A3171C">
        <w:rPr>
          <w:rFonts w:ascii="Bookman Old Style" w:hAnsi="Bookman Old Style" w:cs="Times New Roman"/>
          <w:sz w:val="24"/>
          <w:szCs w:val="24"/>
        </w:rPr>
        <w:t xml:space="preserve"> </w:t>
      </w:r>
      <w:r w:rsidR="008A60CB">
        <w:rPr>
          <w:rFonts w:ascii="Bookman Old Style" w:hAnsi="Bookman Old Style" w:cs="Times New Roman"/>
          <w:sz w:val="24"/>
          <w:szCs w:val="24"/>
        </w:rPr>
        <w:t xml:space="preserve"> The</w:t>
      </w:r>
      <w:r>
        <w:rPr>
          <w:rFonts w:ascii="Bookman Old Style" w:hAnsi="Bookman Old Style" w:cs="Times New Roman"/>
          <w:sz w:val="24"/>
          <w:szCs w:val="24"/>
        </w:rPr>
        <w:t xml:space="preserve"> relief sought by the Plaintiff as endorsed in the summons is as follows;</w:t>
      </w:r>
    </w:p>
    <w:p w:rsidR="001036EB" w:rsidRPr="00A3171C" w:rsidRDefault="00BB65D1" w:rsidP="00BB65D1">
      <w:pPr>
        <w:spacing w:after="0" w:line="360" w:lineRule="auto"/>
        <w:ind w:left="720"/>
        <w:rPr>
          <w:rFonts w:ascii="Bookman Old Style" w:hAnsi="Bookman Old Style" w:cs="Times New Roman"/>
          <w:i/>
          <w:sz w:val="24"/>
          <w:szCs w:val="24"/>
        </w:rPr>
      </w:pPr>
      <w:r w:rsidRPr="00A3171C">
        <w:rPr>
          <w:rFonts w:ascii="Bookman Old Style" w:hAnsi="Bookman Old Style" w:cs="Times New Roman"/>
          <w:i/>
          <w:sz w:val="24"/>
          <w:szCs w:val="24"/>
        </w:rPr>
        <w:t xml:space="preserve">“(i) </w:t>
      </w:r>
      <w:r w:rsidRPr="00A3171C">
        <w:rPr>
          <w:rFonts w:ascii="Bookman Old Style" w:hAnsi="Bookman Old Style" w:cs="Times New Roman"/>
          <w:i/>
          <w:sz w:val="24"/>
          <w:szCs w:val="24"/>
        </w:rPr>
        <w:tab/>
        <w:t xml:space="preserve">The Defendant whether by itself, its servants or agents or any </w:t>
      </w:r>
    </w:p>
    <w:p w:rsidR="00BB65D1" w:rsidRPr="00A3171C" w:rsidRDefault="00BB65D1" w:rsidP="001036EB">
      <w:pPr>
        <w:spacing w:after="0" w:line="360" w:lineRule="auto"/>
        <w:ind w:left="1440"/>
        <w:rPr>
          <w:rFonts w:ascii="Bookman Old Style" w:hAnsi="Bookman Old Style" w:cs="Times New Roman"/>
          <w:i/>
          <w:sz w:val="24"/>
          <w:szCs w:val="24"/>
        </w:rPr>
      </w:pPr>
      <w:r w:rsidRPr="00A3171C">
        <w:rPr>
          <w:rFonts w:ascii="Bookman Old Style" w:hAnsi="Bookman Old Style" w:cs="Times New Roman"/>
          <w:i/>
          <w:sz w:val="24"/>
          <w:szCs w:val="24"/>
        </w:rPr>
        <w:t>of then or otherwise howsoever be restrained from removing from the jurisdiction or in any way dealing with or diminishing the value of any of its assets whether held in its own name or not and whether solely or jointly owned;</w:t>
      </w:r>
    </w:p>
    <w:p w:rsidR="001036EB" w:rsidRPr="00A3171C" w:rsidRDefault="00BB65D1" w:rsidP="00BB65D1">
      <w:pPr>
        <w:spacing w:after="0" w:line="360" w:lineRule="auto"/>
        <w:ind w:left="720"/>
        <w:rPr>
          <w:rFonts w:ascii="Bookman Old Style" w:hAnsi="Bookman Old Style" w:cs="Times New Roman"/>
          <w:i/>
          <w:sz w:val="24"/>
          <w:szCs w:val="24"/>
        </w:rPr>
      </w:pPr>
      <w:r w:rsidRPr="00A3171C">
        <w:rPr>
          <w:rFonts w:ascii="Bookman Old Style" w:hAnsi="Bookman Old Style" w:cs="Times New Roman"/>
          <w:i/>
          <w:sz w:val="24"/>
          <w:szCs w:val="24"/>
        </w:rPr>
        <w:t>(ii)</w:t>
      </w:r>
      <w:r w:rsidRPr="00A3171C">
        <w:rPr>
          <w:rFonts w:ascii="Bookman Old Style" w:hAnsi="Bookman Old Style" w:cs="Times New Roman"/>
          <w:i/>
          <w:sz w:val="24"/>
          <w:szCs w:val="24"/>
        </w:rPr>
        <w:tab/>
        <w:t xml:space="preserve">The Defendant whether by itself, its servants or agents or any </w:t>
      </w:r>
    </w:p>
    <w:p w:rsidR="00BB65D1" w:rsidRPr="00A3171C" w:rsidRDefault="00BB65D1" w:rsidP="001036EB">
      <w:pPr>
        <w:spacing w:after="0" w:line="360" w:lineRule="auto"/>
        <w:ind w:left="1440"/>
        <w:rPr>
          <w:rFonts w:ascii="Bookman Old Style" w:hAnsi="Bookman Old Style" w:cs="Times New Roman"/>
          <w:i/>
          <w:sz w:val="24"/>
          <w:szCs w:val="24"/>
        </w:rPr>
      </w:pPr>
      <w:r w:rsidRPr="00A3171C">
        <w:rPr>
          <w:rFonts w:ascii="Bookman Old Style" w:hAnsi="Bookman Old Style" w:cs="Times New Roman"/>
          <w:i/>
          <w:sz w:val="24"/>
          <w:szCs w:val="24"/>
        </w:rPr>
        <w:t>of them or otherwise howsoever be restrained from disposing of</w:t>
      </w:r>
      <w:r w:rsidR="00A3171C">
        <w:rPr>
          <w:rFonts w:ascii="Bookman Old Style" w:hAnsi="Bookman Old Style" w:cs="Times New Roman"/>
          <w:i/>
          <w:sz w:val="24"/>
          <w:szCs w:val="24"/>
        </w:rPr>
        <w:t>, assigning, char</w:t>
      </w:r>
      <w:r w:rsidRPr="00A3171C">
        <w:rPr>
          <w:rFonts w:ascii="Bookman Old Style" w:hAnsi="Bookman Old Style" w:cs="Times New Roman"/>
          <w:i/>
          <w:sz w:val="24"/>
          <w:szCs w:val="24"/>
        </w:rPr>
        <w:t xml:space="preserve">ging or otherwise dealing with any of its assets within the jurisdiction whether held in its own name or not and whether solely or jointly owned; and </w:t>
      </w:r>
    </w:p>
    <w:p w:rsidR="001036EB" w:rsidRPr="00A3171C" w:rsidRDefault="00BB65D1" w:rsidP="00BB65D1">
      <w:pPr>
        <w:spacing w:after="0" w:line="360" w:lineRule="auto"/>
        <w:ind w:left="720"/>
        <w:rPr>
          <w:rFonts w:ascii="Bookman Old Style" w:hAnsi="Bookman Old Style" w:cs="Times New Roman"/>
          <w:i/>
          <w:sz w:val="24"/>
          <w:szCs w:val="24"/>
        </w:rPr>
      </w:pPr>
      <w:r w:rsidRPr="00A3171C">
        <w:rPr>
          <w:rFonts w:ascii="Bookman Old Style" w:hAnsi="Bookman Old Style" w:cs="Times New Roman"/>
          <w:i/>
          <w:sz w:val="24"/>
          <w:szCs w:val="24"/>
        </w:rPr>
        <w:t xml:space="preserve">(iii)    The Defendant do cause to be sworn and filed into Court </w:t>
      </w:r>
    </w:p>
    <w:p w:rsidR="001036EB" w:rsidRPr="00A3171C" w:rsidRDefault="00BB65D1" w:rsidP="001036EB">
      <w:pPr>
        <w:spacing w:after="0" w:line="360" w:lineRule="auto"/>
        <w:ind w:left="720" w:firstLine="720"/>
        <w:rPr>
          <w:rFonts w:ascii="Bookman Old Style" w:hAnsi="Bookman Old Style" w:cs="Times New Roman"/>
          <w:i/>
          <w:sz w:val="24"/>
          <w:szCs w:val="24"/>
        </w:rPr>
      </w:pPr>
      <w:r w:rsidRPr="00A3171C">
        <w:rPr>
          <w:rFonts w:ascii="Bookman Old Style" w:hAnsi="Bookman Old Style" w:cs="Times New Roman"/>
          <w:i/>
          <w:sz w:val="24"/>
          <w:szCs w:val="24"/>
        </w:rPr>
        <w:t xml:space="preserve">within 7 days from date of the Order an affidavit in which it </w:t>
      </w:r>
    </w:p>
    <w:p w:rsidR="00B30FF1" w:rsidRPr="00A3171C" w:rsidRDefault="00BB65D1" w:rsidP="001036EB">
      <w:pPr>
        <w:spacing w:after="0" w:line="360" w:lineRule="auto"/>
        <w:ind w:left="1440"/>
        <w:rPr>
          <w:rFonts w:ascii="Bookman Old Style" w:hAnsi="Bookman Old Style" w:cs="Times New Roman"/>
          <w:i/>
          <w:sz w:val="24"/>
          <w:szCs w:val="24"/>
        </w:rPr>
      </w:pPr>
      <w:r w:rsidRPr="00A3171C">
        <w:rPr>
          <w:rFonts w:ascii="Bookman Old Style" w:hAnsi="Bookman Old Style" w:cs="Times New Roman"/>
          <w:i/>
          <w:sz w:val="24"/>
          <w:szCs w:val="24"/>
        </w:rPr>
        <w:t xml:space="preserve">discloses all its assets (including bank accounts) whether held in its own name or not and whether solely or jointly owned, giving the value, location and details of all such assets and exhibiting </w:t>
      </w:r>
      <w:r w:rsidR="00F452A1" w:rsidRPr="00A3171C">
        <w:rPr>
          <w:rFonts w:ascii="Bookman Old Style" w:hAnsi="Bookman Old Style" w:cs="Times New Roman"/>
          <w:i/>
          <w:sz w:val="24"/>
          <w:szCs w:val="24"/>
        </w:rPr>
        <w:t>all documents to evidence ownership, custody or control.”</w:t>
      </w:r>
      <w:r w:rsidRPr="00A3171C">
        <w:rPr>
          <w:rFonts w:ascii="Bookman Old Style" w:hAnsi="Bookman Old Style" w:cs="Times New Roman"/>
          <w:i/>
          <w:sz w:val="24"/>
          <w:szCs w:val="24"/>
        </w:rPr>
        <w:t xml:space="preserve">  </w:t>
      </w:r>
    </w:p>
    <w:p w:rsidR="00F452A1" w:rsidRPr="001036EB" w:rsidRDefault="00F452A1" w:rsidP="00F452A1">
      <w:pPr>
        <w:spacing w:after="0" w:line="360" w:lineRule="auto"/>
        <w:rPr>
          <w:rFonts w:ascii="Bookman Old Style" w:hAnsi="Bookman Old Style" w:cs="Times New Roman"/>
          <w:b/>
          <w:i/>
          <w:sz w:val="24"/>
          <w:szCs w:val="24"/>
        </w:rPr>
      </w:pPr>
    </w:p>
    <w:p w:rsidR="00F452A1" w:rsidRDefault="00F452A1" w:rsidP="00F452A1">
      <w:pPr>
        <w:spacing w:after="0" w:line="360" w:lineRule="auto"/>
        <w:rPr>
          <w:rFonts w:ascii="Bookman Old Style" w:hAnsi="Bookman Old Style"/>
          <w:sz w:val="24"/>
          <w:szCs w:val="24"/>
        </w:rPr>
      </w:pPr>
      <w:r w:rsidRPr="00F452A1">
        <w:rPr>
          <w:rFonts w:ascii="Bookman Old Style" w:hAnsi="Bookman Old Style"/>
          <w:sz w:val="24"/>
          <w:szCs w:val="24"/>
        </w:rPr>
        <w:t>The affida</w:t>
      </w:r>
      <w:r>
        <w:rPr>
          <w:rFonts w:ascii="Bookman Old Style" w:hAnsi="Bookman Old Style"/>
          <w:sz w:val="24"/>
          <w:szCs w:val="24"/>
        </w:rPr>
        <w:t xml:space="preserve">vit in support was sworn by one Elizabeth Grobbelaar </w:t>
      </w:r>
      <w:r w:rsidR="00401F36">
        <w:rPr>
          <w:rFonts w:ascii="Bookman Old Style" w:hAnsi="Bookman Old Style"/>
          <w:sz w:val="24"/>
          <w:szCs w:val="24"/>
        </w:rPr>
        <w:t xml:space="preserve">and it </w:t>
      </w:r>
      <w:r>
        <w:rPr>
          <w:rFonts w:ascii="Bookman Old Style" w:hAnsi="Bookman Old Style"/>
          <w:sz w:val="24"/>
          <w:szCs w:val="24"/>
        </w:rPr>
        <w:t>began by highlighting the business relationship between the two parties.  It went on to state that certain third parties had obtained an injunction agains</w:t>
      </w:r>
      <w:r w:rsidR="00401F36">
        <w:rPr>
          <w:rFonts w:ascii="Bookman Old Style" w:hAnsi="Bookman Old Style"/>
          <w:sz w:val="24"/>
          <w:szCs w:val="24"/>
        </w:rPr>
        <w:t>t the Defendant which undermined</w:t>
      </w:r>
      <w:r>
        <w:rPr>
          <w:rFonts w:ascii="Bookman Old Style" w:hAnsi="Bookman Old Style"/>
          <w:sz w:val="24"/>
          <w:szCs w:val="24"/>
        </w:rPr>
        <w:t xml:space="preserve"> the relationship of the two parties and put the </w:t>
      </w:r>
      <w:r>
        <w:rPr>
          <w:rFonts w:ascii="Bookman Old Style" w:hAnsi="Bookman Old Style"/>
          <w:sz w:val="24"/>
          <w:szCs w:val="24"/>
        </w:rPr>
        <w:lastRenderedPageBreak/>
        <w:t>equipment which is the subject of this dispute at risk.  This prompted the Plaintiff to remove some of the said equipment from the Defendant’s premises to a safe place.  The deponent went on to state as follows in relation to the status of the Defendant; it does not have substantial assets in Zambia to enable it satisfy any judgment that may be entered in favour of the Plaintiff; it is merely a subsidiary controlled</w:t>
      </w:r>
      <w:r w:rsidR="00401F36">
        <w:rPr>
          <w:rFonts w:ascii="Bookman Old Style" w:hAnsi="Bookman Old Style"/>
          <w:sz w:val="24"/>
          <w:szCs w:val="24"/>
        </w:rPr>
        <w:t>,</w:t>
      </w:r>
      <w:r>
        <w:rPr>
          <w:rFonts w:ascii="Bookman Old Style" w:hAnsi="Bookman Old Style"/>
          <w:sz w:val="24"/>
          <w:szCs w:val="24"/>
        </w:rPr>
        <w:t xml:space="preserve"> financed and operated by the main company in Australia; it has no permanent status in Zambia and it carrys out its mining operations using a third party’s licence; and the Defendant’s bank account is with Standard Chartered bank and it is now almost dissipated.  She also listed the assets held by the Defendant in Zambia.</w:t>
      </w:r>
    </w:p>
    <w:p w:rsidR="00F452A1" w:rsidRDefault="00F452A1" w:rsidP="00F452A1">
      <w:pPr>
        <w:spacing w:after="0" w:line="360" w:lineRule="auto"/>
        <w:rPr>
          <w:rFonts w:ascii="Bookman Old Style" w:hAnsi="Bookman Old Style"/>
          <w:sz w:val="24"/>
          <w:szCs w:val="24"/>
        </w:rPr>
      </w:pPr>
    </w:p>
    <w:p w:rsidR="002F298A" w:rsidRDefault="00F452A1" w:rsidP="00F452A1">
      <w:pPr>
        <w:spacing w:after="0" w:line="360" w:lineRule="auto"/>
        <w:rPr>
          <w:rFonts w:ascii="Bookman Old Style" w:hAnsi="Bookman Old Style"/>
          <w:sz w:val="24"/>
          <w:szCs w:val="24"/>
        </w:rPr>
      </w:pPr>
      <w:r>
        <w:rPr>
          <w:rFonts w:ascii="Bookman Old Style" w:hAnsi="Bookman Old Style"/>
          <w:sz w:val="24"/>
          <w:szCs w:val="24"/>
        </w:rPr>
        <w:t>The affidavit in opposition was sworn by one Kenneth James Fitzgerald and it revealed as follows; that the Defendant is not indebted to the Plaintiff; the subject matter for which this injunction is sought is restrained under cause number 2010/HP/1155; the Defendant is a Zambian company incorp</w:t>
      </w:r>
      <w:r w:rsidR="00ED1374">
        <w:rPr>
          <w:rFonts w:ascii="Bookman Old Style" w:hAnsi="Bookman Old Style"/>
          <w:sz w:val="24"/>
          <w:szCs w:val="24"/>
        </w:rPr>
        <w:t>or</w:t>
      </w:r>
      <w:r>
        <w:rPr>
          <w:rFonts w:ascii="Bookman Old Style" w:hAnsi="Bookman Old Style"/>
          <w:sz w:val="24"/>
          <w:szCs w:val="24"/>
        </w:rPr>
        <w:t>ated under the laws of Zambia and it operates indep</w:t>
      </w:r>
      <w:r w:rsidR="00ED1374">
        <w:rPr>
          <w:rFonts w:ascii="Bookman Old Style" w:hAnsi="Bookman Old Style"/>
          <w:sz w:val="24"/>
          <w:szCs w:val="24"/>
        </w:rPr>
        <w:t xml:space="preserve">endently.  It has not operated any where else other than Zambia; the Defendant does not own motor vehicles ABZ 4365 and </w:t>
      </w:r>
      <w:r w:rsidR="0034608E">
        <w:rPr>
          <w:rFonts w:ascii="Bookman Old Style" w:hAnsi="Bookman Old Style"/>
          <w:sz w:val="24"/>
          <w:szCs w:val="24"/>
        </w:rPr>
        <w:t>ABZ 3755, nor does it own any q</w:t>
      </w:r>
      <w:r w:rsidR="003C5A3B">
        <w:rPr>
          <w:rFonts w:ascii="Bookman Old Style" w:hAnsi="Bookman Old Style"/>
          <w:sz w:val="24"/>
          <w:szCs w:val="24"/>
        </w:rPr>
        <w:t>u</w:t>
      </w:r>
      <w:r w:rsidR="00ED1374">
        <w:rPr>
          <w:rFonts w:ascii="Bookman Old Style" w:hAnsi="Bookman Old Style"/>
          <w:sz w:val="24"/>
          <w:szCs w:val="24"/>
        </w:rPr>
        <w:t xml:space="preserve">ad bike; the Defendant’s </w:t>
      </w:r>
      <w:r w:rsidR="002F298A">
        <w:rPr>
          <w:rFonts w:ascii="Bookman Old Style" w:hAnsi="Bookman Old Style"/>
          <w:sz w:val="24"/>
          <w:szCs w:val="24"/>
        </w:rPr>
        <w:t>account with Standard</w:t>
      </w:r>
      <w:r w:rsidR="003C5A3B">
        <w:rPr>
          <w:rFonts w:ascii="Bookman Old Style" w:hAnsi="Bookman Old Style"/>
          <w:sz w:val="24"/>
          <w:szCs w:val="24"/>
        </w:rPr>
        <w:t xml:space="preserve"> Chartered Bank is not depleted;</w:t>
      </w:r>
      <w:r w:rsidR="002F298A">
        <w:rPr>
          <w:rFonts w:ascii="Bookman Old Style" w:hAnsi="Bookman Old Style"/>
          <w:sz w:val="24"/>
          <w:szCs w:val="24"/>
        </w:rPr>
        <w:t xml:space="preserve"> and the Plaintiff has not made full and frank disclosure of the Defendant’s assets an</w:t>
      </w:r>
      <w:r w:rsidR="0034608E">
        <w:rPr>
          <w:rFonts w:ascii="Bookman Old Style" w:hAnsi="Bookman Old Style"/>
          <w:sz w:val="24"/>
          <w:szCs w:val="24"/>
        </w:rPr>
        <w:t>d has</w:t>
      </w:r>
      <w:r w:rsidR="003C5A3B">
        <w:rPr>
          <w:rFonts w:ascii="Bookman Old Style" w:hAnsi="Bookman Old Style"/>
          <w:sz w:val="24"/>
          <w:szCs w:val="24"/>
        </w:rPr>
        <w:t xml:space="preserve"> only made insufficient inq</w:t>
      </w:r>
      <w:r w:rsidR="002F298A">
        <w:rPr>
          <w:rFonts w:ascii="Bookman Old Style" w:hAnsi="Bookman Old Style"/>
          <w:sz w:val="24"/>
          <w:szCs w:val="24"/>
        </w:rPr>
        <w:t>u</w:t>
      </w:r>
      <w:r w:rsidR="003C5A3B">
        <w:rPr>
          <w:rFonts w:ascii="Bookman Old Style" w:hAnsi="Bookman Old Style"/>
          <w:sz w:val="24"/>
          <w:szCs w:val="24"/>
        </w:rPr>
        <w:t>i</w:t>
      </w:r>
      <w:r w:rsidR="002F298A">
        <w:rPr>
          <w:rFonts w:ascii="Bookman Old Style" w:hAnsi="Bookman Old Style"/>
          <w:sz w:val="24"/>
          <w:szCs w:val="24"/>
        </w:rPr>
        <w:t>ry on the subject.</w:t>
      </w:r>
    </w:p>
    <w:p w:rsidR="002F298A" w:rsidRDefault="002F298A" w:rsidP="00F452A1">
      <w:pPr>
        <w:spacing w:after="0" w:line="360" w:lineRule="auto"/>
        <w:rPr>
          <w:rFonts w:ascii="Bookman Old Style" w:hAnsi="Bookman Old Style"/>
          <w:sz w:val="24"/>
          <w:szCs w:val="24"/>
        </w:rPr>
      </w:pPr>
    </w:p>
    <w:p w:rsidR="008C5613" w:rsidRDefault="0034608E" w:rsidP="00F452A1">
      <w:pPr>
        <w:spacing w:after="0" w:line="360" w:lineRule="auto"/>
        <w:rPr>
          <w:rFonts w:ascii="Bookman Old Style" w:hAnsi="Bookman Old Style"/>
          <w:sz w:val="24"/>
          <w:szCs w:val="24"/>
        </w:rPr>
      </w:pPr>
      <w:r>
        <w:rPr>
          <w:rFonts w:ascii="Bookman Old Style" w:hAnsi="Bookman Old Style"/>
          <w:sz w:val="24"/>
          <w:szCs w:val="24"/>
        </w:rPr>
        <w:t>When t</w:t>
      </w:r>
      <w:r w:rsidR="002F298A">
        <w:rPr>
          <w:rFonts w:ascii="Bookman Old Style" w:hAnsi="Bookman Old Style"/>
          <w:sz w:val="24"/>
          <w:szCs w:val="24"/>
        </w:rPr>
        <w:t>he application came up for hearing</w:t>
      </w:r>
      <w:r>
        <w:rPr>
          <w:rFonts w:ascii="Bookman Old Style" w:hAnsi="Bookman Old Style"/>
          <w:sz w:val="24"/>
          <w:szCs w:val="24"/>
        </w:rPr>
        <w:t>,</w:t>
      </w:r>
      <w:r w:rsidR="002F298A">
        <w:rPr>
          <w:rFonts w:ascii="Bookman Old Style" w:hAnsi="Bookman Old Style"/>
          <w:sz w:val="24"/>
          <w:szCs w:val="24"/>
        </w:rPr>
        <w:t xml:space="preserve"> </w:t>
      </w:r>
      <w:r>
        <w:rPr>
          <w:rFonts w:ascii="Bookman Old Style" w:hAnsi="Bookman Old Style"/>
          <w:sz w:val="24"/>
          <w:szCs w:val="24"/>
        </w:rPr>
        <w:t>c</w:t>
      </w:r>
      <w:r w:rsidR="002F298A">
        <w:rPr>
          <w:rFonts w:ascii="Bookman Old Style" w:hAnsi="Bookman Old Style"/>
          <w:sz w:val="24"/>
          <w:szCs w:val="24"/>
        </w:rPr>
        <w:t xml:space="preserve">ounsel for the two parties not only relied on the skeleton arguments filed but they also made verbal submissions.  Mr. Madaika for the Plaintiff began by stating that the application was anchored on order 29 rule L subrule 35A of the </w:t>
      </w:r>
      <w:r w:rsidR="002F298A" w:rsidRPr="001036EB">
        <w:rPr>
          <w:rFonts w:ascii="Bookman Old Style" w:hAnsi="Bookman Old Style"/>
          <w:b/>
          <w:i/>
          <w:sz w:val="24"/>
          <w:szCs w:val="24"/>
        </w:rPr>
        <w:t>Supreme Court Practice</w:t>
      </w:r>
      <w:r w:rsidR="003C5A3B">
        <w:rPr>
          <w:rFonts w:ascii="Bookman Old Style" w:hAnsi="Bookman Old Style"/>
          <w:b/>
          <w:i/>
          <w:sz w:val="24"/>
          <w:szCs w:val="24"/>
        </w:rPr>
        <w:t xml:space="preserve"> (white book)</w:t>
      </w:r>
      <w:r w:rsidR="002F298A">
        <w:rPr>
          <w:rFonts w:ascii="Bookman Old Style" w:hAnsi="Bookman Old Style"/>
          <w:sz w:val="24"/>
          <w:szCs w:val="24"/>
        </w:rPr>
        <w:t xml:space="preserve">.  He went on the highlight the relief sought as endorsed in the summons and </w:t>
      </w:r>
      <w:r>
        <w:rPr>
          <w:rFonts w:ascii="Bookman Old Style" w:hAnsi="Bookman Old Style"/>
          <w:sz w:val="24"/>
          <w:szCs w:val="24"/>
        </w:rPr>
        <w:t>the grounds upon which it was</w:t>
      </w:r>
      <w:r w:rsidR="002F298A">
        <w:rPr>
          <w:rFonts w:ascii="Bookman Old Style" w:hAnsi="Bookman Old Style"/>
          <w:sz w:val="24"/>
          <w:szCs w:val="24"/>
        </w:rPr>
        <w:t xml:space="preserve"> sought</w:t>
      </w:r>
      <w:r>
        <w:rPr>
          <w:rFonts w:ascii="Bookman Old Style" w:hAnsi="Bookman Old Style"/>
          <w:sz w:val="24"/>
          <w:szCs w:val="24"/>
        </w:rPr>
        <w:t>,</w:t>
      </w:r>
      <w:r w:rsidR="002F298A">
        <w:rPr>
          <w:rFonts w:ascii="Bookman Old Style" w:hAnsi="Bookman Old Style"/>
          <w:sz w:val="24"/>
          <w:szCs w:val="24"/>
        </w:rPr>
        <w:t xml:space="preserve"> being that; the Defendant had no permanent status in Zambia and merely operates through a third party; and the Plaintiff is n</w:t>
      </w:r>
      <w:r w:rsidR="003C5A3B">
        <w:rPr>
          <w:rFonts w:ascii="Bookman Old Style" w:hAnsi="Bookman Old Style"/>
          <w:sz w:val="24"/>
          <w:szCs w:val="24"/>
        </w:rPr>
        <w:t>ot aware of any fixed assets nor</w:t>
      </w:r>
      <w:r w:rsidR="002F298A">
        <w:rPr>
          <w:rFonts w:ascii="Bookman Old Style" w:hAnsi="Bookman Old Style"/>
          <w:sz w:val="24"/>
          <w:szCs w:val="24"/>
        </w:rPr>
        <w:t xml:space="preserve"> other investments other than those disclosed, belonging to the Defendant.  It was </w:t>
      </w:r>
      <w:r w:rsidR="002F298A">
        <w:rPr>
          <w:rFonts w:ascii="Bookman Old Style" w:hAnsi="Bookman Old Style"/>
          <w:sz w:val="24"/>
          <w:szCs w:val="24"/>
        </w:rPr>
        <w:lastRenderedPageBreak/>
        <w:t xml:space="preserve">therefore argued that there was need for the grant of the order sought in order to preserve the property otherwise the Plaintiff would suffer irreparable injury in the event of success. This it was argued would ensure administration of Justice within the </w:t>
      </w:r>
      <w:r w:rsidR="008C5613">
        <w:rPr>
          <w:rFonts w:ascii="Bookman Old Style" w:hAnsi="Bookman Old Style"/>
          <w:sz w:val="24"/>
          <w:szCs w:val="24"/>
        </w:rPr>
        <w:t xml:space="preserve">inherent jurisdiction of the Court </w:t>
      </w:r>
      <w:r w:rsidR="003C5A3B">
        <w:rPr>
          <w:rFonts w:ascii="Bookman Old Style" w:hAnsi="Bookman Old Style"/>
          <w:sz w:val="24"/>
          <w:szCs w:val="24"/>
        </w:rPr>
        <w:t xml:space="preserve">so </w:t>
      </w:r>
      <w:r w:rsidR="008C5613">
        <w:rPr>
          <w:rFonts w:ascii="Bookman Old Style" w:hAnsi="Bookman Old Style"/>
          <w:sz w:val="24"/>
          <w:szCs w:val="24"/>
        </w:rPr>
        <w:t xml:space="preserve">that any judgment this Court would render would be enforceable.  My attention in this respect was drawn to Practice Note 29/1A/0 under Order 29 rule 1A of the </w:t>
      </w:r>
      <w:r w:rsidR="001036EB" w:rsidRPr="001036EB">
        <w:rPr>
          <w:rFonts w:ascii="Bookman Old Style" w:hAnsi="Bookman Old Style"/>
          <w:b/>
          <w:i/>
          <w:sz w:val="24"/>
          <w:szCs w:val="24"/>
        </w:rPr>
        <w:t>white book</w:t>
      </w:r>
      <w:r w:rsidR="001036EB">
        <w:rPr>
          <w:rFonts w:ascii="Bookman Old Style" w:hAnsi="Bookman Old Style"/>
          <w:sz w:val="24"/>
          <w:szCs w:val="24"/>
        </w:rPr>
        <w:t xml:space="preserve"> </w:t>
      </w:r>
      <w:r w:rsidR="008C5613">
        <w:rPr>
          <w:rFonts w:ascii="Bookman Old Style" w:hAnsi="Bookman Old Style"/>
          <w:sz w:val="24"/>
          <w:szCs w:val="24"/>
        </w:rPr>
        <w:t xml:space="preserve">and the case of </w:t>
      </w:r>
      <w:r w:rsidR="008C5613" w:rsidRPr="001036EB">
        <w:rPr>
          <w:rFonts w:ascii="Bookman Old Style" w:hAnsi="Bookman Old Style"/>
          <w:b/>
          <w:i/>
          <w:sz w:val="24"/>
          <w:szCs w:val="24"/>
        </w:rPr>
        <w:t>Smith –VS- Peters (1)</w:t>
      </w:r>
      <w:r w:rsidR="008C5613">
        <w:rPr>
          <w:rFonts w:ascii="Bookman Old Style" w:hAnsi="Bookman Old Style"/>
          <w:sz w:val="24"/>
          <w:szCs w:val="24"/>
        </w:rPr>
        <w:t>.</w:t>
      </w:r>
    </w:p>
    <w:p w:rsidR="008C5613" w:rsidRDefault="008C5613" w:rsidP="00F452A1">
      <w:pPr>
        <w:spacing w:after="0" w:line="360" w:lineRule="auto"/>
        <w:rPr>
          <w:rFonts w:ascii="Bookman Old Style" w:hAnsi="Bookman Old Style"/>
          <w:sz w:val="24"/>
          <w:szCs w:val="24"/>
        </w:rPr>
      </w:pPr>
    </w:p>
    <w:p w:rsidR="008C5613" w:rsidRDefault="008C5613" w:rsidP="00F452A1">
      <w:pPr>
        <w:spacing w:after="0" w:line="360" w:lineRule="auto"/>
        <w:rPr>
          <w:rFonts w:ascii="Bookman Old Style" w:hAnsi="Bookman Old Style"/>
          <w:sz w:val="24"/>
          <w:szCs w:val="24"/>
        </w:rPr>
      </w:pPr>
      <w:r>
        <w:rPr>
          <w:rFonts w:ascii="Bookman Old Style" w:hAnsi="Bookman Old Style"/>
          <w:sz w:val="24"/>
          <w:szCs w:val="24"/>
        </w:rPr>
        <w:t xml:space="preserve">The second limb of counsel for the Plaintiff’s argument related to assets disclosure.  It was argued that this Court has a discretion to grant an order for assets disclosure in circumstances such as this where an order of injunction had been granted.  My attention in this respect was drawn to order 29 rule 1A of the </w:t>
      </w:r>
      <w:r w:rsidRPr="003C5A3B">
        <w:rPr>
          <w:rFonts w:ascii="Bookman Old Style" w:hAnsi="Bookman Old Style"/>
          <w:b/>
          <w:i/>
          <w:sz w:val="24"/>
          <w:szCs w:val="24"/>
        </w:rPr>
        <w:t>white book</w:t>
      </w:r>
      <w:r>
        <w:rPr>
          <w:rFonts w:ascii="Bookman Old Style" w:hAnsi="Bookman Old Style"/>
          <w:sz w:val="24"/>
          <w:szCs w:val="24"/>
        </w:rPr>
        <w:t>.</w:t>
      </w:r>
    </w:p>
    <w:p w:rsidR="008C5613" w:rsidRDefault="008C5613" w:rsidP="00F452A1">
      <w:pPr>
        <w:spacing w:after="0" w:line="360" w:lineRule="auto"/>
        <w:rPr>
          <w:rFonts w:ascii="Bookman Old Style" w:hAnsi="Bookman Old Style"/>
          <w:sz w:val="24"/>
          <w:szCs w:val="24"/>
        </w:rPr>
      </w:pPr>
    </w:p>
    <w:p w:rsidR="008C5613" w:rsidRDefault="008C5613" w:rsidP="00F452A1">
      <w:pPr>
        <w:spacing w:after="0" w:line="360" w:lineRule="auto"/>
        <w:rPr>
          <w:rFonts w:ascii="Bookman Old Style" w:hAnsi="Bookman Old Style"/>
          <w:sz w:val="24"/>
          <w:szCs w:val="24"/>
        </w:rPr>
      </w:pPr>
      <w:r>
        <w:rPr>
          <w:rFonts w:ascii="Bookman Old Style" w:hAnsi="Bookman Old Style"/>
          <w:sz w:val="24"/>
          <w:szCs w:val="24"/>
        </w:rPr>
        <w:t>Mr. P. Chungu for the Defendant advanced his submissions on three limbs.  The first limb was that since the re</w:t>
      </w:r>
      <w:r w:rsidR="003C5A3B">
        <w:rPr>
          <w:rFonts w:ascii="Bookman Old Style" w:hAnsi="Bookman Old Style"/>
          <w:sz w:val="24"/>
          <w:szCs w:val="24"/>
        </w:rPr>
        <w:t>lief sought was an equitable one</w:t>
      </w:r>
      <w:r>
        <w:rPr>
          <w:rFonts w:ascii="Bookman Old Style" w:hAnsi="Bookman Old Style"/>
          <w:sz w:val="24"/>
          <w:szCs w:val="24"/>
        </w:rPr>
        <w:t xml:space="preserve">, the Plaintiff was obliged to come </w:t>
      </w:r>
      <w:r w:rsidR="003C5A3B">
        <w:rPr>
          <w:rFonts w:ascii="Bookman Old Style" w:hAnsi="Bookman Old Style"/>
          <w:sz w:val="24"/>
          <w:szCs w:val="24"/>
        </w:rPr>
        <w:t xml:space="preserve">to Court </w:t>
      </w:r>
      <w:r>
        <w:rPr>
          <w:rFonts w:ascii="Bookman Old Style" w:hAnsi="Bookman Old Style"/>
          <w:sz w:val="24"/>
          <w:szCs w:val="24"/>
        </w:rPr>
        <w:t>wi</w:t>
      </w:r>
      <w:r w:rsidR="003C5A3B">
        <w:rPr>
          <w:rFonts w:ascii="Bookman Old Style" w:hAnsi="Bookman Old Style"/>
          <w:sz w:val="24"/>
          <w:szCs w:val="24"/>
        </w:rPr>
        <w:t>th clean hands.  It was argued</w:t>
      </w:r>
      <w:r>
        <w:rPr>
          <w:rFonts w:ascii="Bookman Old Style" w:hAnsi="Bookman Old Style"/>
          <w:sz w:val="24"/>
          <w:szCs w:val="24"/>
        </w:rPr>
        <w:t xml:space="preserve"> that in obtaining the </w:t>
      </w:r>
      <w:r w:rsidRPr="003C5A3B">
        <w:rPr>
          <w:rFonts w:ascii="Bookman Old Style" w:hAnsi="Bookman Old Style"/>
          <w:i/>
          <w:sz w:val="24"/>
          <w:szCs w:val="24"/>
        </w:rPr>
        <w:t>ex parte</w:t>
      </w:r>
      <w:r>
        <w:rPr>
          <w:rFonts w:ascii="Bookman Old Style" w:hAnsi="Bookman Old Style"/>
          <w:sz w:val="24"/>
          <w:szCs w:val="24"/>
        </w:rPr>
        <w:t xml:space="preserve"> order the Plaintiff misrepresented in certain facts and withheld material facts.  Counsel went on to highlight the misrepresentation of facts as being those relating to the Defendant</w:t>
      </w:r>
      <w:r w:rsidR="003C5A3B">
        <w:rPr>
          <w:rFonts w:ascii="Bookman Old Style" w:hAnsi="Bookman Old Style"/>
          <w:sz w:val="24"/>
          <w:szCs w:val="24"/>
        </w:rPr>
        <w:t>’</w:t>
      </w:r>
      <w:r>
        <w:rPr>
          <w:rFonts w:ascii="Bookman Old Style" w:hAnsi="Bookman Old Style"/>
          <w:sz w:val="24"/>
          <w:szCs w:val="24"/>
        </w:rPr>
        <w:t>s alleged assets and the status of the Defendant’s account.</w:t>
      </w:r>
    </w:p>
    <w:p w:rsidR="008C5613" w:rsidRDefault="008C5613" w:rsidP="00F452A1">
      <w:pPr>
        <w:spacing w:after="0" w:line="360" w:lineRule="auto"/>
        <w:rPr>
          <w:rFonts w:ascii="Bookman Old Style" w:hAnsi="Bookman Old Style"/>
          <w:sz w:val="24"/>
          <w:szCs w:val="24"/>
        </w:rPr>
      </w:pPr>
    </w:p>
    <w:p w:rsidR="00CB4D25" w:rsidRDefault="008C5613" w:rsidP="00F452A1">
      <w:pPr>
        <w:spacing w:after="0" w:line="360" w:lineRule="auto"/>
        <w:rPr>
          <w:rFonts w:ascii="Bookman Old Style" w:hAnsi="Bookman Old Style"/>
          <w:sz w:val="24"/>
          <w:szCs w:val="24"/>
        </w:rPr>
      </w:pPr>
      <w:r>
        <w:rPr>
          <w:rFonts w:ascii="Bookman Old Style" w:hAnsi="Bookman Old Style"/>
          <w:sz w:val="24"/>
          <w:szCs w:val="24"/>
        </w:rPr>
        <w:t>In the second limb</w:t>
      </w:r>
      <w:r w:rsidR="00F224F2">
        <w:rPr>
          <w:rFonts w:ascii="Bookman Old Style" w:hAnsi="Bookman Old Style"/>
          <w:sz w:val="24"/>
          <w:szCs w:val="24"/>
        </w:rPr>
        <w:t>,</w:t>
      </w:r>
      <w:r>
        <w:rPr>
          <w:rFonts w:ascii="Bookman Old Style" w:hAnsi="Bookman Old Style"/>
          <w:sz w:val="24"/>
          <w:szCs w:val="24"/>
        </w:rPr>
        <w:t xml:space="preserve"> counsel addressed the need for full and frank disclosure on the part of the Plaintiff in making the application.  My attention in this respect was drawn to the case</w:t>
      </w:r>
      <w:r w:rsidR="00F224F2">
        <w:rPr>
          <w:rFonts w:ascii="Bookman Old Style" w:hAnsi="Bookman Old Style"/>
          <w:sz w:val="24"/>
          <w:szCs w:val="24"/>
        </w:rPr>
        <w:t>s</w:t>
      </w:r>
      <w:r>
        <w:rPr>
          <w:rFonts w:ascii="Bookman Old Style" w:hAnsi="Bookman Old Style"/>
          <w:sz w:val="24"/>
          <w:szCs w:val="24"/>
        </w:rPr>
        <w:t xml:space="preserve"> of </w:t>
      </w:r>
      <w:r w:rsidR="00924DC3">
        <w:rPr>
          <w:rFonts w:ascii="Bookman Old Style" w:hAnsi="Bookman Old Style"/>
          <w:b/>
          <w:i/>
          <w:sz w:val="24"/>
          <w:szCs w:val="24"/>
        </w:rPr>
        <w:t>Bank Mellak –VS- Nikpour (2), R-VS- Kensignton</w:t>
      </w:r>
      <w:r w:rsidRPr="001036EB">
        <w:rPr>
          <w:rFonts w:ascii="Bookman Old Style" w:hAnsi="Bookman Old Style"/>
          <w:b/>
          <w:i/>
          <w:sz w:val="24"/>
          <w:szCs w:val="24"/>
        </w:rPr>
        <w:t xml:space="preserve"> Insurance Tax Commissioners Ex parte Polignac (3) </w:t>
      </w:r>
      <w:r>
        <w:rPr>
          <w:rFonts w:ascii="Bookman Old Style" w:hAnsi="Bookman Old Style"/>
          <w:sz w:val="24"/>
          <w:szCs w:val="24"/>
        </w:rPr>
        <w:t xml:space="preserve">and </w:t>
      </w:r>
      <w:r w:rsidR="00F224F2">
        <w:rPr>
          <w:rFonts w:ascii="Bookman Old Style" w:hAnsi="Bookman Old Style"/>
          <w:b/>
          <w:i/>
          <w:sz w:val="24"/>
          <w:szCs w:val="24"/>
        </w:rPr>
        <w:t>Third Chandr</w:t>
      </w:r>
      <w:r w:rsidRPr="001036EB">
        <w:rPr>
          <w:rFonts w:ascii="Bookman Old Style" w:hAnsi="Bookman Old Style"/>
          <w:b/>
          <w:i/>
          <w:sz w:val="24"/>
          <w:szCs w:val="24"/>
        </w:rPr>
        <w:t xml:space="preserve">is Corporation –VS- </w:t>
      </w:r>
      <w:r w:rsidR="00CB4D25" w:rsidRPr="001036EB">
        <w:rPr>
          <w:rFonts w:ascii="Bookman Old Style" w:hAnsi="Bookman Old Style"/>
          <w:b/>
          <w:i/>
          <w:sz w:val="24"/>
          <w:szCs w:val="24"/>
        </w:rPr>
        <w:t>Unimarine SA (4)</w:t>
      </w:r>
      <w:r w:rsidR="00CB4D25">
        <w:rPr>
          <w:rFonts w:ascii="Bookman Old Style" w:hAnsi="Bookman Old Style"/>
          <w:sz w:val="24"/>
          <w:szCs w:val="24"/>
        </w:rPr>
        <w:t>.  It was argued in</w:t>
      </w:r>
      <w:r w:rsidR="00F40C5D">
        <w:rPr>
          <w:rFonts w:ascii="Bookman Old Style" w:hAnsi="Bookman Old Style"/>
          <w:sz w:val="24"/>
          <w:szCs w:val="24"/>
        </w:rPr>
        <w:t xml:space="preserve"> this respect that there was non</w:t>
      </w:r>
      <w:r w:rsidR="00CB4D25">
        <w:rPr>
          <w:rFonts w:ascii="Bookman Old Style" w:hAnsi="Bookman Old Style"/>
          <w:sz w:val="24"/>
          <w:szCs w:val="24"/>
        </w:rPr>
        <w:t xml:space="preserve"> disclosure in respect of the amounts in the Defendant’s bank account.  Further</w:t>
      </w:r>
      <w:r w:rsidR="00F224F2">
        <w:rPr>
          <w:rFonts w:ascii="Bookman Old Style" w:hAnsi="Bookman Old Style"/>
          <w:sz w:val="24"/>
          <w:szCs w:val="24"/>
        </w:rPr>
        <w:t xml:space="preserve"> that</w:t>
      </w:r>
      <w:r w:rsidR="00CB4D25">
        <w:rPr>
          <w:rFonts w:ascii="Bookman Old Style" w:hAnsi="Bookman Old Style"/>
          <w:sz w:val="24"/>
          <w:szCs w:val="24"/>
        </w:rPr>
        <w:t xml:space="preserve">, </w:t>
      </w:r>
      <w:r w:rsidR="00F224F2">
        <w:rPr>
          <w:rFonts w:ascii="Bookman Old Style" w:hAnsi="Bookman Old Style"/>
          <w:sz w:val="24"/>
          <w:szCs w:val="24"/>
        </w:rPr>
        <w:t xml:space="preserve">there was </w:t>
      </w:r>
      <w:r w:rsidR="00CB4D25">
        <w:rPr>
          <w:rFonts w:ascii="Bookman Old Style" w:hAnsi="Bookman Old Style"/>
          <w:sz w:val="24"/>
          <w:szCs w:val="24"/>
        </w:rPr>
        <w:t>no frank disclosure that the vehicles did not belong to the Defendant.</w:t>
      </w:r>
    </w:p>
    <w:p w:rsidR="001036EB" w:rsidRDefault="001036EB" w:rsidP="00F452A1">
      <w:pPr>
        <w:spacing w:after="0" w:line="360" w:lineRule="auto"/>
        <w:rPr>
          <w:rFonts w:ascii="Bookman Old Style" w:hAnsi="Bookman Old Style"/>
          <w:sz w:val="24"/>
          <w:szCs w:val="24"/>
        </w:rPr>
      </w:pPr>
    </w:p>
    <w:p w:rsidR="00CB4D25" w:rsidRDefault="00CB4D25" w:rsidP="00F452A1">
      <w:pPr>
        <w:spacing w:after="0" w:line="360" w:lineRule="auto"/>
        <w:rPr>
          <w:rFonts w:ascii="Bookman Old Style" w:hAnsi="Bookman Old Style"/>
          <w:sz w:val="24"/>
          <w:szCs w:val="24"/>
        </w:rPr>
      </w:pPr>
      <w:r>
        <w:rPr>
          <w:rFonts w:ascii="Bookman Old Style" w:hAnsi="Bookman Old Style"/>
          <w:sz w:val="24"/>
          <w:szCs w:val="24"/>
        </w:rPr>
        <w:lastRenderedPageBreak/>
        <w:t xml:space="preserve">The third limb of counsel’s argument related to damages and irreparable injury.  It was argued that the Plaintiff is not entitled to the relief sough as the injury it is bound to suffer can easily be atoned in an award of damages.  In arguing this ground counsel made reference to the case of </w:t>
      </w:r>
      <w:r w:rsidRPr="001036EB">
        <w:rPr>
          <w:rFonts w:ascii="Bookman Old Style" w:hAnsi="Bookman Old Style"/>
          <w:b/>
          <w:i/>
          <w:sz w:val="24"/>
          <w:szCs w:val="24"/>
        </w:rPr>
        <w:t>London and Blackwell RY –VS- Cross (5)</w:t>
      </w:r>
      <w:r>
        <w:rPr>
          <w:rFonts w:ascii="Bookman Old Style" w:hAnsi="Bookman Old Style"/>
          <w:sz w:val="24"/>
          <w:szCs w:val="24"/>
        </w:rPr>
        <w:t xml:space="preserve"> and </w:t>
      </w:r>
      <w:r w:rsidR="00F40C5D">
        <w:rPr>
          <w:rFonts w:ascii="Bookman Old Style" w:hAnsi="Bookman Old Style"/>
          <w:b/>
          <w:i/>
          <w:sz w:val="24"/>
          <w:szCs w:val="24"/>
        </w:rPr>
        <w:t>Ar</w:t>
      </w:r>
      <w:r w:rsidRPr="001036EB">
        <w:rPr>
          <w:rFonts w:ascii="Bookman Old Style" w:hAnsi="Bookman Old Style"/>
          <w:b/>
          <w:i/>
          <w:sz w:val="24"/>
          <w:szCs w:val="24"/>
        </w:rPr>
        <w:t>isto</w:t>
      </w:r>
      <w:r w:rsidR="00F40C5D">
        <w:rPr>
          <w:rFonts w:ascii="Bookman Old Style" w:hAnsi="Bookman Old Style"/>
          <w:b/>
          <w:i/>
          <w:sz w:val="24"/>
          <w:szCs w:val="24"/>
        </w:rPr>
        <w:t>gerasimos Vangelatos –VS- Demetr</w:t>
      </w:r>
      <w:r w:rsidRPr="001036EB">
        <w:rPr>
          <w:rFonts w:ascii="Bookman Old Style" w:hAnsi="Bookman Old Style"/>
          <w:b/>
          <w:i/>
          <w:sz w:val="24"/>
          <w:szCs w:val="24"/>
        </w:rPr>
        <w:t>e Vangelatos, Detective Constable Chishimba and V. B. Malambo (Partner Malambo and Co) (6)</w:t>
      </w:r>
      <w:r>
        <w:rPr>
          <w:rFonts w:ascii="Bookman Old Style" w:hAnsi="Bookman Old Style"/>
          <w:sz w:val="24"/>
          <w:szCs w:val="24"/>
        </w:rPr>
        <w:t>.</w:t>
      </w:r>
    </w:p>
    <w:p w:rsidR="00CB4D25" w:rsidRDefault="00CB4D25" w:rsidP="00F452A1">
      <w:pPr>
        <w:spacing w:after="0" w:line="360" w:lineRule="auto"/>
        <w:rPr>
          <w:rFonts w:ascii="Bookman Old Style" w:hAnsi="Bookman Old Style"/>
          <w:sz w:val="24"/>
          <w:szCs w:val="24"/>
        </w:rPr>
      </w:pPr>
    </w:p>
    <w:p w:rsidR="00CB4D25" w:rsidRDefault="00CB4D25" w:rsidP="00F452A1">
      <w:pPr>
        <w:spacing w:after="0" w:line="360" w:lineRule="auto"/>
        <w:rPr>
          <w:rFonts w:ascii="Bookman Old Style" w:hAnsi="Bookman Old Style"/>
          <w:sz w:val="24"/>
          <w:szCs w:val="24"/>
        </w:rPr>
      </w:pPr>
      <w:r>
        <w:rPr>
          <w:rFonts w:ascii="Bookman Old Style" w:hAnsi="Bookman Old Style"/>
          <w:sz w:val="24"/>
          <w:szCs w:val="24"/>
        </w:rPr>
        <w:t>The fourth limb of counsel</w:t>
      </w:r>
      <w:r w:rsidR="00F40C5D">
        <w:rPr>
          <w:rFonts w:ascii="Bookman Old Style" w:hAnsi="Bookman Old Style"/>
          <w:sz w:val="24"/>
          <w:szCs w:val="24"/>
        </w:rPr>
        <w:t>’s</w:t>
      </w:r>
      <w:r>
        <w:rPr>
          <w:rFonts w:ascii="Bookman Old Style" w:hAnsi="Bookman Old Style"/>
          <w:sz w:val="24"/>
          <w:szCs w:val="24"/>
        </w:rPr>
        <w:t xml:space="preserve"> argument was to the effect that the purpose of an injunction is to maintain the status quo.  By this application it was argued, the Plaintiff intended to do the exact oppos</w:t>
      </w:r>
      <w:r w:rsidR="00F40C5D">
        <w:rPr>
          <w:rFonts w:ascii="Bookman Old Style" w:hAnsi="Bookman Old Style"/>
          <w:sz w:val="24"/>
          <w:szCs w:val="24"/>
        </w:rPr>
        <w:t>ite.  Therefore, the Court should not grant the order</w:t>
      </w:r>
      <w:r>
        <w:rPr>
          <w:rFonts w:ascii="Bookman Old Style" w:hAnsi="Bookman Old Style"/>
          <w:sz w:val="24"/>
          <w:szCs w:val="24"/>
        </w:rPr>
        <w:t xml:space="preserve">.  Reliance was made on </w:t>
      </w:r>
      <w:r w:rsidRPr="00F40C5D">
        <w:rPr>
          <w:rFonts w:ascii="Bookman Old Style" w:hAnsi="Bookman Old Style"/>
          <w:b/>
          <w:i/>
          <w:sz w:val="24"/>
          <w:szCs w:val="24"/>
        </w:rPr>
        <w:t>Halsbury’s Laws of England</w:t>
      </w:r>
      <w:r>
        <w:rPr>
          <w:rFonts w:ascii="Bookman Old Style" w:hAnsi="Bookman Old Style"/>
          <w:sz w:val="24"/>
          <w:szCs w:val="24"/>
        </w:rPr>
        <w:t>, third edition, in articulating this argument.</w:t>
      </w:r>
    </w:p>
    <w:p w:rsidR="00CB4D25" w:rsidRDefault="00CB4D25" w:rsidP="00F452A1">
      <w:pPr>
        <w:spacing w:after="0" w:line="360" w:lineRule="auto"/>
        <w:rPr>
          <w:rFonts w:ascii="Bookman Old Style" w:hAnsi="Bookman Old Style"/>
          <w:sz w:val="24"/>
          <w:szCs w:val="24"/>
        </w:rPr>
      </w:pPr>
    </w:p>
    <w:p w:rsidR="00CB4D25" w:rsidRDefault="00CB4D25" w:rsidP="00F452A1">
      <w:pPr>
        <w:spacing w:after="0" w:line="360" w:lineRule="auto"/>
        <w:rPr>
          <w:rFonts w:ascii="Bookman Old Style" w:hAnsi="Bookman Old Style"/>
          <w:sz w:val="24"/>
          <w:szCs w:val="24"/>
        </w:rPr>
      </w:pPr>
      <w:r>
        <w:rPr>
          <w:rFonts w:ascii="Bookman Old Style" w:hAnsi="Bookman Old Style"/>
          <w:sz w:val="24"/>
          <w:szCs w:val="24"/>
        </w:rPr>
        <w:t>In counsel’s concluding remarks, h</w:t>
      </w:r>
      <w:r w:rsidR="00F40C5D">
        <w:rPr>
          <w:rFonts w:ascii="Bookman Old Style" w:hAnsi="Bookman Old Style"/>
          <w:sz w:val="24"/>
          <w:szCs w:val="24"/>
        </w:rPr>
        <w:t>e drew my attention to the six-h</w:t>
      </w:r>
      <w:r>
        <w:rPr>
          <w:rFonts w:ascii="Bookman Old Style" w:hAnsi="Bookman Old Style"/>
          <w:sz w:val="24"/>
          <w:szCs w:val="24"/>
        </w:rPr>
        <w:t xml:space="preserve">undle test that must be satisfied for one to be entitled to a </w:t>
      </w:r>
      <w:r w:rsidR="00F40C5D">
        <w:rPr>
          <w:rFonts w:ascii="Bookman Old Style" w:hAnsi="Bookman Old Style"/>
          <w:i/>
          <w:sz w:val="24"/>
          <w:szCs w:val="24"/>
        </w:rPr>
        <w:t>m</w:t>
      </w:r>
      <w:r w:rsidR="001036EB" w:rsidRPr="001036EB">
        <w:rPr>
          <w:rFonts w:ascii="Bookman Old Style" w:hAnsi="Bookman Old Style"/>
          <w:i/>
          <w:sz w:val="24"/>
          <w:szCs w:val="24"/>
        </w:rPr>
        <w:t>areva</w:t>
      </w:r>
      <w:r>
        <w:rPr>
          <w:rFonts w:ascii="Bookman Old Style" w:hAnsi="Bookman Old Style"/>
          <w:sz w:val="24"/>
          <w:szCs w:val="24"/>
        </w:rPr>
        <w:t xml:space="preserve"> injunction.  In doing so he made reference, </w:t>
      </w:r>
      <w:r w:rsidRPr="00F40C5D">
        <w:rPr>
          <w:rFonts w:ascii="Bookman Old Style" w:hAnsi="Bookman Old Style"/>
          <w:b/>
          <w:i/>
          <w:sz w:val="24"/>
          <w:szCs w:val="24"/>
        </w:rPr>
        <w:t>Commercial Litigation: Pre-emptive Remedies</w:t>
      </w:r>
      <w:r>
        <w:rPr>
          <w:rFonts w:ascii="Bookman Old Style" w:hAnsi="Bookman Old Style"/>
          <w:sz w:val="24"/>
          <w:szCs w:val="24"/>
        </w:rPr>
        <w:t xml:space="preserve"> third edition.  It was argued that the Plaintiff had failed to satisfy most of the tests laid down therein.</w:t>
      </w:r>
    </w:p>
    <w:p w:rsidR="00CB4D25" w:rsidRDefault="00CB4D25" w:rsidP="00F452A1">
      <w:pPr>
        <w:spacing w:after="0" w:line="360" w:lineRule="auto"/>
        <w:rPr>
          <w:rFonts w:ascii="Bookman Old Style" w:hAnsi="Bookman Old Style"/>
          <w:sz w:val="24"/>
          <w:szCs w:val="24"/>
        </w:rPr>
      </w:pPr>
    </w:p>
    <w:p w:rsidR="00CB4D25" w:rsidRDefault="00CB4D25" w:rsidP="00F452A1">
      <w:pPr>
        <w:spacing w:after="0" w:line="360" w:lineRule="auto"/>
        <w:rPr>
          <w:rFonts w:ascii="Bookman Old Style" w:hAnsi="Bookman Old Style"/>
          <w:sz w:val="24"/>
          <w:szCs w:val="24"/>
        </w:rPr>
      </w:pPr>
      <w:r>
        <w:rPr>
          <w:rFonts w:ascii="Bookman Old Style" w:hAnsi="Bookman Old Style"/>
          <w:sz w:val="24"/>
          <w:szCs w:val="24"/>
        </w:rPr>
        <w:t>Before I determine this application it is important that I state</w:t>
      </w:r>
      <w:r w:rsidR="00F54BB6">
        <w:rPr>
          <w:rFonts w:ascii="Bookman Old Style" w:hAnsi="Bookman Old Style"/>
          <w:sz w:val="24"/>
          <w:szCs w:val="24"/>
        </w:rPr>
        <w:t xml:space="preserve"> what my task is at this stage of the proceedings.  It is simply this that, </w:t>
      </w:r>
      <w:r w:rsidR="00F40C5D">
        <w:rPr>
          <w:rFonts w:ascii="Bookman Old Style" w:hAnsi="Bookman Old Style"/>
          <w:sz w:val="24"/>
          <w:szCs w:val="24"/>
        </w:rPr>
        <w:t xml:space="preserve">I have to determine if </w:t>
      </w:r>
      <w:r w:rsidR="00F54BB6">
        <w:rPr>
          <w:rFonts w:ascii="Bookman Old Style" w:hAnsi="Bookman Old Style"/>
          <w:sz w:val="24"/>
          <w:szCs w:val="24"/>
        </w:rPr>
        <w:t xml:space="preserve">this </w:t>
      </w:r>
      <w:r w:rsidR="00F40C5D">
        <w:rPr>
          <w:rFonts w:ascii="Bookman Old Style" w:hAnsi="Bookman Old Style"/>
          <w:sz w:val="24"/>
          <w:szCs w:val="24"/>
        </w:rPr>
        <w:t xml:space="preserve">is </w:t>
      </w:r>
      <w:r w:rsidR="00F54BB6">
        <w:rPr>
          <w:rFonts w:ascii="Bookman Old Style" w:hAnsi="Bookman Old Style"/>
          <w:sz w:val="24"/>
          <w:szCs w:val="24"/>
        </w:rPr>
        <w:t xml:space="preserve">a proper case for the grant of a </w:t>
      </w:r>
      <w:r w:rsidR="00F40C5D">
        <w:rPr>
          <w:rFonts w:ascii="Bookman Old Style" w:hAnsi="Bookman Old Style"/>
          <w:i/>
          <w:sz w:val="24"/>
          <w:szCs w:val="24"/>
        </w:rPr>
        <w:t>m</w:t>
      </w:r>
      <w:r w:rsidR="001036EB" w:rsidRPr="001036EB">
        <w:rPr>
          <w:rFonts w:ascii="Bookman Old Style" w:hAnsi="Bookman Old Style"/>
          <w:i/>
          <w:sz w:val="24"/>
          <w:szCs w:val="24"/>
        </w:rPr>
        <w:t xml:space="preserve">areva </w:t>
      </w:r>
      <w:r w:rsidR="00F54BB6">
        <w:rPr>
          <w:rFonts w:ascii="Bookman Old Style" w:hAnsi="Bookman Old Style"/>
          <w:sz w:val="24"/>
          <w:szCs w:val="24"/>
        </w:rPr>
        <w:t>injunction.  I am not at this stage called upon to determine the merits and demerits of the matter as that is reserved for the full trial of this matter.  I am prompted to make the foregoing comment because in both the evidence and arguments the parties have gone to great length at addressing me on their respective positions as they relate to the main claim before me.</w:t>
      </w:r>
    </w:p>
    <w:p w:rsidR="00F54BB6" w:rsidRDefault="00F54BB6" w:rsidP="00F452A1">
      <w:pPr>
        <w:spacing w:after="0" w:line="360" w:lineRule="auto"/>
        <w:rPr>
          <w:rFonts w:ascii="Bookman Old Style" w:hAnsi="Bookman Old Style"/>
          <w:sz w:val="24"/>
          <w:szCs w:val="24"/>
        </w:rPr>
      </w:pPr>
    </w:p>
    <w:p w:rsidR="00F54BB6" w:rsidRDefault="00F54BB6" w:rsidP="00F452A1">
      <w:pPr>
        <w:spacing w:after="0" w:line="360" w:lineRule="auto"/>
        <w:rPr>
          <w:rFonts w:ascii="Bookman Old Style" w:hAnsi="Bookman Old Style"/>
          <w:sz w:val="24"/>
          <w:szCs w:val="24"/>
        </w:rPr>
      </w:pPr>
      <w:r>
        <w:rPr>
          <w:rFonts w:ascii="Bookman Old Style" w:hAnsi="Bookman Old Style"/>
          <w:sz w:val="24"/>
          <w:szCs w:val="24"/>
        </w:rPr>
        <w:lastRenderedPageBreak/>
        <w:t xml:space="preserve">The circumstances under </w:t>
      </w:r>
      <w:r w:rsidR="003B7116">
        <w:rPr>
          <w:rFonts w:ascii="Bookman Old Style" w:hAnsi="Bookman Old Style"/>
          <w:sz w:val="24"/>
          <w:szCs w:val="24"/>
        </w:rPr>
        <w:t xml:space="preserve">which a </w:t>
      </w:r>
      <w:r w:rsidR="00BF1115">
        <w:rPr>
          <w:rFonts w:ascii="Bookman Old Style" w:hAnsi="Bookman Old Style"/>
          <w:i/>
          <w:sz w:val="24"/>
          <w:szCs w:val="24"/>
        </w:rPr>
        <w:t>m</w:t>
      </w:r>
      <w:r w:rsidR="001126B6" w:rsidRPr="001126B6">
        <w:rPr>
          <w:rFonts w:ascii="Bookman Old Style" w:hAnsi="Bookman Old Style"/>
          <w:i/>
          <w:sz w:val="24"/>
          <w:szCs w:val="24"/>
        </w:rPr>
        <w:t>areva</w:t>
      </w:r>
      <w:r w:rsidR="003B7116">
        <w:rPr>
          <w:rFonts w:ascii="Bookman Old Style" w:hAnsi="Bookman Old Style"/>
          <w:sz w:val="24"/>
          <w:szCs w:val="24"/>
        </w:rPr>
        <w:t xml:space="preserve"> injunction will be granted have been aptly stated under order 29 rule L subru</w:t>
      </w:r>
      <w:r w:rsidR="00BF1115">
        <w:rPr>
          <w:rFonts w:ascii="Bookman Old Style" w:hAnsi="Bookman Old Style"/>
          <w:sz w:val="24"/>
          <w:szCs w:val="24"/>
        </w:rPr>
        <w:t>l</w:t>
      </w:r>
      <w:r w:rsidR="003B7116">
        <w:rPr>
          <w:rFonts w:ascii="Bookman Old Style" w:hAnsi="Bookman Old Style"/>
          <w:sz w:val="24"/>
          <w:szCs w:val="24"/>
        </w:rPr>
        <w:t xml:space="preserve">e 36 of the </w:t>
      </w:r>
      <w:r w:rsidR="003B7116" w:rsidRPr="00BF1115">
        <w:rPr>
          <w:rFonts w:ascii="Bookman Old Style" w:hAnsi="Bookman Old Style"/>
          <w:b/>
          <w:i/>
          <w:sz w:val="24"/>
          <w:szCs w:val="24"/>
        </w:rPr>
        <w:t>white book</w:t>
      </w:r>
      <w:r w:rsidR="00D250BC">
        <w:rPr>
          <w:rFonts w:ascii="Bookman Old Style" w:hAnsi="Bookman Old Style"/>
          <w:sz w:val="24"/>
          <w:szCs w:val="24"/>
        </w:rPr>
        <w:t>.  The said order states thu</w:t>
      </w:r>
      <w:r w:rsidR="003B7116">
        <w:rPr>
          <w:rFonts w:ascii="Bookman Old Style" w:hAnsi="Bookman Old Style"/>
          <w:sz w:val="24"/>
          <w:szCs w:val="24"/>
        </w:rPr>
        <w:t>s;</w:t>
      </w:r>
    </w:p>
    <w:p w:rsidR="003B7116" w:rsidRPr="001126B6" w:rsidRDefault="003B7116" w:rsidP="006061F5">
      <w:pPr>
        <w:spacing w:after="0" w:line="360" w:lineRule="auto"/>
        <w:ind w:left="720"/>
        <w:rPr>
          <w:rFonts w:ascii="Bookman Old Style" w:hAnsi="Bookman Old Style"/>
          <w:b/>
          <w:i/>
          <w:sz w:val="24"/>
          <w:szCs w:val="24"/>
        </w:rPr>
      </w:pPr>
      <w:r w:rsidRPr="001126B6">
        <w:rPr>
          <w:rFonts w:ascii="Bookman Old Style" w:hAnsi="Bookman Old Style"/>
          <w:b/>
          <w:i/>
          <w:sz w:val="24"/>
          <w:szCs w:val="24"/>
        </w:rPr>
        <w:t xml:space="preserve">“In an action in which the Plaintiff seeks to recover his property, the Court has jurisdiction to grant an interlocutory injunction restraining the disposal of property over which the Plaintiff has a proprietary claim.  The single most significant feature of the Mareva jurisdiction is that it goes beyond this and enables the Court to grant the Plaintiff an interlocutory injunction restraining the Defendant from disposing of, or </w:t>
      </w:r>
      <w:r w:rsidR="006061F5" w:rsidRPr="001126B6">
        <w:rPr>
          <w:rFonts w:ascii="Bookman Old Style" w:hAnsi="Bookman Old Style"/>
          <w:b/>
          <w:i/>
          <w:sz w:val="24"/>
          <w:szCs w:val="24"/>
        </w:rPr>
        <w:t xml:space="preserve">even merely dealing with, his assets, being assets over which the Plaintiff asserts no proprietary claim but which after judgment may be attached to satisfy a money judgment.  One of the hazards facing a Plaintiff in litigation is that, come the day of judgment, it may </w:t>
      </w:r>
      <w:r w:rsidR="00BF1115">
        <w:rPr>
          <w:rFonts w:ascii="Bookman Old Style" w:hAnsi="Bookman Old Style"/>
          <w:b/>
          <w:i/>
          <w:sz w:val="24"/>
          <w:szCs w:val="24"/>
        </w:rPr>
        <w:t xml:space="preserve">not </w:t>
      </w:r>
      <w:r w:rsidR="006061F5" w:rsidRPr="001126B6">
        <w:rPr>
          <w:rFonts w:ascii="Bookman Old Style" w:hAnsi="Bookman Old Style"/>
          <w:b/>
          <w:i/>
          <w:sz w:val="24"/>
          <w:szCs w:val="24"/>
        </w:rPr>
        <w:t>be possible for him to obtain satisfaction of that judgment fully or at all.  By a Mareva injunction a Defendant may be prevented from artificially creating such a situation; a Defendant is not to be permitted to thwart in advance orders which the Court may make.”</w:t>
      </w:r>
    </w:p>
    <w:p w:rsidR="006061F5" w:rsidRDefault="006061F5" w:rsidP="006061F5">
      <w:pPr>
        <w:spacing w:after="0" w:line="360" w:lineRule="auto"/>
        <w:rPr>
          <w:rFonts w:ascii="Bookman Old Style" w:hAnsi="Bookman Old Style"/>
          <w:sz w:val="24"/>
          <w:szCs w:val="24"/>
        </w:rPr>
      </w:pPr>
    </w:p>
    <w:p w:rsidR="006061F5" w:rsidRDefault="00BF1115" w:rsidP="006061F5">
      <w:pPr>
        <w:spacing w:after="0" w:line="360" w:lineRule="auto"/>
        <w:rPr>
          <w:rFonts w:ascii="Bookman Old Style" w:hAnsi="Bookman Old Style"/>
          <w:sz w:val="24"/>
          <w:szCs w:val="24"/>
        </w:rPr>
      </w:pPr>
      <w:r>
        <w:rPr>
          <w:rFonts w:ascii="Bookman Old Style" w:hAnsi="Bookman Old Style"/>
          <w:sz w:val="24"/>
          <w:szCs w:val="24"/>
        </w:rPr>
        <w:t xml:space="preserve">Further its </w:t>
      </w:r>
      <w:r w:rsidR="006061F5">
        <w:rPr>
          <w:rFonts w:ascii="Bookman Old Style" w:hAnsi="Bookman Old Style"/>
          <w:sz w:val="24"/>
          <w:szCs w:val="24"/>
        </w:rPr>
        <w:t xml:space="preserve">origins </w:t>
      </w:r>
      <w:r>
        <w:rPr>
          <w:rFonts w:ascii="Bookman Old Style" w:hAnsi="Bookman Old Style"/>
          <w:sz w:val="24"/>
          <w:szCs w:val="24"/>
        </w:rPr>
        <w:t>ar</w:t>
      </w:r>
      <w:r w:rsidR="00D250BC">
        <w:rPr>
          <w:rFonts w:ascii="Bookman Old Style" w:hAnsi="Bookman Old Style"/>
          <w:sz w:val="24"/>
          <w:szCs w:val="24"/>
        </w:rPr>
        <w:t>e</w:t>
      </w:r>
      <w:r>
        <w:rPr>
          <w:rFonts w:ascii="Bookman Old Style" w:hAnsi="Bookman Old Style"/>
          <w:sz w:val="24"/>
          <w:szCs w:val="24"/>
        </w:rPr>
        <w:t xml:space="preserve"> </w:t>
      </w:r>
      <w:r w:rsidR="006061F5">
        <w:rPr>
          <w:rFonts w:ascii="Bookman Old Style" w:hAnsi="Bookman Old Style"/>
          <w:sz w:val="24"/>
          <w:szCs w:val="24"/>
        </w:rPr>
        <w:t xml:space="preserve">in the </w:t>
      </w:r>
      <w:r w:rsidR="006061F5" w:rsidRPr="001126B6">
        <w:rPr>
          <w:rFonts w:ascii="Bookman Old Style" w:hAnsi="Bookman Old Style"/>
          <w:b/>
          <w:i/>
          <w:sz w:val="24"/>
          <w:szCs w:val="24"/>
        </w:rPr>
        <w:t>Mareva Compania Navera SA –VS- I</w:t>
      </w:r>
      <w:r>
        <w:rPr>
          <w:rFonts w:ascii="Bookman Old Style" w:hAnsi="Bookman Old Style"/>
          <w:b/>
          <w:i/>
          <w:sz w:val="24"/>
          <w:szCs w:val="24"/>
        </w:rPr>
        <w:t>nternational Bulk-Carriers SA (1</w:t>
      </w:r>
      <w:r w:rsidR="006061F5" w:rsidRPr="001126B6">
        <w:rPr>
          <w:rFonts w:ascii="Bookman Old Style" w:hAnsi="Bookman Old Style"/>
          <w:b/>
          <w:i/>
          <w:sz w:val="24"/>
          <w:szCs w:val="24"/>
        </w:rPr>
        <w:t>)</w:t>
      </w:r>
      <w:r w:rsidR="006061F5">
        <w:rPr>
          <w:rFonts w:ascii="Bookman Old Style" w:hAnsi="Bookman Old Style"/>
          <w:sz w:val="24"/>
          <w:szCs w:val="24"/>
        </w:rPr>
        <w:t xml:space="preserve"> </w:t>
      </w:r>
      <w:r w:rsidR="00D250BC">
        <w:rPr>
          <w:rFonts w:ascii="Bookman Old Style" w:hAnsi="Bookman Old Style"/>
          <w:sz w:val="24"/>
          <w:szCs w:val="24"/>
        </w:rPr>
        <w:t xml:space="preserve">case, </w:t>
      </w:r>
      <w:r w:rsidR="006061F5">
        <w:rPr>
          <w:rFonts w:ascii="Bookman Old Style" w:hAnsi="Bookman Old Style"/>
          <w:sz w:val="24"/>
          <w:szCs w:val="24"/>
        </w:rPr>
        <w:t>where Lord Denning MR had this to say at page 215 in respect of what instances such injunctions will be granted in;</w:t>
      </w:r>
    </w:p>
    <w:p w:rsidR="006061F5" w:rsidRPr="001126B6" w:rsidRDefault="006061F5" w:rsidP="006061F5">
      <w:pPr>
        <w:spacing w:after="0" w:line="360" w:lineRule="auto"/>
        <w:ind w:left="720"/>
        <w:rPr>
          <w:rFonts w:ascii="Bookman Old Style" w:hAnsi="Bookman Old Style"/>
          <w:b/>
          <w:i/>
          <w:sz w:val="24"/>
          <w:szCs w:val="24"/>
        </w:rPr>
      </w:pPr>
      <w:r w:rsidRPr="001126B6">
        <w:rPr>
          <w:rFonts w:ascii="Bookman Old Style" w:hAnsi="Bookman Old Style"/>
          <w:b/>
          <w:i/>
          <w:sz w:val="24"/>
          <w:szCs w:val="24"/>
          <w:u w:val="single"/>
        </w:rPr>
        <w:t>“If it appears that the debt is due and owing, and there is a danger that the debtor may dispose of his assets so as to defeat it before judgment</w:t>
      </w:r>
      <w:r w:rsidRPr="001126B6">
        <w:rPr>
          <w:rFonts w:ascii="Bookman Old Style" w:hAnsi="Bookman Old Style"/>
          <w:b/>
          <w:i/>
          <w:sz w:val="24"/>
          <w:szCs w:val="24"/>
        </w:rPr>
        <w:t>, the Court has jurisdiction in a proper case to grant an interlocutory injunction so as to prevent him disposing of those assets.”</w:t>
      </w:r>
    </w:p>
    <w:p w:rsidR="006061F5" w:rsidRDefault="006061F5" w:rsidP="006061F5">
      <w:pPr>
        <w:spacing w:after="0" w:line="360" w:lineRule="auto"/>
        <w:rPr>
          <w:rFonts w:ascii="Bookman Old Style" w:hAnsi="Bookman Old Style"/>
          <w:sz w:val="24"/>
          <w:szCs w:val="24"/>
          <w:u w:val="single"/>
        </w:rPr>
      </w:pPr>
    </w:p>
    <w:p w:rsidR="006061F5" w:rsidRDefault="006061F5" w:rsidP="006061F5">
      <w:pPr>
        <w:spacing w:after="0" w:line="360" w:lineRule="auto"/>
        <w:rPr>
          <w:rFonts w:ascii="Bookman Old Style" w:hAnsi="Bookman Old Style"/>
          <w:sz w:val="24"/>
          <w:szCs w:val="24"/>
        </w:rPr>
      </w:pPr>
      <w:r w:rsidRPr="006061F5">
        <w:rPr>
          <w:rFonts w:ascii="Bookman Old Style" w:hAnsi="Bookman Old Style"/>
          <w:sz w:val="24"/>
          <w:szCs w:val="24"/>
        </w:rPr>
        <w:t xml:space="preserve">(The </w:t>
      </w:r>
      <w:r>
        <w:rPr>
          <w:rFonts w:ascii="Bookman Old Style" w:hAnsi="Bookman Old Style"/>
          <w:sz w:val="24"/>
          <w:szCs w:val="24"/>
        </w:rPr>
        <w:t>underlining is the Court’s for emphasis only).</w:t>
      </w:r>
    </w:p>
    <w:p w:rsidR="006061F5" w:rsidRDefault="006061F5" w:rsidP="006061F5">
      <w:pPr>
        <w:spacing w:after="0" w:line="360" w:lineRule="auto"/>
        <w:rPr>
          <w:rFonts w:ascii="Bookman Old Style" w:hAnsi="Bookman Old Style"/>
          <w:sz w:val="24"/>
          <w:szCs w:val="24"/>
        </w:rPr>
      </w:pPr>
    </w:p>
    <w:p w:rsidR="00736D21" w:rsidRDefault="006061F5" w:rsidP="006061F5">
      <w:pPr>
        <w:spacing w:after="0" w:line="360" w:lineRule="auto"/>
        <w:rPr>
          <w:rFonts w:ascii="Bookman Old Style" w:hAnsi="Bookman Old Style"/>
          <w:sz w:val="24"/>
          <w:szCs w:val="24"/>
        </w:rPr>
      </w:pPr>
      <w:r>
        <w:rPr>
          <w:rFonts w:ascii="Bookman Old Style" w:hAnsi="Bookman Old Style"/>
          <w:sz w:val="24"/>
          <w:szCs w:val="24"/>
        </w:rPr>
        <w:lastRenderedPageBreak/>
        <w:t>It is evident from the foregoing authorities that the test is that; there must be a debt due and owing; and there must exist a danger that the debtor may dissipate or dispose of his assets so as to defeat</w:t>
      </w:r>
      <w:r w:rsidR="00736D21">
        <w:rPr>
          <w:rFonts w:ascii="Bookman Old Style" w:hAnsi="Bookman Old Style"/>
          <w:sz w:val="24"/>
          <w:szCs w:val="24"/>
        </w:rPr>
        <w:t xml:space="preserve"> any judgment the Court may grant in favour of the Plaintiff.</w:t>
      </w:r>
    </w:p>
    <w:p w:rsidR="00736D21" w:rsidRDefault="00736D21" w:rsidP="006061F5">
      <w:pPr>
        <w:spacing w:after="0" w:line="360" w:lineRule="auto"/>
        <w:rPr>
          <w:rFonts w:ascii="Bookman Old Style" w:hAnsi="Bookman Old Style"/>
          <w:sz w:val="24"/>
          <w:szCs w:val="24"/>
        </w:rPr>
      </w:pPr>
    </w:p>
    <w:p w:rsidR="00736D21" w:rsidRDefault="00BF1115" w:rsidP="006061F5">
      <w:pPr>
        <w:spacing w:after="0" w:line="360" w:lineRule="auto"/>
        <w:rPr>
          <w:rFonts w:ascii="Bookman Old Style" w:hAnsi="Bookman Old Style"/>
          <w:sz w:val="24"/>
          <w:szCs w:val="24"/>
        </w:rPr>
      </w:pPr>
      <w:r>
        <w:rPr>
          <w:rFonts w:ascii="Bookman Old Style" w:hAnsi="Bookman Old Style"/>
          <w:sz w:val="24"/>
          <w:szCs w:val="24"/>
        </w:rPr>
        <w:t>The question, whether or not there is a debt due and owing is left for the main hearing.  For now it is safe to say that the endorsement in the summons suggest</w:t>
      </w:r>
      <w:r w:rsidR="009B2BBC">
        <w:rPr>
          <w:rFonts w:ascii="Bookman Old Style" w:hAnsi="Bookman Old Style"/>
          <w:sz w:val="24"/>
          <w:szCs w:val="24"/>
        </w:rPr>
        <w:t>s</w:t>
      </w:r>
      <w:r>
        <w:rPr>
          <w:rFonts w:ascii="Bookman Old Style" w:hAnsi="Bookman Old Style"/>
          <w:sz w:val="24"/>
          <w:szCs w:val="24"/>
        </w:rPr>
        <w:t xml:space="preserve"> that this is the position.  Regarding the second test, t</w:t>
      </w:r>
      <w:r w:rsidR="00736D21">
        <w:rPr>
          <w:rFonts w:ascii="Bookman Old Style" w:hAnsi="Bookman Old Style"/>
          <w:sz w:val="24"/>
          <w:szCs w:val="24"/>
        </w:rPr>
        <w:t>he arguments advanced are that the Defendant has no meaningful existence in Zambia as it is funded and operated by a foreign entity.  Also that it is carrying out its op</w:t>
      </w:r>
      <w:r>
        <w:rPr>
          <w:rFonts w:ascii="Bookman Old Style" w:hAnsi="Bookman Old Style"/>
          <w:sz w:val="24"/>
          <w:szCs w:val="24"/>
        </w:rPr>
        <w:t>erations through a third party’s</w:t>
      </w:r>
      <w:r w:rsidR="00736D21">
        <w:rPr>
          <w:rFonts w:ascii="Bookman Old Style" w:hAnsi="Bookman Old Style"/>
          <w:sz w:val="24"/>
          <w:szCs w:val="24"/>
        </w:rPr>
        <w:t xml:space="preserve"> licence.  Further, that any judgment that this Court may grant in favour of the Plaintiff may not be satisfied as the Defendant does not have sufficient assets to meet the judgment and is dissipating its bank account held at Standard Chartered Bank. </w:t>
      </w:r>
    </w:p>
    <w:p w:rsidR="00736D21" w:rsidRDefault="00736D21" w:rsidP="006061F5">
      <w:pPr>
        <w:spacing w:after="0" w:line="360" w:lineRule="auto"/>
        <w:rPr>
          <w:rFonts w:ascii="Bookman Old Style" w:hAnsi="Bookman Old Style"/>
          <w:sz w:val="24"/>
          <w:szCs w:val="24"/>
        </w:rPr>
      </w:pPr>
    </w:p>
    <w:p w:rsidR="00736D21" w:rsidRDefault="00736D21" w:rsidP="006061F5">
      <w:pPr>
        <w:spacing w:after="0" w:line="360" w:lineRule="auto"/>
        <w:rPr>
          <w:rFonts w:ascii="Bookman Old Style" w:hAnsi="Bookman Old Style"/>
          <w:sz w:val="24"/>
          <w:szCs w:val="24"/>
        </w:rPr>
      </w:pPr>
      <w:r>
        <w:rPr>
          <w:rFonts w:ascii="Bookman Old Style" w:hAnsi="Bookman Old Style"/>
          <w:sz w:val="24"/>
          <w:szCs w:val="24"/>
        </w:rPr>
        <w:t xml:space="preserve">The first argument alleging the Defendant’s lack of presence does not have the support of Order 29 rule L subrule 35A of the </w:t>
      </w:r>
      <w:r w:rsidRPr="001126B6">
        <w:rPr>
          <w:rFonts w:ascii="Bookman Old Style" w:hAnsi="Bookman Old Style"/>
          <w:b/>
          <w:i/>
          <w:sz w:val="24"/>
          <w:szCs w:val="24"/>
        </w:rPr>
        <w:t>white book</w:t>
      </w:r>
      <w:r>
        <w:rPr>
          <w:rFonts w:ascii="Bookman Old Style" w:hAnsi="Bookman Old Style"/>
          <w:sz w:val="24"/>
          <w:szCs w:val="24"/>
        </w:rPr>
        <w:t xml:space="preserve"> and the </w:t>
      </w:r>
      <w:r w:rsidR="00BF1115">
        <w:rPr>
          <w:rFonts w:ascii="Bookman Old Style" w:hAnsi="Bookman Old Style"/>
          <w:b/>
          <w:i/>
          <w:sz w:val="24"/>
          <w:szCs w:val="24"/>
        </w:rPr>
        <w:t>Mareva (7</w:t>
      </w:r>
      <w:r w:rsidRPr="001126B6">
        <w:rPr>
          <w:rFonts w:ascii="Bookman Old Style" w:hAnsi="Bookman Old Style"/>
          <w:b/>
          <w:i/>
          <w:sz w:val="24"/>
          <w:szCs w:val="24"/>
        </w:rPr>
        <w:t>)</w:t>
      </w:r>
      <w:r>
        <w:rPr>
          <w:rFonts w:ascii="Bookman Old Style" w:hAnsi="Bookman Old Style"/>
          <w:sz w:val="24"/>
          <w:szCs w:val="24"/>
        </w:rPr>
        <w:t xml:space="preserve"> case as that is not one of the criteria laid down for the grant of such an injunction.  In arriving at the foregoing finding I am alive to the holding in the case of </w:t>
      </w:r>
      <w:r w:rsidRPr="001126B6">
        <w:rPr>
          <w:rFonts w:ascii="Bookman Old Style" w:hAnsi="Bookman Old Style"/>
          <w:b/>
          <w:i/>
          <w:sz w:val="24"/>
          <w:szCs w:val="24"/>
        </w:rPr>
        <w:t>Third Chand</w:t>
      </w:r>
      <w:r w:rsidR="00461E1E" w:rsidRPr="001126B6">
        <w:rPr>
          <w:rFonts w:ascii="Bookman Old Style" w:hAnsi="Bookman Old Style"/>
          <w:b/>
          <w:i/>
          <w:sz w:val="24"/>
          <w:szCs w:val="24"/>
        </w:rPr>
        <w:t>r</w:t>
      </w:r>
      <w:r w:rsidRPr="001126B6">
        <w:rPr>
          <w:rFonts w:ascii="Bookman Old Style" w:hAnsi="Bookman Old Style"/>
          <w:b/>
          <w:i/>
          <w:sz w:val="24"/>
          <w:szCs w:val="24"/>
        </w:rPr>
        <w:t xml:space="preserve">is Shipping Corporation and Others –VS- Unimarine SA (4) </w:t>
      </w:r>
      <w:r>
        <w:rPr>
          <w:rFonts w:ascii="Bookman Old Style" w:hAnsi="Bookman Old Style"/>
          <w:sz w:val="24"/>
          <w:szCs w:val="24"/>
        </w:rPr>
        <w:t xml:space="preserve">in which the Court stated </w:t>
      </w:r>
      <w:r w:rsidRPr="00BF1115">
        <w:rPr>
          <w:rFonts w:ascii="Bookman Old Style" w:hAnsi="Bookman Old Style"/>
          <w:i/>
          <w:sz w:val="24"/>
          <w:szCs w:val="24"/>
        </w:rPr>
        <w:t>inter alia</w:t>
      </w:r>
      <w:r>
        <w:rPr>
          <w:rFonts w:ascii="Bookman Old Style" w:hAnsi="Bookman Old Style"/>
          <w:sz w:val="24"/>
          <w:szCs w:val="24"/>
        </w:rPr>
        <w:t xml:space="preserve"> as follows;</w:t>
      </w:r>
    </w:p>
    <w:p w:rsidR="006061F5" w:rsidRPr="001126B6" w:rsidRDefault="00736D21" w:rsidP="008856F6">
      <w:pPr>
        <w:spacing w:after="0" w:line="360" w:lineRule="auto"/>
        <w:ind w:left="720"/>
        <w:rPr>
          <w:rFonts w:ascii="Bookman Old Style" w:hAnsi="Bookman Old Style"/>
          <w:b/>
          <w:i/>
          <w:sz w:val="24"/>
          <w:szCs w:val="24"/>
        </w:rPr>
      </w:pPr>
      <w:r w:rsidRPr="001126B6">
        <w:rPr>
          <w:rFonts w:ascii="Bookman Old Style" w:hAnsi="Bookman Old Style"/>
          <w:b/>
          <w:i/>
          <w:sz w:val="24"/>
          <w:szCs w:val="24"/>
        </w:rPr>
        <w:t>“</w:t>
      </w:r>
      <w:r w:rsidR="00461E1E" w:rsidRPr="009B2BBC">
        <w:rPr>
          <w:rFonts w:ascii="Bookman Old Style" w:hAnsi="Bookman Old Style"/>
          <w:b/>
          <w:i/>
          <w:sz w:val="24"/>
          <w:szCs w:val="24"/>
          <w:u w:val="single"/>
        </w:rPr>
        <w:t xml:space="preserve">The mere fact that a Defendant having assets within the jurisdiction of the Commercial Court is a foreigner or a foreign corporation </w:t>
      </w:r>
      <w:r w:rsidR="008856F6" w:rsidRPr="009B2BBC">
        <w:rPr>
          <w:rFonts w:ascii="Bookman Old Style" w:hAnsi="Bookman Old Style"/>
          <w:b/>
          <w:i/>
          <w:sz w:val="24"/>
          <w:szCs w:val="24"/>
          <w:u w:val="single"/>
        </w:rPr>
        <w:t>cannot, in my judgment, by itself justify the granting of a Mareva Injunction</w:t>
      </w:r>
      <w:r w:rsidR="008856F6" w:rsidRPr="001126B6">
        <w:rPr>
          <w:rFonts w:ascii="Bookman Old Style" w:hAnsi="Bookman Old Style"/>
          <w:b/>
          <w:i/>
          <w:sz w:val="24"/>
          <w:szCs w:val="24"/>
        </w:rPr>
        <w:t>.</w:t>
      </w:r>
      <w:r w:rsidR="00461E1E" w:rsidRPr="001126B6">
        <w:rPr>
          <w:rFonts w:ascii="Bookman Old Style" w:hAnsi="Bookman Old Style"/>
          <w:b/>
          <w:i/>
          <w:sz w:val="24"/>
          <w:szCs w:val="24"/>
        </w:rPr>
        <w:t xml:space="preserve"> </w:t>
      </w:r>
      <w:r w:rsidRPr="001126B6">
        <w:rPr>
          <w:rFonts w:ascii="Bookman Old Style" w:hAnsi="Bookman Old Style"/>
          <w:b/>
          <w:i/>
          <w:sz w:val="24"/>
          <w:szCs w:val="24"/>
        </w:rPr>
        <w:t xml:space="preserve">   </w:t>
      </w:r>
      <w:r w:rsidR="006061F5" w:rsidRPr="001126B6">
        <w:rPr>
          <w:rFonts w:ascii="Bookman Old Style" w:hAnsi="Bookman Old Style"/>
          <w:b/>
          <w:i/>
          <w:sz w:val="24"/>
          <w:szCs w:val="24"/>
        </w:rPr>
        <w:t xml:space="preserve"> </w:t>
      </w:r>
    </w:p>
    <w:p w:rsidR="008856F6" w:rsidRPr="001126B6" w:rsidRDefault="008856F6" w:rsidP="008856F6">
      <w:pPr>
        <w:spacing w:after="0" w:line="360" w:lineRule="auto"/>
        <w:ind w:left="720"/>
        <w:rPr>
          <w:rFonts w:ascii="Bookman Old Style" w:hAnsi="Bookman Old Style"/>
          <w:b/>
          <w:i/>
          <w:sz w:val="24"/>
          <w:szCs w:val="24"/>
        </w:rPr>
      </w:pPr>
    </w:p>
    <w:p w:rsidR="009C3BDC" w:rsidRPr="001126B6" w:rsidRDefault="008856F6" w:rsidP="008856F6">
      <w:pPr>
        <w:spacing w:after="0" w:line="360" w:lineRule="auto"/>
        <w:ind w:left="720"/>
        <w:rPr>
          <w:rFonts w:ascii="Bookman Old Style" w:hAnsi="Bookman Old Style"/>
          <w:b/>
          <w:i/>
          <w:sz w:val="24"/>
          <w:szCs w:val="24"/>
        </w:rPr>
      </w:pPr>
      <w:r w:rsidRPr="001126B6">
        <w:rPr>
          <w:rFonts w:ascii="Bookman Old Style" w:hAnsi="Bookman Old Style"/>
          <w:b/>
          <w:i/>
          <w:sz w:val="24"/>
          <w:szCs w:val="24"/>
        </w:rPr>
        <w:t xml:space="preserve">There must be facts from which the Commercial Court, like a prudent, sensible commercial man, can properly infer a danger of default if assets are removed from the jurisdiction… what they have to do is to find out all they can about the party with whom they are dealing, including origins, business domicile, length of </w:t>
      </w:r>
      <w:r w:rsidRPr="001126B6">
        <w:rPr>
          <w:rFonts w:ascii="Bookman Old Style" w:hAnsi="Bookman Old Style"/>
          <w:b/>
          <w:i/>
          <w:sz w:val="24"/>
          <w:szCs w:val="24"/>
        </w:rPr>
        <w:lastRenderedPageBreak/>
        <w:t xml:space="preserve">time in business, assets and the like, and they will probably be wary of the appearance of wealth which are not backed by known assets.  In my judgment the Commercial Court should approve applications for Mareva injunctions in the same way.  Its Judges have special experience of commercial </w:t>
      </w:r>
      <w:r w:rsidR="009C3BDC" w:rsidRPr="001126B6">
        <w:rPr>
          <w:rFonts w:ascii="Bookman Old Style" w:hAnsi="Bookman Old Style"/>
          <w:b/>
          <w:i/>
          <w:sz w:val="24"/>
          <w:szCs w:val="24"/>
        </w:rPr>
        <w:t>cases and they can be expected to identify likely debt dodgers as well as, probably better than, most businessmen,.  They should not expect to be given of previous defaults or specific incidents of commercial malpractice.  Further they should remember that affidavits asserting belief in, or the fear of, default have no probative value unless the sources and grounds thereof are set out: see RSC Order 4, r.5 (2).  In judgment an affidavit in support of a Mareva injunction should give enough particulars of the Plaintiff’s case to enable the Court to assess its strength and should set out what enquiries have been made about the Defendant’s business and what information has been revealed, including that relating to its size, origins, business domicile, the location of its known assets and the circumstances in which the dispute has arisen.  These facts should enable a commercial Judge to infer whether there is likely to be any real risk of default.</w:t>
      </w:r>
    </w:p>
    <w:p w:rsidR="009C3BDC" w:rsidRPr="001126B6" w:rsidRDefault="009C3BDC" w:rsidP="008856F6">
      <w:pPr>
        <w:spacing w:after="0" w:line="360" w:lineRule="auto"/>
        <w:ind w:left="720"/>
        <w:rPr>
          <w:rFonts w:ascii="Bookman Old Style" w:hAnsi="Bookman Old Style"/>
          <w:b/>
          <w:i/>
          <w:sz w:val="24"/>
          <w:szCs w:val="24"/>
        </w:rPr>
      </w:pPr>
    </w:p>
    <w:p w:rsidR="009C3BDC" w:rsidRPr="001126B6" w:rsidRDefault="009C3BDC" w:rsidP="008856F6">
      <w:pPr>
        <w:spacing w:after="0" w:line="360" w:lineRule="auto"/>
        <w:ind w:left="720"/>
        <w:rPr>
          <w:rFonts w:ascii="Bookman Old Style" w:hAnsi="Bookman Old Style"/>
          <w:b/>
          <w:i/>
          <w:sz w:val="24"/>
          <w:szCs w:val="24"/>
        </w:rPr>
      </w:pPr>
      <w:r w:rsidRPr="001126B6">
        <w:rPr>
          <w:rFonts w:ascii="Bookman Old Style" w:hAnsi="Bookman Old Style"/>
          <w:b/>
          <w:i/>
          <w:sz w:val="24"/>
          <w:szCs w:val="24"/>
        </w:rPr>
        <w:t>Default is most unlikely if the Defendant is a long-established, well-known foreign corporation or is known to have substantial assets in countries where English judgments can easily be enforced under the Foreign Judgment (Reciprocal Enforcement) Act 1933 or otherwise.  But if nothing can be found out about the Defendant, that by itself may be enough to justify a Mareva injunction.”</w:t>
      </w:r>
    </w:p>
    <w:p w:rsidR="009C3BDC" w:rsidRDefault="009C3BDC" w:rsidP="009C3BDC">
      <w:pPr>
        <w:spacing w:after="0" w:line="360" w:lineRule="auto"/>
        <w:rPr>
          <w:rFonts w:ascii="Bookman Old Style" w:hAnsi="Bookman Old Style"/>
          <w:sz w:val="24"/>
          <w:szCs w:val="24"/>
        </w:rPr>
      </w:pPr>
    </w:p>
    <w:p w:rsidR="009B2BBC" w:rsidRDefault="009B2BBC" w:rsidP="009C3BDC">
      <w:pPr>
        <w:spacing w:after="0" w:line="360" w:lineRule="auto"/>
        <w:rPr>
          <w:rFonts w:ascii="Bookman Old Style" w:hAnsi="Bookman Old Style"/>
          <w:sz w:val="24"/>
          <w:szCs w:val="24"/>
        </w:rPr>
      </w:pPr>
      <w:r>
        <w:rPr>
          <w:rFonts w:ascii="Bookman Old Style" w:hAnsi="Bookman Old Style"/>
          <w:sz w:val="24"/>
          <w:szCs w:val="24"/>
        </w:rPr>
        <w:t>(Underlining is the Court’s for emphasis only).</w:t>
      </w:r>
    </w:p>
    <w:p w:rsidR="009B2BBC" w:rsidRDefault="009B2BBC" w:rsidP="009C3BDC">
      <w:pPr>
        <w:spacing w:after="0" w:line="360" w:lineRule="auto"/>
        <w:rPr>
          <w:rFonts w:ascii="Bookman Old Style" w:hAnsi="Bookman Old Style"/>
          <w:sz w:val="24"/>
          <w:szCs w:val="24"/>
        </w:rPr>
      </w:pPr>
    </w:p>
    <w:p w:rsidR="009C3BDC" w:rsidRDefault="009C3BDC" w:rsidP="009C3BDC">
      <w:pPr>
        <w:spacing w:after="0" w:line="360" w:lineRule="auto"/>
        <w:rPr>
          <w:rFonts w:ascii="Bookman Old Style" w:hAnsi="Bookman Old Style"/>
          <w:sz w:val="24"/>
          <w:szCs w:val="24"/>
        </w:rPr>
      </w:pPr>
      <w:r>
        <w:rPr>
          <w:rFonts w:ascii="Bookman Old Style" w:hAnsi="Bookman Old Style"/>
          <w:sz w:val="24"/>
          <w:szCs w:val="24"/>
        </w:rPr>
        <w:t xml:space="preserve">It is clear from the foregoing that the fact that a company is a foreign company does not in and of itself entitle a person claiming a debt against it to a </w:t>
      </w:r>
      <w:r w:rsidR="00BF1115">
        <w:rPr>
          <w:rFonts w:ascii="Bookman Old Style" w:hAnsi="Bookman Old Style"/>
          <w:i/>
          <w:sz w:val="24"/>
          <w:szCs w:val="24"/>
        </w:rPr>
        <w:t>m</w:t>
      </w:r>
      <w:r w:rsidRPr="001126B6">
        <w:rPr>
          <w:rFonts w:ascii="Bookman Old Style" w:hAnsi="Bookman Old Style"/>
          <w:i/>
          <w:sz w:val="24"/>
          <w:szCs w:val="24"/>
        </w:rPr>
        <w:t xml:space="preserve">areva </w:t>
      </w:r>
      <w:r>
        <w:rPr>
          <w:rFonts w:ascii="Bookman Old Style" w:hAnsi="Bookman Old Style"/>
          <w:sz w:val="24"/>
          <w:szCs w:val="24"/>
        </w:rPr>
        <w:lastRenderedPageBreak/>
        <w:t>injunction.  There must be something more in the form of real danger of dissipation of assets.</w:t>
      </w:r>
    </w:p>
    <w:p w:rsidR="009C3BDC" w:rsidRDefault="009C3BDC" w:rsidP="009C3BDC">
      <w:pPr>
        <w:spacing w:after="0" w:line="360" w:lineRule="auto"/>
        <w:rPr>
          <w:rFonts w:ascii="Bookman Old Style" w:hAnsi="Bookman Old Style"/>
          <w:sz w:val="24"/>
          <w:szCs w:val="24"/>
        </w:rPr>
      </w:pPr>
    </w:p>
    <w:p w:rsidR="002E2C94" w:rsidRDefault="009C3BDC" w:rsidP="009C3BDC">
      <w:pPr>
        <w:spacing w:after="0" w:line="360" w:lineRule="auto"/>
        <w:rPr>
          <w:rFonts w:ascii="Bookman Old Style" w:hAnsi="Bookman Old Style"/>
          <w:sz w:val="24"/>
          <w:szCs w:val="24"/>
        </w:rPr>
      </w:pPr>
      <w:r>
        <w:rPr>
          <w:rFonts w:ascii="Bookman Old Style" w:hAnsi="Bookman Old Style"/>
          <w:sz w:val="24"/>
          <w:szCs w:val="24"/>
        </w:rPr>
        <w:t>The second argument alleges a fear of dissipation of assets by the Defendant.  In ma</w:t>
      </w:r>
      <w:r w:rsidR="005A3327">
        <w:rPr>
          <w:rFonts w:ascii="Bookman Old Style" w:hAnsi="Bookman Old Style"/>
          <w:sz w:val="24"/>
          <w:szCs w:val="24"/>
        </w:rPr>
        <w:t xml:space="preserve">king the said allegations, the Plaintiff does not specify its source of the information or the basis of the fear.  This falls far short of the test laid down in the </w:t>
      </w:r>
      <w:r w:rsidR="00BF1115" w:rsidRPr="00BF1115">
        <w:rPr>
          <w:rFonts w:ascii="Bookman Old Style" w:hAnsi="Bookman Old Style"/>
          <w:b/>
          <w:i/>
          <w:sz w:val="24"/>
          <w:szCs w:val="24"/>
        </w:rPr>
        <w:t>Third Chandris (4</w:t>
      </w:r>
      <w:r w:rsidR="005A3327" w:rsidRPr="00BF1115">
        <w:rPr>
          <w:rFonts w:ascii="Bookman Old Style" w:hAnsi="Bookman Old Style"/>
          <w:b/>
          <w:i/>
          <w:sz w:val="24"/>
          <w:szCs w:val="24"/>
        </w:rPr>
        <w:t>)</w:t>
      </w:r>
      <w:r w:rsidR="005A3327">
        <w:rPr>
          <w:rFonts w:ascii="Bookman Old Style" w:hAnsi="Bookman Old Style"/>
          <w:sz w:val="24"/>
          <w:szCs w:val="24"/>
        </w:rPr>
        <w:t xml:space="preserve"> case for the need for affidavits to set out the sources and groun</w:t>
      </w:r>
      <w:r w:rsidR="002E2C94">
        <w:rPr>
          <w:rFonts w:ascii="Bookman Old Style" w:hAnsi="Bookman Old Style"/>
          <w:sz w:val="24"/>
          <w:szCs w:val="24"/>
        </w:rPr>
        <w:t>d</w:t>
      </w:r>
      <w:r w:rsidR="005A3327">
        <w:rPr>
          <w:rFonts w:ascii="Bookman Old Style" w:hAnsi="Bookman Old Style"/>
          <w:sz w:val="24"/>
          <w:szCs w:val="24"/>
        </w:rPr>
        <w:t>s to enable the Court to assess its strengths.</w:t>
      </w:r>
      <w:r w:rsidR="002E2C94">
        <w:rPr>
          <w:rFonts w:ascii="Bookman Old Style" w:hAnsi="Bookman Old Style"/>
          <w:sz w:val="24"/>
          <w:szCs w:val="24"/>
        </w:rPr>
        <w:t xml:space="preserve">  </w:t>
      </w:r>
      <w:r w:rsidR="00BF1115">
        <w:rPr>
          <w:rFonts w:ascii="Bookman Old Style" w:hAnsi="Bookman Old Style"/>
          <w:sz w:val="24"/>
          <w:szCs w:val="24"/>
        </w:rPr>
        <w:t xml:space="preserve">There has been a lack of proper investigation by the </w:t>
      </w:r>
      <w:r w:rsidR="003A0DD4">
        <w:rPr>
          <w:rFonts w:ascii="Bookman Old Style" w:hAnsi="Bookman Old Style"/>
          <w:sz w:val="24"/>
          <w:szCs w:val="24"/>
        </w:rPr>
        <w:t>Plaintiff</w:t>
      </w:r>
      <w:r w:rsidR="00BF1115">
        <w:rPr>
          <w:rFonts w:ascii="Bookman Old Style" w:hAnsi="Bookman Old Style"/>
          <w:sz w:val="24"/>
          <w:szCs w:val="24"/>
        </w:rPr>
        <w:t xml:space="preserve"> not only into the status of the</w:t>
      </w:r>
      <w:r w:rsidR="003A0DD4">
        <w:rPr>
          <w:rFonts w:ascii="Bookman Old Style" w:hAnsi="Bookman Old Style"/>
          <w:sz w:val="24"/>
          <w:szCs w:val="24"/>
        </w:rPr>
        <w:t xml:space="preserve"> Defendant’s assets but also their</w:t>
      </w:r>
      <w:r w:rsidR="00BF1115">
        <w:rPr>
          <w:rFonts w:ascii="Bookman Old Style" w:hAnsi="Bookman Old Style"/>
          <w:sz w:val="24"/>
          <w:szCs w:val="24"/>
        </w:rPr>
        <w:t xml:space="preserve"> composition.  This is evident from the fact that the Plaintiff alleged ownership of certain vehicles by the Defendant which are properties of third parties. (see exhibits “KF2” and “KF3” to the affidavit in opposition.  </w:t>
      </w:r>
      <w:r w:rsidR="002E2C94">
        <w:rPr>
          <w:rFonts w:ascii="Bookman Old Style" w:hAnsi="Bookman Old Style"/>
          <w:sz w:val="24"/>
          <w:szCs w:val="24"/>
        </w:rPr>
        <w:t>There is</w:t>
      </w:r>
      <w:r w:rsidR="003A0DD4">
        <w:rPr>
          <w:rFonts w:ascii="Bookman Old Style" w:hAnsi="Bookman Old Style"/>
          <w:sz w:val="24"/>
          <w:szCs w:val="24"/>
        </w:rPr>
        <w:t>,</w:t>
      </w:r>
      <w:r w:rsidR="002E2C94">
        <w:rPr>
          <w:rFonts w:ascii="Bookman Old Style" w:hAnsi="Bookman Old Style"/>
          <w:sz w:val="24"/>
          <w:szCs w:val="24"/>
        </w:rPr>
        <w:t xml:space="preserve"> in my considered opinion</w:t>
      </w:r>
      <w:r w:rsidR="003A0DD4">
        <w:rPr>
          <w:rFonts w:ascii="Bookman Old Style" w:hAnsi="Bookman Old Style"/>
          <w:sz w:val="24"/>
          <w:szCs w:val="24"/>
        </w:rPr>
        <w:t>,</w:t>
      </w:r>
      <w:r w:rsidR="002E2C94">
        <w:rPr>
          <w:rFonts w:ascii="Bookman Old Style" w:hAnsi="Bookman Old Style"/>
          <w:sz w:val="24"/>
          <w:szCs w:val="24"/>
        </w:rPr>
        <w:t xml:space="preserve"> no </w:t>
      </w:r>
      <w:r w:rsidR="00BF1115">
        <w:rPr>
          <w:rFonts w:ascii="Bookman Old Style" w:hAnsi="Bookman Old Style"/>
          <w:sz w:val="24"/>
          <w:szCs w:val="24"/>
        </w:rPr>
        <w:t xml:space="preserve">proof whatsoever </w:t>
      </w:r>
      <w:r w:rsidR="002E2C94">
        <w:rPr>
          <w:rFonts w:ascii="Bookman Old Style" w:hAnsi="Bookman Old Style"/>
          <w:sz w:val="24"/>
          <w:szCs w:val="24"/>
        </w:rPr>
        <w:t>that the Defendant is about to dissipate its assets.</w:t>
      </w:r>
    </w:p>
    <w:p w:rsidR="002E2C94" w:rsidRDefault="002E2C94" w:rsidP="009C3BDC">
      <w:pPr>
        <w:spacing w:after="0" w:line="360" w:lineRule="auto"/>
        <w:rPr>
          <w:rFonts w:ascii="Bookman Old Style" w:hAnsi="Bookman Old Style"/>
          <w:sz w:val="24"/>
          <w:szCs w:val="24"/>
        </w:rPr>
      </w:pPr>
    </w:p>
    <w:p w:rsidR="002E2C94" w:rsidRDefault="002E2C94" w:rsidP="009C3BDC">
      <w:pPr>
        <w:spacing w:after="0" w:line="360" w:lineRule="auto"/>
        <w:rPr>
          <w:rFonts w:ascii="Bookman Old Style" w:hAnsi="Bookman Old Style"/>
          <w:sz w:val="24"/>
          <w:szCs w:val="24"/>
        </w:rPr>
      </w:pPr>
      <w:r>
        <w:rPr>
          <w:rFonts w:ascii="Bookman Old Style" w:hAnsi="Bookman Old Style"/>
          <w:sz w:val="24"/>
          <w:szCs w:val="24"/>
        </w:rPr>
        <w:t xml:space="preserve">Regarding the issue of an assets disclosure affidavit, counsel for the Plaintiff argued that where an injunction is granted such as in this matter, the Court can go ahead and order the filing of an assets disclosure affidavit.  Reliance was made on Order 29 rule 1A of the </w:t>
      </w:r>
      <w:r w:rsidRPr="001126B6">
        <w:rPr>
          <w:rFonts w:ascii="Bookman Old Style" w:hAnsi="Bookman Old Style"/>
          <w:b/>
          <w:i/>
          <w:sz w:val="24"/>
          <w:szCs w:val="24"/>
        </w:rPr>
        <w:t>white book</w:t>
      </w:r>
      <w:r>
        <w:rPr>
          <w:rFonts w:ascii="Bookman Old Style" w:hAnsi="Bookman Old Style"/>
          <w:sz w:val="24"/>
          <w:szCs w:val="24"/>
        </w:rPr>
        <w:t>.</w:t>
      </w:r>
    </w:p>
    <w:p w:rsidR="002E2C94" w:rsidRDefault="002E2C94" w:rsidP="009C3BDC">
      <w:pPr>
        <w:spacing w:after="0" w:line="360" w:lineRule="auto"/>
        <w:rPr>
          <w:rFonts w:ascii="Bookman Old Style" w:hAnsi="Bookman Old Style"/>
          <w:sz w:val="24"/>
          <w:szCs w:val="24"/>
        </w:rPr>
      </w:pPr>
    </w:p>
    <w:p w:rsidR="002E2C94" w:rsidRDefault="002E2C94" w:rsidP="009C3BDC">
      <w:pPr>
        <w:spacing w:after="0" w:line="360" w:lineRule="auto"/>
        <w:rPr>
          <w:rFonts w:ascii="Bookman Old Style" w:hAnsi="Bookman Old Style"/>
          <w:sz w:val="24"/>
          <w:szCs w:val="24"/>
        </w:rPr>
      </w:pPr>
      <w:r>
        <w:rPr>
          <w:rFonts w:ascii="Bookman Old Style" w:hAnsi="Bookman Old Style"/>
          <w:sz w:val="24"/>
          <w:szCs w:val="24"/>
        </w:rPr>
        <w:t xml:space="preserve">Order 29 rule 1A of the </w:t>
      </w:r>
      <w:r w:rsidRPr="001126B6">
        <w:rPr>
          <w:rFonts w:ascii="Bookman Old Style" w:hAnsi="Bookman Old Style"/>
          <w:b/>
          <w:i/>
          <w:sz w:val="24"/>
          <w:szCs w:val="24"/>
        </w:rPr>
        <w:t>white book</w:t>
      </w:r>
      <w:r>
        <w:rPr>
          <w:rFonts w:ascii="Bookman Old Style" w:hAnsi="Bookman Old Style"/>
          <w:sz w:val="24"/>
          <w:szCs w:val="24"/>
        </w:rPr>
        <w:t xml:space="preserve"> states as follows;</w:t>
      </w:r>
    </w:p>
    <w:p w:rsidR="003A4AD2" w:rsidRPr="001126B6" w:rsidRDefault="002E2C94" w:rsidP="009C3BDC">
      <w:pPr>
        <w:spacing w:after="0" w:line="360" w:lineRule="auto"/>
        <w:rPr>
          <w:rFonts w:ascii="Bookman Old Style" w:hAnsi="Bookman Old Style"/>
          <w:b/>
          <w:i/>
          <w:sz w:val="24"/>
          <w:szCs w:val="24"/>
        </w:rPr>
      </w:pPr>
      <w:r>
        <w:rPr>
          <w:rFonts w:ascii="Bookman Old Style" w:hAnsi="Bookman Old Style"/>
          <w:sz w:val="24"/>
          <w:szCs w:val="24"/>
        </w:rPr>
        <w:tab/>
      </w:r>
      <w:r w:rsidR="003A4AD2" w:rsidRPr="001126B6">
        <w:rPr>
          <w:rFonts w:ascii="Bookman Old Style" w:hAnsi="Bookman Old Style"/>
          <w:b/>
          <w:i/>
          <w:sz w:val="24"/>
          <w:szCs w:val="24"/>
        </w:rPr>
        <w:t>“Cross –examination of assets disclosure affidavit</w:t>
      </w:r>
    </w:p>
    <w:p w:rsidR="003A4AD2" w:rsidRPr="001126B6" w:rsidRDefault="003A4AD2" w:rsidP="009C3BDC">
      <w:pPr>
        <w:spacing w:after="0" w:line="360" w:lineRule="auto"/>
        <w:rPr>
          <w:rFonts w:ascii="Bookman Old Style" w:hAnsi="Bookman Old Style"/>
          <w:b/>
          <w:i/>
          <w:sz w:val="24"/>
          <w:szCs w:val="24"/>
        </w:rPr>
      </w:pPr>
      <w:r w:rsidRPr="001126B6">
        <w:rPr>
          <w:rFonts w:ascii="Bookman Old Style" w:hAnsi="Bookman Old Style"/>
          <w:b/>
          <w:i/>
          <w:sz w:val="24"/>
          <w:szCs w:val="24"/>
        </w:rPr>
        <w:tab/>
        <w:t>Where –</w:t>
      </w:r>
    </w:p>
    <w:p w:rsidR="003A4AD2" w:rsidRPr="001126B6" w:rsidRDefault="003A4AD2" w:rsidP="003A4AD2">
      <w:pPr>
        <w:pStyle w:val="ListParagraph"/>
        <w:numPr>
          <w:ilvl w:val="0"/>
          <w:numId w:val="3"/>
        </w:numPr>
        <w:spacing w:after="0" w:line="360" w:lineRule="auto"/>
        <w:rPr>
          <w:rFonts w:ascii="Bookman Old Style" w:hAnsi="Bookman Old Style"/>
          <w:b/>
          <w:i/>
          <w:sz w:val="24"/>
          <w:szCs w:val="24"/>
        </w:rPr>
      </w:pPr>
      <w:r w:rsidRPr="001126B6">
        <w:rPr>
          <w:rFonts w:ascii="Bookman Old Style" w:hAnsi="Bookman Old Style"/>
          <w:b/>
          <w:i/>
          <w:sz w:val="24"/>
          <w:szCs w:val="24"/>
        </w:rPr>
        <w:t xml:space="preserve"> The Court has made an order restraining any party from removing from the jurisdiction of the High Court, or otherwise dealing with, any assets.</w:t>
      </w:r>
    </w:p>
    <w:p w:rsidR="003A4AD2" w:rsidRPr="001126B6" w:rsidRDefault="003A4AD2" w:rsidP="003A4AD2">
      <w:pPr>
        <w:pStyle w:val="ListParagraph"/>
        <w:numPr>
          <w:ilvl w:val="0"/>
          <w:numId w:val="3"/>
        </w:numPr>
        <w:spacing w:after="0" w:line="360" w:lineRule="auto"/>
        <w:rPr>
          <w:rFonts w:ascii="Bookman Old Style" w:hAnsi="Bookman Old Style"/>
          <w:b/>
          <w:i/>
          <w:sz w:val="24"/>
          <w:szCs w:val="24"/>
        </w:rPr>
      </w:pPr>
      <w:r w:rsidRPr="001126B6">
        <w:rPr>
          <w:rFonts w:ascii="Bookman Old Style" w:hAnsi="Bookman Old Style"/>
          <w:b/>
          <w:i/>
          <w:sz w:val="24"/>
          <w:szCs w:val="24"/>
        </w:rPr>
        <w:t>That party has in compliance with the order, or any order made in connection with it, filed affidavit evidence as to his or any other assets, and</w:t>
      </w:r>
    </w:p>
    <w:p w:rsidR="00C437BD" w:rsidRPr="001126B6" w:rsidRDefault="00C437BD" w:rsidP="003A4AD2">
      <w:pPr>
        <w:pStyle w:val="ListParagraph"/>
        <w:numPr>
          <w:ilvl w:val="0"/>
          <w:numId w:val="3"/>
        </w:numPr>
        <w:spacing w:after="0" w:line="360" w:lineRule="auto"/>
        <w:rPr>
          <w:rFonts w:ascii="Bookman Old Style" w:hAnsi="Bookman Old Style"/>
          <w:b/>
          <w:i/>
          <w:sz w:val="24"/>
          <w:szCs w:val="24"/>
        </w:rPr>
      </w:pPr>
      <w:r w:rsidRPr="001126B6">
        <w:rPr>
          <w:rFonts w:ascii="Bookman Old Style" w:hAnsi="Bookman Old Style"/>
          <w:b/>
          <w:i/>
          <w:sz w:val="24"/>
          <w:szCs w:val="24"/>
        </w:rPr>
        <w:t>The Court has ordered that that party shall be cross-examined on his affidavit,</w:t>
      </w:r>
    </w:p>
    <w:p w:rsidR="00C437BD" w:rsidRPr="001126B6" w:rsidRDefault="00C437BD" w:rsidP="00C437BD">
      <w:pPr>
        <w:spacing w:after="0" w:line="360" w:lineRule="auto"/>
        <w:ind w:left="720"/>
        <w:rPr>
          <w:rFonts w:ascii="Bookman Old Style" w:hAnsi="Bookman Old Style"/>
          <w:b/>
          <w:i/>
          <w:sz w:val="24"/>
          <w:szCs w:val="24"/>
        </w:rPr>
      </w:pPr>
      <w:r w:rsidRPr="001126B6">
        <w:rPr>
          <w:rFonts w:ascii="Bookman Old Style" w:hAnsi="Bookman Old Style"/>
          <w:b/>
          <w:i/>
          <w:sz w:val="24"/>
          <w:szCs w:val="24"/>
        </w:rPr>
        <w:lastRenderedPageBreak/>
        <w:t>The Court may order that the cross-examination shall be conducted otherwise than before a judge, in which case the cross-examination shall take place before a master or, if a master so orders, before an examiner of the Court.”</w:t>
      </w:r>
    </w:p>
    <w:p w:rsidR="00C437BD" w:rsidRPr="001126B6" w:rsidRDefault="00C437BD" w:rsidP="00C437BD">
      <w:pPr>
        <w:spacing w:after="0" w:line="360" w:lineRule="auto"/>
        <w:rPr>
          <w:rFonts w:ascii="Bookman Old Style" w:hAnsi="Bookman Old Style"/>
          <w:b/>
          <w:i/>
          <w:sz w:val="24"/>
          <w:szCs w:val="24"/>
        </w:rPr>
      </w:pPr>
    </w:p>
    <w:p w:rsidR="00CC103C" w:rsidRDefault="00C437BD" w:rsidP="00C437BD">
      <w:pPr>
        <w:spacing w:after="0" w:line="360" w:lineRule="auto"/>
        <w:rPr>
          <w:rFonts w:ascii="Bookman Old Style" w:hAnsi="Bookman Old Style"/>
          <w:sz w:val="24"/>
          <w:szCs w:val="24"/>
        </w:rPr>
      </w:pPr>
      <w:r>
        <w:rPr>
          <w:rFonts w:ascii="Bookman Old Style" w:hAnsi="Bookman Old Style"/>
          <w:sz w:val="24"/>
          <w:szCs w:val="24"/>
        </w:rPr>
        <w:t>It is clear from the foregoing order that it make provision for an applicant to cross</w:t>
      </w:r>
      <w:r w:rsidR="00BF1115">
        <w:rPr>
          <w:rFonts w:ascii="Bookman Old Style" w:hAnsi="Bookman Old Style"/>
          <w:sz w:val="24"/>
          <w:szCs w:val="24"/>
        </w:rPr>
        <w:t xml:space="preserve"> examine a party against whom a restraining order has been granted preventing </w:t>
      </w:r>
      <w:r w:rsidR="003D3728">
        <w:rPr>
          <w:rFonts w:ascii="Bookman Old Style" w:hAnsi="Bookman Old Style"/>
          <w:sz w:val="24"/>
          <w:szCs w:val="24"/>
        </w:rPr>
        <w:t>him from removing his assets from jurisdiction</w:t>
      </w:r>
      <w:r w:rsidR="000A390B">
        <w:rPr>
          <w:rFonts w:ascii="Bookman Old Style" w:hAnsi="Bookman Old Style"/>
          <w:sz w:val="24"/>
          <w:szCs w:val="24"/>
        </w:rPr>
        <w:t>,</w:t>
      </w:r>
      <w:r>
        <w:rPr>
          <w:rFonts w:ascii="Bookman Old Style" w:hAnsi="Bookman Old Style"/>
          <w:sz w:val="24"/>
          <w:szCs w:val="24"/>
        </w:rPr>
        <w:t xml:space="preserve"> on his affidavit evidence.  </w:t>
      </w:r>
      <w:r w:rsidR="003D3728">
        <w:rPr>
          <w:rFonts w:ascii="Bookman Old Style" w:hAnsi="Bookman Old Style"/>
          <w:sz w:val="24"/>
          <w:szCs w:val="24"/>
        </w:rPr>
        <w:t xml:space="preserve">It does not make provision for the ordering of the filing of an assets disclosure affidavit. </w:t>
      </w:r>
    </w:p>
    <w:p w:rsidR="003D3728" w:rsidRDefault="003D3728" w:rsidP="00C437BD">
      <w:pPr>
        <w:spacing w:after="0" w:line="360" w:lineRule="auto"/>
        <w:rPr>
          <w:rFonts w:ascii="Bookman Old Style" w:hAnsi="Bookman Old Style"/>
          <w:sz w:val="24"/>
          <w:szCs w:val="24"/>
        </w:rPr>
      </w:pPr>
    </w:p>
    <w:p w:rsidR="00CC103C" w:rsidRDefault="00CC103C" w:rsidP="00C437BD">
      <w:pPr>
        <w:spacing w:after="0" w:line="360" w:lineRule="auto"/>
        <w:rPr>
          <w:rFonts w:ascii="Bookman Old Style" w:hAnsi="Bookman Old Style"/>
          <w:sz w:val="24"/>
          <w:szCs w:val="24"/>
        </w:rPr>
      </w:pPr>
      <w:r>
        <w:rPr>
          <w:rFonts w:ascii="Bookman Old Style" w:hAnsi="Bookman Old Style"/>
          <w:sz w:val="24"/>
          <w:szCs w:val="24"/>
        </w:rPr>
        <w:t>In view of what I have stated in the preceding paragraphs, I find that this application lacks merit a</w:t>
      </w:r>
      <w:r w:rsidR="003D3728">
        <w:rPr>
          <w:rFonts w:ascii="Bookman Old Style" w:hAnsi="Bookman Old Style"/>
          <w:sz w:val="24"/>
          <w:szCs w:val="24"/>
        </w:rPr>
        <w:t>nd I accordingly dismiss it. C</w:t>
      </w:r>
      <w:r>
        <w:rPr>
          <w:rFonts w:ascii="Bookman Old Style" w:hAnsi="Bookman Old Style"/>
          <w:sz w:val="24"/>
          <w:szCs w:val="24"/>
        </w:rPr>
        <w:t xml:space="preserve">onsequently the </w:t>
      </w:r>
      <w:r w:rsidR="001126B6" w:rsidRPr="003D3728">
        <w:rPr>
          <w:rFonts w:ascii="Bookman Old Style" w:hAnsi="Bookman Old Style"/>
          <w:i/>
          <w:sz w:val="24"/>
          <w:szCs w:val="24"/>
        </w:rPr>
        <w:t>e</w:t>
      </w:r>
      <w:r w:rsidRPr="003D3728">
        <w:rPr>
          <w:rFonts w:ascii="Bookman Old Style" w:hAnsi="Bookman Old Style"/>
          <w:i/>
          <w:sz w:val="24"/>
          <w:szCs w:val="24"/>
        </w:rPr>
        <w:t>x parte</w:t>
      </w:r>
      <w:r>
        <w:rPr>
          <w:rFonts w:ascii="Bookman Old Style" w:hAnsi="Bookman Old Style"/>
          <w:sz w:val="24"/>
          <w:szCs w:val="24"/>
        </w:rPr>
        <w:t xml:space="preserve"> order granted on 13</w:t>
      </w:r>
      <w:r w:rsidRPr="00CC103C">
        <w:rPr>
          <w:rFonts w:ascii="Bookman Old Style" w:hAnsi="Bookman Old Style"/>
          <w:sz w:val="24"/>
          <w:szCs w:val="24"/>
          <w:vertAlign w:val="superscript"/>
        </w:rPr>
        <w:t>th</w:t>
      </w:r>
      <w:r>
        <w:rPr>
          <w:rFonts w:ascii="Bookman Old Style" w:hAnsi="Bookman Old Style"/>
          <w:sz w:val="24"/>
          <w:szCs w:val="24"/>
        </w:rPr>
        <w:t xml:space="preserve"> May, 2011 is discharged.  I also award costs the Defendant.</w:t>
      </w:r>
    </w:p>
    <w:p w:rsidR="00CC103C" w:rsidRDefault="00CC103C" w:rsidP="00C437BD">
      <w:pPr>
        <w:spacing w:after="0" w:line="360" w:lineRule="auto"/>
        <w:rPr>
          <w:rFonts w:ascii="Bookman Old Style" w:hAnsi="Bookman Old Style"/>
          <w:sz w:val="24"/>
          <w:szCs w:val="24"/>
        </w:rPr>
      </w:pPr>
    </w:p>
    <w:p w:rsidR="004F7F09" w:rsidRDefault="00CC103C" w:rsidP="00C437BD">
      <w:pPr>
        <w:spacing w:after="0" w:line="360" w:lineRule="auto"/>
        <w:rPr>
          <w:rFonts w:ascii="Bookman Old Style" w:hAnsi="Bookman Old Style"/>
          <w:sz w:val="24"/>
          <w:szCs w:val="24"/>
        </w:rPr>
      </w:pPr>
      <w:r>
        <w:rPr>
          <w:rFonts w:ascii="Bookman Old Style" w:hAnsi="Bookman Old Style"/>
          <w:sz w:val="24"/>
          <w:szCs w:val="24"/>
        </w:rPr>
        <w:t>Leave to appeal is granted.</w:t>
      </w:r>
    </w:p>
    <w:p w:rsidR="004F7F09" w:rsidRDefault="004F7F09" w:rsidP="00C437BD">
      <w:pPr>
        <w:spacing w:after="0" w:line="360" w:lineRule="auto"/>
        <w:rPr>
          <w:rFonts w:ascii="Bookman Old Style" w:hAnsi="Bookman Old Style"/>
          <w:sz w:val="24"/>
          <w:szCs w:val="24"/>
        </w:rPr>
      </w:pPr>
    </w:p>
    <w:p w:rsidR="004F7F09" w:rsidRDefault="004F7F09" w:rsidP="00C437BD">
      <w:pPr>
        <w:spacing w:after="0" w:line="360" w:lineRule="auto"/>
        <w:rPr>
          <w:rFonts w:ascii="Bookman Old Style" w:hAnsi="Bookman Old Style"/>
          <w:sz w:val="24"/>
          <w:szCs w:val="24"/>
        </w:rPr>
      </w:pPr>
    </w:p>
    <w:p w:rsidR="004F7F09" w:rsidRPr="007C146C" w:rsidRDefault="004F7F09" w:rsidP="004F7F09">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Pr>
          <w:rFonts w:ascii="Bookman Old Style" w:hAnsi="Bookman Old Style" w:cs="Times New Roman"/>
          <w:b/>
          <w:sz w:val="24"/>
          <w:szCs w:val="24"/>
        </w:rPr>
        <w:t xml:space="preserve"> on the</w:t>
      </w:r>
      <w:r w:rsidRPr="007C146C">
        <w:rPr>
          <w:rFonts w:ascii="Bookman Old Style" w:hAnsi="Bookman Old Style" w:cs="Times New Roman"/>
          <w:b/>
          <w:sz w:val="24"/>
          <w:szCs w:val="24"/>
        </w:rPr>
        <w:t xml:space="preserve"> </w:t>
      </w:r>
      <w:r w:rsidR="003D3728">
        <w:rPr>
          <w:rFonts w:ascii="Bookman Old Style" w:hAnsi="Bookman Old Style" w:cs="Times New Roman"/>
          <w:b/>
          <w:sz w:val="24"/>
          <w:szCs w:val="24"/>
        </w:rPr>
        <w:t>1</w:t>
      </w:r>
      <w:r w:rsidR="000A390B">
        <w:rPr>
          <w:rFonts w:ascii="Bookman Old Style" w:hAnsi="Bookman Old Style" w:cs="Times New Roman"/>
          <w:b/>
          <w:sz w:val="24"/>
          <w:szCs w:val="24"/>
        </w:rPr>
        <w:t>3</w:t>
      </w:r>
      <w:r w:rsidR="003D3728" w:rsidRPr="003D3728">
        <w:rPr>
          <w:rFonts w:ascii="Bookman Old Style" w:hAnsi="Bookman Old Style" w:cs="Times New Roman"/>
          <w:b/>
          <w:sz w:val="24"/>
          <w:szCs w:val="24"/>
          <w:vertAlign w:val="superscript"/>
        </w:rPr>
        <w:t>th</w:t>
      </w:r>
      <w:r w:rsidR="003D3728">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July, 2011</w:t>
      </w:r>
      <w:r w:rsidRPr="007C146C">
        <w:rPr>
          <w:rFonts w:ascii="Bookman Old Style" w:hAnsi="Bookman Old Style" w:cs="Times New Roman"/>
          <w:b/>
          <w:sz w:val="24"/>
          <w:szCs w:val="24"/>
        </w:rPr>
        <w:t>.</w:t>
      </w:r>
    </w:p>
    <w:p w:rsidR="004F7F09" w:rsidRDefault="004F7F09" w:rsidP="004F7F09">
      <w:pPr>
        <w:spacing w:line="360" w:lineRule="auto"/>
        <w:contextualSpacing/>
        <w:rPr>
          <w:rFonts w:ascii="Bookman Old Style" w:hAnsi="Bookman Old Style" w:cs="Times New Roman"/>
          <w:sz w:val="24"/>
          <w:szCs w:val="24"/>
        </w:rPr>
      </w:pPr>
    </w:p>
    <w:p w:rsidR="004F7F09" w:rsidRDefault="004F7F09" w:rsidP="004F7F09">
      <w:pPr>
        <w:spacing w:line="360" w:lineRule="auto"/>
        <w:contextualSpacing/>
        <w:rPr>
          <w:rFonts w:ascii="Bookman Old Style" w:hAnsi="Bookman Old Style" w:cs="Times New Roman"/>
          <w:sz w:val="24"/>
          <w:szCs w:val="24"/>
        </w:rPr>
      </w:pPr>
    </w:p>
    <w:p w:rsidR="004F7F09" w:rsidRPr="007C146C" w:rsidRDefault="004F7F09" w:rsidP="004F7F09">
      <w:pPr>
        <w:spacing w:line="360" w:lineRule="auto"/>
        <w:contextualSpacing/>
        <w:rPr>
          <w:rFonts w:ascii="Bookman Old Style" w:hAnsi="Bookman Old Style" w:cs="Times New Roman"/>
          <w:sz w:val="24"/>
          <w:szCs w:val="24"/>
        </w:rPr>
      </w:pPr>
    </w:p>
    <w:p w:rsidR="004F7F09" w:rsidRPr="009B653C" w:rsidRDefault="004F7F09" w:rsidP="004F7F09">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4F7F09" w:rsidRPr="00CC137B" w:rsidRDefault="004F7F09" w:rsidP="004F7F09">
      <w:pPr>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HIGH COURT JUDGE</w:t>
      </w:r>
    </w:p>
    <w:p w:rsidR="004F7F09" w:rsidRPr="00C20499" w:rsidRDefault="004F7F09" w:rsidP="004F7F0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4F7F09" w:rsidRPr="00C20499" w:rsidRDefault="004F7F09" w:rsidP="004F7F09">
      <w:pPr>
        <w:spacing w:after="0" w:line="360" w:lineRule="auto"/>
        <w:ind w:left="1440" w:hanging="720"/>
        <w:rPr>
          <w:rFonts w:ascii="Bookman Old Style" w:hAnsi="Bookman Old Style" w:cs="Times New Roman"/>
          <w:b/>
          <w:i/>
          <w:sz w:val="24"/>
          <w:szCs w:val="24"/>
        </w:rPr>
      </w:pPr>
      <w:r w:rsidRPr="00C20499">
        <w:rPr>
          <w:rFonts w:ascii="Bookman Old Style" w:hAnsi="Bookman Old Style" w:cs="Times New Roman"/>
          <w:b/>
          <w:i/>
          <w:sz w:val="24"/>
          <w:szCs w:val="24"/>
        </w:rPr>
        <w:t xml:space="preserve">  </w:t>
      </w:r>
    </w:p>
    <w:p w:rsidR="008856F6" w:rsidRPr="00C437BD" w:rsidRDefault="002E2C94" w:rsidP="00C437BD">
      <w:pPr>
        <w:spacing w:after="0" w:line="360" w:lineRule="auto"/>
        <w:rPr>
          <w:rFonts w:ascii="Bookman Old Style" w:hAnsi="Bookman Old Style"/>
          <w:sz w:val="24"/>
          <w:szCs w:val="24"/>
        </w:rPr>
      </w:pPr>
      <w:r w:rsidRPr="00C437BD">
        <w:rPr>
          <w:rFonts w:ascii="Bookman Old Style" w:hAnsi="Bookman Old Style"/>
          <w:sz w:val="24"/>
          <w:szCs w:val="24"/>
        </w:rPr>
        <w:t xml:space="preserve">  </w:t>
      </w:r>
      <w:r w:rsidR="009C3BDC" w:rsidRPr="00C437BD">
        <w:rPr>
          <w:rFonts w:ascii="Bookman Old Style" w:hAnsi="Bookman Old Style"/>
          <w:sz w:val="24"/>
          <w:szCs w:val="24"/>
        </w:rPr>
        <w:t xml:space="preserve"> </w:t>
      </w:r>
      <w:r w:rsidR="008856F6" w:rsidRPr="00C437BD">
        <w:rPr>
          <w:rFonts w:ascii="Bookman Old Style" w:hAnsi="Bookman Old Style"/>
          <w:sz w:val="24"/>
          <w:szCs w:val="24"/>
        </w:rPr>
        <w:t xml:space="preserve">   </w:t>
      </w:r>
    </w:p>
    <w:p w:rsidR="00CB4D25" w:rsidRDefault="00CB4D25" w:rsidP="00F452A1">
      <w:pPr>
        <w:spacing w:after="0" w:line="360" w:lineRule="auto"/>
        <w:rPr>
          <w:rFonts w:ascii="Bookman Old Style" w:hAnsi="Bookman Old Style"/>
          <w:sz w:val="24"/>
          <w:szCs w:val="24"/>
        </w:rPr>
      </w:pPr>
    </w:p>
    <w:p w:rsidR="00F452A1" w:rsidRPr="00F452A1" w:rsidRDefault="00CB4D25" w:rsidP="00F452A1">
      <w:pPr>
        <w:spacing w:after="0" w:line="360" w:lineRule="auto"/>
        <w:rPr>
          <w:rFonts w:ascii="Bookman Old Style" w:hAnsi="Bookman Old Style"/>
          <w:sz w:val="24"/>
          <w:szCs w:val="24"/>
        </w:rPr>
      </w:pPr>
      <w:r>
        <w:rPr>
          <w:rFonts w:ascii="Bookman Old Style" w:hAnsi="Bookman Old Style"/>
          <w:sz w:val="24"/>
          <w:szCs w:val="24"/>
        </w:rPr>
        <w:t xml:space="preserve">   </w:t>
      </w:r>
      <w:r w:rsidR="008C5613">
        <w:rPr>
          <w:rFonts w:ascii="Bookman Old Style" w:hAnsi="Bookman Old Style"/>
          <w:sz w:val="24"/>
          <w:szCs w:val="24"/>
        </w:rPr>
        <w:t xml:space="preserve">      </w:t>
      </w:r>
      <w:r w:rsidR="002F298A">
        <w:rPr>
          <w:rFonts w:ascii="Bookman Old Style" w:hAnsi="Bookman Old Style"/>
          <w:sz w:val="24"/>
          <w:szCs w:val="24"/>
        </w:rPr>
        <w:t xml:space="preserve"> </w:t>
      </w:r>
      <w:r w:rsidR="00ED1374">
        <w:rPr>
          <w:rFonts w:ascii="Bookman Old Style" w:hAnsi="Bookman Old Style"/>
          <w:sz w:val="24"/>
          <w:szCs w:val="24"/>
        </w:rPr>
        <w:t xml:space="preserve"> </w:t>
      </w:r>
      <w:r w:rsidR="00F452A1">
        <w:rPr>
          <w:rFonts w:ascii="Bookman Old Style" w:hAnsi="Bookman Old Style"/>
          <w:sz w:val="24"/>
          <w:szCs w:val="24"/>
        </w:rPr>
        <w:t xml:space="preserve">   </w:t>
      </w:r>
    </w:p>
    <w:sectPr w:rsidR="00F452A1" w:rsidRPr="00F452A1" w:rsidSect="00B30F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639" w:rsidRDefault="00CA5639" w:rsidP="00F452A1">
      <w:pPr>
        <w:spacing w:after="0"/>
      </w:pPr>
      <w:r>
        <w:separator/>
      </w:r>
    </w:p>
  </w:endnote>
  <w:endnote w:type="continuationSeparator" w:id="1">
    <w:p w:rsidR="00CA5639" w:rsidRDefault="00CA5639" w:rsidP="00F452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639" w:rsidRDefault="00CA5639" w:rsidP="00F452A1">
      <w:pPr>
        <w:spacing w:after="0"/>
      </w:pPr>
      <w:r>
        <w:separator/>
      </w:r>
    </w:p>
  </w:footnote>
  <w:footnote w:type="continuationSeparator" w:id="1">
    <w:p w:rsidR="00CA5639" w:rsidRDefault="00CA5639" w:rsidP="00F452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26616407"/>
      <w:docPartObj>
        <w:docPartGallery w:val="Page Numbers (Top of Page)"/>
        <w:docPartUnique/>
      </w:docPartObj>
    </w:sdtPr>
    <w:sdtContent>
      <w:p w:rsidR="00C437BD" w:rsidRPr="00F452A1" w:rsidRDefault="00C437BD">
        <w:pPr>
          <w:pStyle w:val="Header"/>
          <w:jc w:val="center"/>
          <w:rPr>
            <w:rFonts w:ascii="Bookman Old Style" w:hAnsi="Bookman Old Style"/>
          </w:rPr>
        </w:pPr>
        <w:r w:rsidRPr="00F452A1">
          <w:rPr>
            <w:rFonts w:ascii="Bookman Old Style" w:hAnsi="Bookman Old Style"/>
          </w:rPr>
          <w:t>R</w:t>
        </w:r>
        <w:r w:rsidR="00824200" w:rsidRPr="00F452A1">
          <w:rPr>
            <w:rFonts w:ascii="Bookman Old Style" w:hAnsi="Bookman Old Style"/>
          </w:rPr>
          <w:fldChar w:fldCharType="begin"/>
        </w:r>
        <w:r w:rsidRPr="00F452A1">
          <w:rPr>
            <w:rFonts w:ascii="Bookman Old Style" w:hAnsi="Bookman Old Style"/>
          </w:rPr>
          <w:instrText xml:space="preserve"> PAGE   \* MERGEFORMAT </w:instrText>
        </w:r>
        <w:r w:rsidR="00824200" w:rsidRPr="00F452A1">
          <w:rPr>
            <w:rFonts w:ascii="Bookman Old Style" w:hAnsi="Bookman Old Style"/>
          </w:rPr>
          <w:fldChar w:fldCharType="separate"/>
        </w:r>
        <w:r w:rsidR="000A390B">
          <w:rPr>
            <w:rFonts w:ascii="Bookman Old Style" w:hAnsi="Bookman Old Style"/>
            <w:noProof/>
          </w:rPr>
          <w:t>10</w:t>
        </w:r>
        <w:r w:rsidR="00824200" w:rsidRPr="00F452A1">
          <w:rPr>
            <w:rFonts w:ascii="Bookman Old Style" w:hAnsi="Bookman Old Style"/>
          </w:rPr>
          <w:fldChar w:fldCharType="end"/>
        </w:r>
      </w:p>
    </w:sdtContent>
  </w:sdt>
  <w:p w:rsidR="00C437BD" w:rsidRDefault="00C43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9F1971"/>
    <w:multiLevelType w:val="hybridMultilevel"/>
    <w:tmpl w:val="8AC2DA74"/>
    <w:lvl w:ilvl="0" w:tplc="DADE0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3EA6"/>
    <w:rsid w:val="000A390B"/>
    <w:rsid w:val="000E7EF9"/>
    <w:rsid w:val="001036EB"/>
    <w:rsid w:val="001126B6"/>
    <w:rsid w:val="001778FA"/>
    <w:rsid w:val="00296EF3"/>
    <w:rsid w:val="002E2C94"/>
    <w:rsid w:val="002F298A"/>
    <w:rsid w:val="0034608E"/>
    <w:rsid w:val="003A0DD4"/>
    <w:rsid w:val="003A4AD2"/>
    <w:rsid w:val="003B7116"/>
    <w:rsid w:val="003C5A3B"/>
    <w:rsid w:val="003D3728"/>
    <w:rsid w:val="004001CA"/>
    <w:rsid w:val="00401F36"/>
    <w:rsid w:val="00461E1E"/>
    <w:rsid w:val="004F7F09"/>
    <w:rsid w:val="005A3327"/>
    <w:rsid w:val="006061F5"/>
    <w:rsid w:val="00683EA6"/>
    <w:rsid w:val="00736D21"/>
    <w:rsid w:val="00824200"/>
    <w:rsid w:val="008856F6"/>
    <w:rsid w:val="008A60CB"/>
    <w:rsid w:val="008B118D"/>
    <w:rsid w:val="008C5613"/>
    <w:rsid w:val="00924DC3"/>
    <w:rsid w:val="009B2BBC"/>
    <w:rsid w:val="009C3BDC"/>
    <w:rsid w:val="00A3171C"/>
    <w:rsid w:val="00AE6A87"/>
    <w:rsid w:val="00B30FF1"/>
    <w:rsid w:val="00B55A84"/>
    <w:rsid w:val="00B72DF9"/>
    <w:rsid w:val="00BB65D1"/>
    <w:rsid w:val="00BF1115"/>
    <w:rsid w:val="00C437BD"/>
    <w:rsid w:val="00CA5639"/>
    <w:rsid w:val="00CB4D25"/>
    <w:rsid w:val="00CC103C"/>
    <w:rsid w:val="00CC4A1C"/>
    <w:rsid w:val="00D250BC"/>
    <w:rsid w:val="00D36627"/>
    <w:rsid w:val="00D80C97"/>
    <w:rsid w:val="00D84A42"/>
    <w:rsid w:val="00DA6D4F"/>
    <w:rsid w:val="00ED1374"/>
    <w:rsid w:val="00F224F2"/>
    <w:rsid w:val="00F40C5D"/>
    <w:rsid w:val="00F452A1"/>
    <w:rsid w:val="00F54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A6"/>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EA6"/>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683EA6"/>
    <w:pPr>
      <w:ind w:left="720"/>
      <w:contextualSpacing/>
    </w:pPr>
  </w:style>
  <w:style w:type="paragraph" w:styleId="Header">
    <w:name w:val="header"/>
    <w:basedOn w:val="Normal"/>
    <w:link w:val="HeaderChar"/>
    <w:uiPriority w:val="99"/>
    <w:unhideWhenUsed/>
    <w:rsid w:val="00F452A1"/>
    <w:pPr>
      <w:tabs>
        <w:tab w:val="center" w:pos="4680"/>
        <w:tab w:val="right" w:pos="9360"/>
      </w:tabs>
      <w:spacing w:after="0"/>
    </w:pPr>
  </w:style>
  <w:style w:type="character" w:customStyle="1" w:styleId="HeaderChar">
    <w:name w:val="Header Char"/>
    <w:basedOn w:val="DefaultParagraphFont"/>
    <w:link w:val="Header"/>
    <w:uiPriority w:val="99"/>
    <w:rsid w:val="00F452A1"/>
  </w:style>
  <w:style w:type="paragraph" w:styleId="Footer">
    <w:name w:val="footer"/>
    <w:basedOn w:val="Normal"/>
    <w:link w:val="FooterChar"/>
    <w:uiPriority w:val="99"/>
    <w:semiHidden/>
    <w:unhideWhenUsed/>
    <w:rsid w:val="00F452A1"/>
    <w:pPr>
      <w:tabs>
        <w:tab w:val="center" w:pos="4680"/>
        <w:tab w:val="right" w:pos="9360"/>
      </w:tabs>
      <w:spacing w:after="0"/>
    </w:pPr>
  </w:style>
  <w:style w:type="character" w:customStyle="1" w:styleId="FooterChar">
    <w:name w:val="Footer Char"/>
    <w:basedOn w:val="DefaultParagraphFont"/>
    <w:link w:val="Footer"/>
    <w:uiPriority w:val="99"/>
    <w:semiHidden/>
    <w:rsid w:val="00F452A1"/>
  </w:style>
</w:styles>
</file>

<file path=word/webSettings.xml><?xml version="1.0" encoding="utf-8"?>
<w:webSettings xmlns:r="http://schemas.openxmlformats.org/officeDocument/2006/relationships" xmlns:w="http://schemas.openxmlformats.org/wordprocessingml/2006/main">
  <w:divs>
    <w:div w:id="4838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36</cp:revision>
  <dcterms:created xsi:type="dcterms:W3CDTF">2011-07-08T09:58:00Z</dcterms:created>
  <dcterms:modified xsi:type="dcterms:W3CDTF">2011-07-14T03:44:00Z</dcterms:modified>
</cp:coreProperties>
</file>