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420B" w:rsidRPr="002E14D7" w:rsidRDefault="0015420B" w:rsidP="0015420B">
      <w:pPr>
        <w:spacing w:after="0" w:line="240" w:lineRule="auto"/>
        <w:rPr>
          <w:rFonts w:ascii="Bookman Old Style" w:hAnsi="Bookman Old Style"/>
          <w:sz w:val="28"/>
          <w:szCs w:val="28"/>
        </w:rPr>
      </w:pPr>
      <w:r w:rsidRPr="00751632">
        <w:rPr>
          <w:rFonts w:ascii="Bookman Old Style" w:hAnsi="Bookman Old Style"/>
          <w:b/>
          <w:sz w:val="28"/>
          <w:szCs w:val="28"/>
          <w:u w:val="single"/>
        </w:rPr>
        <w:t xml:space="preserve">IN THE HIGH COURT </w:t>
      </w:r>
      <w:r>
        <w:rPr>
          <w:rFonts w:ascii="Bookman Old Style" w:hAnsi="Bookman Old Style"/>
          <w:b/>
          <w:sz w:val="28"/>
          <w:szCs w:val="28"/>
          <w:u w:val="single"/>
        </w:rPr>
        <w:t>O</w:t>
      </w:r>
      <w:r w:rsidRPr="00751632">
        <w:rPr>
          <w:rFonts w:ascii="Bookman Old Style" w:hAnsi="Bookman Old Style"/>
          <w:b/>
          <w:sz w:val="28"/>
          <w:szCs w:val="28"/>
          <w:u w:val="single"/>
        </w:rPr>
        <w:t>F ZAMBIA</w:t>
      </w:r>
      <w:r>
        <w:rPr>
          <w:rFonts w:ascii="Bookman Old Style" w:hAnsi="Bookman Old Style"/>
          <w:sz w:val="28"/>
          <w:szCs w:val="28"/>
        </w:rPr>
        <w:tab/>
        <w:t xml:space="preserve">            </w:t>
      </w:r>
      <w:r>
        <w:rPr>
          <w:rFonts w:ascii="Bookman Old Style" w:hAnsi="Bookman Old Style"/>
          <w:sz w:val="28"/>
          <w:szCs w:val="28"/>
        </w:rPr>
        <w:tab/>
        <w:t xml:space="preserve">         </w:t>
      </w:r>
      <w:r>
        <w:rPr>
          <w:rFonts w:ascii="Bookman Old Style" w:hAnsi="Bookman Old Style"/>
          <w:b/>
          <w:sz w:val="28"/>
          <w:szCs w:val="28"/>
          <w:u w:val="single"/>
        </w:rPr>
        <w:t>2010/HP/955</w:t>
      </w:r>
    </w:p>
    <w:p w:rsidR="0015420B" w:rsidRDefault="0015420B" w:rsidP="0015420B">
      <w:pPr>
        <w:spacing w:after="0" w:line="240" w:lineRule="auto"/>
        <w:rPr>
          <w:rFonts w:ascii="Bookman Old Style" w:hAnsi="Bookman Old Style"/>
          <w:b/>
          <w:sz w:val="28"/>
          <w:szCs w:val="28"/>
          <w:u w:val="single"/>
        </w:rPr>
      </w:pPr>
      <w:r>
        <w:rPr>
          <w:rFonts w:ascii="Bookman Old Style" w:hAnsi="Bookman Old Style"/>
          <w:b/>
          <w:sz w:val="28"/>
          <w:szCs w:val="28"/>
          <w:u w:val="single"/>
        </w:rPr>
        <w:t xml:space="preserve">AT THE PRINCIPAL REGISTRY </w:t>
      </w:r>
    </w:p>
    <w:p w:rsidR="0015420B" w:rsidRDefault="0015420B" w:rsidP="0015420B">
      <w:pPr>
        <w:spacing w:after="0" w:line="240" w:lineRule="auto"/>
        <w:rPr>
          <w:rFonts w:ascii="Bookman Old Style" w:hAnsi="Bookman Old Style"/>
          <w:b/>
          <w:sz w:val="28"/>
          <w:szCs w:val="28"/>
          <w:u w:val="single"/>
        </w:rPr>
      </w:pPr>
      <w:r>
        <w:rPr>
          <w:rFonts w:ascii="Bookman Old Style" w:hAnsi="Bookman Old Style"/>
          <w:b/>
          <w:sz w:val="28"/>
          <w:szCs w:val="28"/>
          <w:u w:val="single"/>
        </w:rPr>
        <w:t>HOLDEN AT LUSAKA</w:t>
      </w:r>
    </w:p>
    <w:p w:rsidR="0015420B" w:rsidRPr="002E14D7" w:rsidRDefault="0015420B" w:rsidP="0015420B">
      <w:pPr>
        <w:spacing w:after="0" w:line="240" w:lineRule="auto"/>
        <w:rPr>
          <w:rFonts w:ascii="Bookman Old Style" w:hAnsi="Bookman Old Style"/>
          <w:i/>
          <w:sz w:val="24"/>
          <w:szCs w:val="24"/>
        </w:rPr>
      </w:pPr>
      <w:r>
        <w:rPr>
          <w:rFonts w:ascii="Bookman Old Style" w:hAnsi="Bookman Old Style"/>
          <w:i/>
          <w:sz w:val="24"/>
          <w:szCs w:val="24"/>
        </w:rPr>
        <w:t>(Civil</w:t>
      </w:r>
      <w:r w:rsidRPr="002E14D7">
        <w:rPr>
          <w:rFonts w:ascii="Bookman Old Style" w:hAnsi="Bookman Old Style"/>
          <w:i/>
          <w:sz w:val="24"/>
          <w:szCs w:val="24"/>
        </w:rPr>
        <w:t xml:space="preserve"> Jurisdiction) </w:t>
      </w:r>
    </w:p>
    <w:p w:rsidR="0015420B" w:rsidRPr="0019564D" w:rsidRDefault="0015420B" w:rsidP="0015420B">
      <w:pPr>
        <w:spacing w:after="0" w:line="240" w:lineRule="auto"/>
        <w:rPr>
          <w:rFonts w:ascii="Bookman Old Style" w:hAnsi="Bookman Old Style"/>
          <w:i/>
          <w:sz w:val="24"/>
          <w:szCs w:val="24"/>
        </w:rPr>
      </w:pPr>
    </w:p>
    <w:p w:rsidR="0015420B" w:rsidRPr="0019564D" w:rsidRDefault="0015420B" w:rsidP="0015420B">
      <w:pPr>
        <w:spacing w:after="0" w:line="240" w:lineRule="auto"/>
        <w:rPr>
          <w:rFonts w:ascii="Bookman Old Style" w:hAnsi="Bookman Old Style"/>
          <w:i/>
          <w:sz w:val="24"/>
          <w:szCs w:val="24"/>
        </w:rPr>
      </w:pPr>
    </w:p>
    <w:p w:rsidR="0015420B" w:rsidRDefault="0015420B" w:rsidP="0015420B">
      <w:pPr>
        <w:spacing w:after="0" w:line="240" w:lineRule="auto"/>
        <w:rPr>
          <w:rFonts w:ascii="Bookman Old Style" w:hAnsi="Bookman Old Style"/>
          <w:sz w:val="28"/>
          <w:szCs w:val="28"/>
        </w:rPr>
      </w:pPr>
      <w:r>
        <w:rPr>
          <w:rFonts w:ascii="Bookman Old Style" w:hAnsi="Bookman Old Style"/>
          <w:sz w:val="28"/>
          <w:szCs w:val="28"/>
        </w:rPr>
        <w:t>IN THE MATTER OF:</w:t>
      </w:r>
      <w:r>
        <w:rPr>
          <w:rFonts w:ascii="Bookman Old Style" w:hAnsi="Bookman Old Style"/>
          <w:sz w:val="28"/>
          <w:szCs w:val="28"/>
        </w:rPr>
        <w:tab/>
      </w:r>
      <w:r>
        <w:rPr>
          <w:rFonts w:ascii="Bookman Old Style" w:hAnsi="Bookman Old Style"/>
          <w:sz w:val="28"/>
          <w:szCs w:val="28"/>
        </w:rPr>
        <w:tab/>
        <w:t xml:space="preserve">  ARTICLE 28(1) OF THE CONSTITUTION </w:t>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t xml:space="preserve">  OF ZAMBIA OF THE LAWS OF ZAMBIA. </w:t>
      </w:r>
    </w:p>
    <w:p w:rsidR="0015420B" w:rsidRDefault="0015420B" w:rsidP="0015420B">
      <w:pPr>
        <w:spacing w:after="0" w:line="240" w:lineRule="auto"/>
        <w:rPr>
          <w:rFonts w:ascii="Bookman Old Style" w:hAnsi="Bookman Old Style"/>
          <w:sz w:val="28"/>
          <w:szCs w:val="28"/>
        </w:rPr>
      </w:pPr>
    </w:p>
    <w:p w:rsidR="0015420B" w:rsidRDefault="0015420B" w:rsidP="0015420B">
      <w:pPr>
        <w:spacing w:after="0" w:line="240" w:lineRule="auto"/>
        <w:rPr>
          <w:rFonts w:ascii="Bookman Old Style" w:hAnsi="Bookman Old Style"/>
          <w:sz w:val="28"/>
          <w:szCs w:val="28"/>
        </w:rPr>
      </w:pPr>
      <w:r>
        <w:rPr>
          <w:rFonts w:ascii="Bookman Old Style" w:hAnsi="Bookman Old Style"/>
          <w:sz w:val="28"/>
          <w:szCs w:val="28"/>
        </w:rPr>
        <w:t xml:space="preserve">AND IN THE MATTER OF:  RULE 2 OF THE PROTECTION OF </w:t>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t xml:space="preserve">  FUNDAMENTAL RIGHTS RULES, 1969.</w:t>
      </w:r>
    </w:p>
    <w:p w:rsidR="0015420B" w:rsidRDefault="0015420B" w:rsidP="0015420B">
      <w:pPr>
        <w:spacing w:after="0" w:line="240" w:lineRule="auto"/>
        <w:rPr>
          <w:rFonts w:ascii="Bookman Old Style" w:hAnsi="Bookman Old Style"/>
          <w:sz w:val="28"/>
          <w:szCs w:val="28"/>
        </w:rPr>
      </w:pPr>
    </w:p>
    <w:p w:rsidR="0015420B" w:rsidRDefault="0015420B" w:rsidP="0015420B">
      <w:pPr>
        <w:spacing w:after="0" w:line="240" w:lineRule="auto"/>
        <w:rPr>
          <w:rFonts w:ascii="Bookman Old Style" w:hAnsi="Bookman Old Style"/>
          <w:sz w:val="28"/>
          <w:szCs w:val="28"/>
        </w:rPr>
      </w:pPr>
      <w:r>
        <w:rPr>
          <w:rFonts w:ascii="Bookman Old Style" w:hAnsi="Bookman Old Style"/>
          <w:sz w:val="28"/>
          <w:szCs w:val="28"/>
        </w:rPr>
        <w:t>AND IN THE MATTER OF:</w:t>
      </w:r>
      <w:r>
        <w:rPr>
          <w:rFonts w:ascii="Bookman Old Style" w:hAnsi="Bookman Old Style"/>
          <w:sz w:val="28"/>
          <w:szCs w:val="28"/>
        </w:rPr>
        <w:tab/>
        <w:t xml:space="preserve">  ARTICLES 11 (b) 19 (1) AND 23 (2) OF </w:t>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t xml:space="preserve">  THE CONSTITUTION OF ZAMBIA CAP 1 </w:t>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t xml:space="preserve">  OF THE LAWS OF ZAMBIA.  </w:t>
      </w:r>
    </w:p>
    <w:p w:rsidR="0015420B" w:rsidRDefault="0015420B" w:rsidP="0015420B">
      <w:pPr>
        <w:spacing w:after="0" w:line="240" w:lineRule="auto"/>
        <w:rPr>
          <w:rFonts w:ascii="Bookman Old Style" w:hAnsi="Bookman Old Style"/>
          <w:sz w:val="28"/>
          <w:szCs w:val="28"/>
        </w:rPr>
      </w:pPr>
    </w:p>
    <w:p w:rsidR="0015420B" w:rsidRDefault="0015420B" w:rsidP="0015420B">
      <w:pPr>
        <w:spacing w:after="0" w:line="240" w:lineRule="auto"/>
        <w:rPr>
          <w:rFonts w:ascii="Bookman Old Style" w:hAnsi="Bookman Old Style"/>
          <w:sz w:val="28"/>
          <w:szCs w:val="28"/>
        </w:rPr>
      </w:pPr>
    </w:p>
    <w:p w:rsidR="0015420B" w:rsidRDefault="0015420B" w:rsidP="0015420B">
      <w:pPr>
        <w:spacing w:after="0" w:line="240" w:lineRule="auto"/>
        <w:rPr>
          <w:rFonts w:ascii="Bookman Old Style" w:hAnsi="Bookman Old Style"/>
          <w:sz w:val="28"/>
          <w:szCs w:val="28"/>
        </w:rPr>
      </w:pPr>
      <w:r>
        <w:rPr>
          <w:rFonts w:ascii="Bookman Old Style" w:hAnsi="Bookman Old Style"/>
          <w:sz w:val="28"/>
          <w:szCs w:val="28"/>
        </w:rPr>
        <w:t>BETWEEN:</w:t>
      </w:r>
    </w:p>
    <w:p w:rsidR="0015420B" w:rsidRDefault="0015420B" w:rsidP="0015420B">
      <w:pPr>
        <w:spacing w:after="0" w:line="240" w:lineRule="auto"/>
        <w:rPr>
          <w:rFonts w:ascii="Bookman Old Style" w:hAnsi="Bookman Old Style"/>
          <w:sz w:val="28"/>
          <w:szCs w:val="28"/>
        </w:rPr>
      </w:pPr>
    </w:p>
    <w:p w:rsidR="0015420B" w:rsidRDefault="0015420B" w:rsidP="0015420B">
      <w:pPr>
        <w:spacing w:after="0" w:line="240" w:lineRule="auto"/>
        <w:rPr>
          <w:rFonts w:ascii="Bookman Old Style" w:hAnsi="Bookman Old Style"/>
          <w:b/>
          <w:sz w:val="28"/>
          <w:szCs w:val="28"/>
        </w:rPr>
      </w:pPr>
      <w:r>
        <w:rPr>
          <w:rFonts w:ascii="Bookman Old Style" w:hAnsi="Bookman Old Style"/>
          <w:sz w:val="28"/>
          <w:szCs w:val="28"/>
        </w:rPr>
        <w:tab/>
      </w:r>
      <w:r>
        <w:rPr>
          <w:rFonts w:ascii="Bookman Old Style" w:hAnsi="Bookman Old Style"/>
          <w:sz w:val="28"/>
          <w:szCs w:val="28"/>
        </w:rPr>
        <w:tab/>
      </w:r>
      <w:r>
        <w:rPr>
          <w:rFonts w:ascii="Bookman Old Style" w:hAnsi="Bookman Old Style"/>
          <w:b/>
          <w:sz w:val="28"/>
          <w:szCs w:val="28"/>
        </w:rPr>
        <w:t xml:space="preserve">KELVIN HANGANDU </w:t>
      </w:r>
      <w:r>
        <w:rPr>
          <w:rFonts w:ascii="Bookman Old Style" w:hAnsi="Bookman Old Style"/>
          <w:b/>
          <w:sz w:val="28"/>
          <w:szCs w:val="28"/>
        </w:rPr>
        <w:tab/>
      </w:r>
      <w:r>
        <w:rPr>
          <w:rFonts w:ascii="Bookman Old Style" w:hAnsi="Bookman Old Style"/>
          <w:b/>
          <w:sz w:val="28"/>
          <w:szCs w:val="28"/>
        </w:rPr>
        <w:tab/>
      </w:r>
      <w:r>
        <w:rPr>
          <w:rFonts w:ascii="Bookman Old Style" w:hAnsi="Bookman Old Style"/>
          <w:b/>
          <w:sz w:val="28"/>
          <w:szCs w:val="28"/>
        </w:rPr>
        <w:tab/>
      </w:r>
      <w:r>
        <w:rPr>
          <w:rFonts w:ascii="Bookman Old Style" w:hAnsi="Bookman Old Style"/>
          <w:b/>
          <w:sz w:val="28"/>
          <w:szCs w:val="28"/>
        </w:rPr>
        <w:tab/>
        <w:t xml:space="preserve">PETITIONER </w:t>
      </w:r>
    </w:p>
    <w:p w:rsidR="0015420B" w:rsidRDefault="0015420B" w:rsidP="0015420B">
      <w:pPr>
        <w:spacing w:after="0" w:line="240" w:lineRule="auto"/>
        <w:rPr>
          <w:rFonts w:ascii="Bookman Old Style" w:hAnsi="Bookman Old Style"/>
          <w:b/>
          <w:sz w:val="28"/>
          <w:szCs w:val="28"/>
        </w:rPr>
      </w:pPr>
    </w:p>
    <w:p w:rsidR="0015420B" w:rsidRDefault="0015420B" w:rsidP="0015420B">
      <w:pPr>
        <w:spacing w:after="0" w:line="240" w:lineRule="auto"/>
        <w:rPr>
          <w:rFonts w:ascii="Bookman Old Style" w:hAnsi="Bookman Old Style"/>
          <w:b/>
          <w:sz w:val="28"/>
          <w:szCs w:val="28"/>
        </w:rPr>
      </w:pPr>
      <w:r>
        <w:rPr>
          <w:rFonts w:ascii="Bookman Old Style" w:hAnsi="Bookman Old Style"/>
          <w:b/>
          <w:sz w:val="28"/>
          <w:szCs w:val="28"/>
        </w:rPr>
        <w:tab/>
      </w:r>
      <w:r>
        <w:rPr>
          <w:rFonts w:ascii="Bookman Old Style" w:hAnsi="Bookman Old Style"/>
          <w:b/>
          <w:sz w:val="28"/>
          <w:szCs w:val="28"/>
        </w:rPr>
        <w:tab/>
      </w:r>
      <w:r>
        <w:rPr>
          <w:rFonts w:ascii="Bookman Old Style" w:hAnsi="Bookman Old Style"/>
          <w:b/>
          <w:sz w:val="28"/>
          <w:szCs w:val="28"/>
        </w:rPr>
        <w:tab/>
      </w:r>
      <w:r>
        <w:rPr>
          <w:rFonts w:ascii="Bookman Old Style" w:hAnsi="Bookman Old Style"/>
          <w:b/>
          <w:sz w:val="28"/>
          <w:szCs w:val="28"/>
        </w:rPr>
        <w:tab/>
        <w:t>V</w:t>
      </w:r>
    </w:p>
    <w:p w:rsidR="0015420B" w:rsidRDefault="0015420B" w:rsidP="0015420B">
      <w:pPr>
        <w:spacing w:after="0" w:line="240" w:lineRule="auto"/>
        <w:rPr>
          <w:rFonts w:ascii="Bookman Old Style" w:hAnsi="Bookman Old Style"/>
          <w:b/>
          <w:sz w:val="28"/>
          <w:szCs w:val="28"/>
        </w:rPr>
      </w:pPr>
    </w:p>
    <w:p w:rsidR="0015420B" w:rsidRPr="0015420B" w:rsidRDefault="0015420B" w:rsidP="0015420B">
      <w:pPr>
        <w:spacing w:after="0" w:line="240" w:lineRule="auto"/>
        <w:rPr>
          <w:rFonts w:ascii="Bookman Old Style" w:hAnsi="Bookman Old Style"/>
          <w:sz w:val="28"/>
          <w:szCs w:val="28"/>
        </w:rPr>
      </w:pPr>
      <w:r>
        <w:rPr>
          <w:rFonts w:ascii="Bookman Old Style" w:hAnsi="Bookman Old Style"/>
          <w:b/>
          <w:sz w:val="28"/>
          <w:szCs w:val="28"/>
        </w:rPr>
        <w:tab/>
      </w:r>
      <w:r>
        <w:rPr>
          <w:rFonts w:ascii="Bookman Old Style" w:hAnsi="Bookman Old Style"/>
          <w:b/>
          <w:sz w:val="28"/>
          <w:szCs w:val="28"/>
        </w:rPr>
        <w:tab/>
        <w:t>LAW ASSOCIATION OF ZAMBIA</w:t>
      </w:r>
      <w:r>
        <w:rPr>
          <w:rFonts w:ascii="Bookman Old Style" w:hAnsi="Bookman Old Style"/>
          <w:b/>
          <w:sz w:val="28"/>
          <w:szCs w:val="28"/>
        </w:rPr>
        <w:tab/>
      </w:r>
      <w:r>
        <w:rPr>
          <w:rFonts w:ascii="Bookman Old Style" w:hAnsi="Bookman Old Style"/>
          <w:b/>
          <w:sz w:val="28"/>
          <w:szCs w:val="28"/>
        </w:rPr>
        <w:tab/>
        <w:t xml:space="preserve">RESPONDENT </w:t>
      </w:r>
    </w:p>
    <w:p w:rsidR="0015420B" w:rsidRPr="002601F5" w:rsidRDefault="0015420B" w:rsidP="0015420B">
      <w:pPr>
        <w:spacing w:after="0" w:line="240" w:lineRule="auto"/>
        <w:rPr>
          <w:rFonts w:ascii="Bookman Old Style" w:hAnsi="Bookman Old Style"/>
          <w:b/>
          <w:sz w:val="28"/>
          <w:szCs w:val="28"/>
          <w:u w:val="single"/>
        </w:rPr>
      </w:pPr>
      <w:r>
        <w:rPr>
          <w:rFonts w:ascii="Bookman Old Style" w:hAnsi="Bookman Old Style"/>
          <w:b/>
          <w:sz w:val="28"/>
          <w:szCs w:val="28"/>
        </w:rPr>
        <w:tab/>
        <w:t xml:space="preserve">                         </w:t>
      </w:r>
    </w:p>
    <w:p w:rsidR="0015420B" w:rsidRDefault="0015420B" w:rsidP="0015420B">
      <w:pPr>
        <w:spacing w:after="0" w:line="240" w:lineRule="auto"/>
        <w:ind w:left="720" w:firstLine="720"/>
        <w:rPr>
          <w:rFonts w:ascii="Bookman Old Style" w:hAnsi="Bookman Old Style"/>
          <w:b/>
          <w:sz w:val="28"/>
          <w:szCs w:val="28"/>
          <w:u w:val="single"/>
        </w:rPr>
      </w:pPr>
    </w:p>
    <w:p w:rsidR="0015420B" w:rsidRDefault="0015420B" w:rsidP="0015420B">
      <w:pPr>
        <w:spacing w:after="0" w:line="240" w:lineRule="auto"/>
        <w:rPr>
          <w:rFonts w:ascii="Bookman Old Style" w:hAnsi="Bookman Old Style"/>
          <w:i/>
          <w:sz w:val="20"/>
          <w:szCs w:val="20"/>
        </w:rPr>
      </w:pPr>
      <w:r w:rsidRPr="00676A5D">
        <w:rPr>
          <w:rFonts w:ascii="Bookman Old Style" w:hAnsi="Bookman Old Style"/>
          <w:i/>
          <w:sz w:val="20"/>
          <w:szCs w:val="20"/>
        </w:rPr>
        <w:t xml:space="preserve">Before the Hon. </w:t>
      </w:r>
      <w:r>
        <w:rPr>
          <w:rFonts w:ascii="Bookman Old Style" w:hAnsi="Bookman Old Style"/>
          <w:i/>
          <w:sz w:val="20"/>
          <w:szCs w:val="20"/>
        </w:rPr>
        <w:t>Mr. Justice Dr. P. Matibini, SC, t</w:t>
      </w:r>
      <w:r w:rsidRPr="00676A5D">
        <w:rPr>
          <w:rFonts w:ascii="Bookman Old Style" w:hAnsi="Bookman Old Style"/>
          <w:i/>
          <w:sz w:val="20"/>
          <w:szCs w:val="20"/>
        </w:rPr>
        <w:t>his</w:t>
      </w:r>
      <w:r w:rsidR="0002759B">
        <w:rPr>
          <w:rFonts w:ascii="Bookman Old Style" w:hAnsi="Bookman Old Style"/>
          <w:i/>
          <w:sz w:val="20"/>
          <w:szCs w:val="20"/>
        </w:rPr>
        <w:t xml:space="preserve"> 12</w:t>
      </w:r>
      <w:r w:rsidR="0002759B" w:rsidRPr="0002759B">
        <w:rPr>
          <w:rFonts w:ascii="Bookman Old Style" w:hAnsi="Bookman Old Style"/>
          <w:i/>
          <w:sz w:val="20"/>
          <w:szCs w:val="20"/>
          <w:vertAlign w:val="superscript"/>
        </w:rPr>
        <w:t>th</w:t>
      </w:r>
      <w:r w:rsidR="0002759B">
        <w:rPr>
          <w:rFonts w:ascii="Bookman Old Style" w:hAnsi="Bookman Old Style"/>
          <w:i/>
          <w:sz w:val="20"/>
          <w:szCs w:val="20"/>
        </w:rPr>
        <w:t xml:space="preserve"> day of May</w:t>
      </w:r>
      <w:r>
        <w:rPr>
          <w:rFonts w:ascii="Bookman Old Style" w:hAnsi="Bookman Old Style"/>
          <w:i/>
          <w:sz w:val="20"/>
          <w:szCs w:val="20"/>
        </w:rPr>
        <w:t>, 2011</w:t>
      </w:r>
      <w:r w:rsidRPr="00676A5D">
        <w:rPr>
          <w:rFonts w:ascii="Bookman Old Style" w:hAnsi="Bookman Old Style"/>
          <w:i/>
          <w:sz w:val="20"/>
          <w:szCs w:val="20"/>
        </w:rPr>
        <w:t>.</w:t>
      </w:r>
    </w:p>
    <w:p w:rsidR="0015420B" w:rsidRDefault="0015420B" w:rsidP="0015420B">
      <w:pPr>
        <w:spacing w:after="0" w:line="240" w:lineRule="auto"/>
        <w:rPr>
          <w:rFonts w:ascii="Bookman Old Style" w:hAnsi="Bookman Old Style"/>
          <w:i/>
          <w:sz w:val="20"/>
          <w:szCs w:val="20"/>
        </w:rPr>
      </w:pPr>
    </w:p>
    <w:p w:rsidR="0015420B" w:rsidRPr="00676A5D" w:rsidRDefault="0015420B" w:rsidP="0015420B">
      <w:pPr>
        <w:spacing w:after="0" w:line="240" w:lineRule="auto"/>
        <w:rPr>
          <w:rFonts w:ascii="Bookman Old Style" w:hAnsi="Bookman Old Style"/>
          <w:i/>
          <w:sz w:val="20"/>
          <w:szCs w:val="20"/>
        </w:rPr>
      </w:pPr>
      <w:r w:rsidRPr="00676A5D">
        <w:rPr>
          <w:rFonts w:ascii="Bookman Old Style" w:hAnsi="Bookman Old Style"/>
          <w:i/>
          <w:sz w:val="20"/>
          <w:szCs w:val="20"/>
        </w:rPr>
        <w:t xml:space="preserve"> </w:t>
      </w:r>
    </w:p>
    <w:p w:rsidR="0015420B" w:rsidRPr="00676A5D" w:rsidRDefault="0015420B" w:rsidP="0015420B">
      <w:pPr>
        <w:spacing w:after="0" w:line="240" w:lineRule="auto"/>
        <w:rPr>
          <w:rFonts w:ascii="Bookman Old Style" w:hAnsi="Bookman Old Style"/>
          <w:i/>
          <w:sz w:val="20"/>
          <w:szCs w:val="20"/>
        </w:rPr>
      </w:pPr>
      <w:r>
        <w:rPr>
          <w:rFonts w:ascii="Bookman Old Style" w:hAnsi="Bookman Old Style"/>
          <w:i/>
          <w:sz w:val="20"/>
          <w:szCs w:val="20"/>
        </w:rPr>
        <w:t>For the Petitioner:</w:t>
      </w:r>
      <w:r>
        <w:rPr>
          <w:rFonts w:ascii="Bookman Old Style" w:hAnsi="Bookman Old Style"/>
          <w:i/>
          <w:sz w:val="20"/>
          <w:szCs w:val="20"/>
        </w:rPr>
        <w:tab/>
        <w:t xml:space="preserve">In person   </w:t>
      </w:r>
    </w:p>
    <w:p w:rsidR="0015420B" w:rsidRDefault="0015420B" w:rsidP="0015420B">
      <w:pPr>
        <w:spacing w:after="0" w:line="240" w:lineRule="auto"/>
        <w:rPr>
          <w:rFonts w:ascii="Bookman Old Style" w:hAnsi="Bookman Old Style"/>
          <w:i/>
          <w:sz w:val="20"/>
          <w:szCs w:val="20"/>
        </w:rPr>
      </w:pPr>
    </w:p>
    <w:p w:rsidR="0015420B" w:rsidRDefault="0015420B" w:rsidP="0015420B">
      <w:pPr>
        <w:spacing w:after="0" w:line="240" w:lineRule="auto"/>
        <w:rPr>
          <w:rFonts w:ascii="Bookman Old Style" w:hAnsi="Bookman Old Style"/>
          <w:i/>
          <w:sz w:val="20"/>
          <w:szCs w:val="20"/>
        </w:rPr>
      </w:pPr>
      <w:r>
        <w:rPr>
          <w:rFonts w:ascii="Bookman Old Style" w:hAnsi="Bookman Old Style"/>
          <w:i/>
          <w:sz w:val="20"/>
          <w:szCs w:val="20"/>
        </w:rPr>
        <w:t>For the Respondent:</w:t>
      </w:r>
      <w:r>
        <w:rPr>
          <w:rFonts w:ascii="Bookman Old Style" w:hAnsi="Bookman Old Style"/>
          <w:i/>
          <w:sz w:val="20"/>
          <w:szCs w:val="20"/>
        </w:rPr>
        <w:tab/>
      </w:r>
      <w:r w:rsidR="00533C83">
        <w:rPr>
          <w:rFonts w:ascii="Bookman Old Style" w:hAnsi="Bookman Old Style"/>
          <w:i/>
          <w:sz w:val="20"/>
          <w:szCs w:val="20"/>
        </w:rPr>
        <w:t>Mr. R. Simeza with Mr. K. Che</w:t>
      </w:r>
      <w:r>
        <w:rPr>
          <w:rFonts w:ascii="Bookman Old Style" w:hAnsi="Bookman Old Style"/>
          <w:i/>
          <w:sz w:val="20"/>
          <w:szCs w:val="20"/>
        </w:rPr>
        <w:t xml:space="preserve">nda of Messrs Simeza Sangwa and </w:t>
      </w:r>
      <w:r>
        <w:rPr>
          <w:rFonts w:ascii="Bookman Old Style" w:hAnsi="Bookman Old Style"/>
          <w:i/>
          <w:sz w:val="20"/>
          <w:szCs w:val="20"/>
        </w:rPr>
        <w:tab/>
      </w:r>
      <w:r>
        <w:rPr>
          <w:rFonts w:ascii="Bookman Old Style" w:hAnsi="Bookman Old Style"/>
          <w:i/>
          <w:sz w:val="20"/>
          <w:szCs w:val="20"/>
        </w:rPr>
        <w:tab/>
      </w:r>
      <w:r>
        <w:rPr>
          <w:rFonts w:ascii="Bookman Old Style" w:hAnsi="Bookman Old Style"/>
          <w:i/>
          <w:sz w:val="20"/>
          <w:szCs w:val="20"/>
        </w:rPr>
        <w:tab/>
      </w:r>
      <w:r>
        <w:rPr>
          <w:rFonts w:ascii="Bookman Old Style" w:hAnsi="Bookman Old Style"/>
          <w:i/>
          <w:sz w:val="20"/>
          <w:szCs w:val="20"/>
        </w:rPr>
        <w:tab/>
      </w:r>
      <w:r>
        <w:rPr>
          <w:rFonts w:ascii="Bookman Old Style" w:hAnsi="Bookman Old Style"/>
          <w:i/>
          <w:sz w:val="20"/>
          <w:szCs w:val="20"/>
        </w:rPr>
        <w:tab/>
        <w:t>Associates</w:t>
      </w:r>
      <w:r w:rsidR="00533C83">
        <w:rPr>
          <w:rFonts w:ascii="Bookman Old Style" w:hAnsi="Bookman Old Style"/>
          <w:i/>
          <w:sz w:val="20"/>
          <w:szCs w:val="20"/>
        </w:rPr>
        <w:t>.</w:t>
      </w:r>
      <w:r>
        <w:rPr>
          <w:rFonts w:ascii="Bookman Old Style" w:hAnsi="Bookman Old Style"/>
          <w:i/>
          <w:sz w:val="20"/>
          <w:szCs w:val="20"/>
        </w:rPr>
        <w:t xml:space="preserve"> </w:t>
      </w:r>
    </w:p>
    <w:p w:rsidR="0015420B" w:rsidRPr="00676A5D" w:rsidRDefault="0015420B" w:rsidP="0015420B">
      <w:pPr>
        <w:spacing w:after="0" w:line="240" w:lineRule="auto"/>
        <w:rPr>
          <w:rFonts w:ascii="Bookman Old Style" w:hAnsi="Bookman Old Style"/>
          <w:i/>
          <w:sz w:val="20"/>
          <w:szCs w:val="20"/>
        </w:rPr>
      </w:pPr>
    </w:p>
    <w:p w:rsidR="0015420B" w:rsidRDefault="0015420B" w:rsidP="0015420B">
      <w:pPr>
        <w:pBdr>
          <w:bottom w:val="single" w:sz="12" w:space="1" w:color="auto"/>
        </w:pBdr>
        <w:spacing w:after="0" w:line="240" w:lineRule="auto"/>
      </w:pPr>
    </w:p>
    <w:p w:rsidR="0015420B" w:rsidRDefault="0015420B" w:rsidP="0015420B">
      <w:pPr>
        <w:spacing w:after="0" w:line="240" w:lineRule="auto"/>
        <w:rPr>
          <w:rFonts w:ascii="Bookman Old Style" w:hAnsi="Bookman Old Style"/>
          <w:sz w:val="28"/>
          <w:szCs w:val="28"/>
        </w:rPr>
      </w:pPr>
    </w:p>
    <w:p w:rsidR="0015420B" w:rsidRPr="009E3905" w:rsidRDefault="0015420B" w:rsidP="0015420B">
      <w:pPr>
        <w:pBdr>
          <w:bottom w:val="single" w:sz="12" w:space="1" w:color="auto"/>
        </w:pBdr>
        <w:spacing w:after="0" w:line="240" w:lineRule="auto"/>
        <w:jc w:val="center"/>
        <w:rPr>
          <w:rFonts w:ascii="Bookman Old Style" w:hAnsi="Bookman Old Style"/>
          <w:b/>
          <w:sz w:val="36"/>
          <w:szCs w:val="36"/>
        </w:rPr>
      </w:pPr>
      <w:r>
        <w:rPr>
          <w:rFonts w:ascii="Bookman Old Style" w:hAnsi="Bookman Old Style"/>
          <w:b/>
          <w:sz w:val="36"/>
          <w:szCs w:val="36"/>
        </w:rPr>
        <w:t xml:space="preserve">RULING     </w:t>
      </w:r>
    </w:p>
    <w:p w:rsidR="0015420B" w:rsidRPr="00166138" w:rsidRDefault="0015420B" w:rsidP="0015420B">
      <w:pPr>
        <w:spacing w:after="0" w:line="360" w:lineRule="auto"/>
        <w:jc w:val="both"/>
        <w:rPr>
          <w:rFonts w:ascii="Bookman Old Style" w:hAnsi="Bookman Old Style"/>
          <w:i/>
          <w:sz w:val="24"/>
          <w:szCs w:val="24"/>
        </w:rPr>
      </w:pPr>
    </w:p>
    <w:p w:rsidR="0015420B" w:rsidRDefault="0015420B" w:rsidP="0015420B">
      <w:pPr>
        <w:spacing w:line="360" w:lineRule="auto"/>
        <w:jc w:val="both"/>
        <w:rPr>
          <w:rFonts w:ascii="Bookman Old Style" w:hAnsi="Bookman Old Style"/>
          <w:b/>
          <w:i/>
        </w:rPr>
      </w:pPr>
      <w:r w:rsidRPr="00377408">
        <w:rPr>
          <w:rFonts w:ascii="Bookman Old Style" w:hAnsi="Bookman Old Style"/>
          <w:b/>
          <w:i/>
        </w:rPr>
        <w:t>Cases referred to:</w:t>
      </w:r>
    </w:p>
    <w:p w:rsidR="0015420B" w:rsidRDefault="003C4C3A" w:rsidP="0015420B">
      <w:pPr>
        <w:pStyle w:val="ListParagraph"/>
        <w:numPr>
          <w:ilvl w:val="0"/>
          <w:numId w:val="1"/>
        </w:numPr>
        <w:spacing w:line="360" w:lineRule="auto"/>
        <w:jc w:val="both"/>
        <w:rPr>
          <w:rFonts w:ascii="Bookman Old Style" w:hAnsi="Bookman Old Style"/>
          <w:i/>
        </w:rPr>
      </w:pPr>
      <w:r>
        <w:rPr>
          <w:rFonts w:ascii="Bookman Old Style" w:hAnsi="Bookman Old Style"/>
          <w:i/>
        </w:rPr>
        <w:t xml:space="preserve">Jones v National Coal Board </w:t>
      </w:r>
      <w:r w:rsidR="007B048D">
        <w:rPr>
          <w:rFonts w:ascii="Bookman Old Style" w:hAnsi="Bookman Old Style"/>
          <w:i/>
        </w:rPr>
        <w:t>[</w:t>
      </w:r>
      <w:r>
        <w:rPr>
          <w:rFonts w:ascii="Bookman Old Style" w:hAnsi="Bookman Old Style"/>
          <w:i/>
        </w:rPr>
        <w:t>1957</w:t>
      </w:r>
      <w:r w:rsidR="007B048D">
        <w:rPr>
          <w:rFonts w:ascii="Bookman Old Style" w:hAnsi="Bookman Old Style"/>
          <w:i/>
        </w:rPr>
        <w:t>]</w:t>
      </w:r>
      <w:r>
        <w:rPr>
          <w:rFonts w:ascii="Bookman Old Style" w:hAnsi="Bookman Old Style"/>
          <w:i/>
        </w:rPr>
        <w:t xml:space="preserve"> 2 ALL</w:t>
      </w:r>
      <w:r w:rsidR="00C53A8B">
        <w:rPr>
          <w:rFonts w:ascii="Bookman Old Style" w:hAnsi="Bookman Old Style"/>
          <w:i/>
        </w:rPr>
        <w:t xml:space="preserve"> </w:t>
      </w:r>
      <w:r>
        <w:rPr>
          <w:rFonts w:ascii="Bookman Old Style" w:hAnsi="Bookman Old Style"/>
          <w:i/>
        </w:rPr>
        <w:t>E</w:t>
      </w:r>
      <w:r w:rsidR="00C53A8B">
        <w:rPr>
          <w:rFonts w:ascii="Bookman Old Style" w:hAnsi="Bookman Old Style"/>
          <w:i/>
        </w:rPr>
        <w:t>.</w:t>
      </w:r>
      <w:r>
        <w:rPr>
          <w:rFonts w:ascii="Bookman Old Style" w:hAnsi="Bookman Old Style"/>
          <w:i/>
        </w:rPr>
        <w:t>R</w:t>
      </w:r>
      <w:r w:rsidR="00C53A8B">
        <w:rPr>
          <w:rFonts w:ascii="Bookman Old Style" w:hAnsi="Bookman Old Style"/>
          <w:i/>
        </w:rPr>
        <w:t>.</w:t>
      </w:r>
      <w:r>
        <w:rPr>
          <w:rFonts w:ascii="Bookman Old Style" w:hAnsi="Bookman Old Style"/>
          <w:i/>
        </w:rPr>
        <w:t xml:space="preserve"> 155.</w:t>
      </w:r>
    </w:p>
    <w:p w:rsidR="007B048D" w:rsidRPr="007B048D" w:rsidRDefault="007B048D" w:rsidP="007B048D">
      <w:pPr>
        <w:pStyle w:val="ListParagraph"/>
        <w:numPr>
          <w:ilvl w:val="0"/>
          <w:numId w:val="1"/>
        </w:numPr>
        <w:spacing w:line="360" w:lineRule="auto"/>
        <w:jc w:val="both"/>
        <w:rPr>
          <w:rFonts w:ascii="Bookman Old Style" w:hAnsi="Bookman Old Style"/>
          <w:i/>
        </w:rPr>
      </w:pPr>
      <w:r>
        <w:rPr>
          <w:rFonts w:ascii="Bookman Old Style" w:hAnsi="Bookman Old Style"/>
          <w:i/>
        </w:rPr>
        <w:lastRenderedPageBreak/>
        <w:t>Zinka v Attorney General (1990-1992) Z.R. 73.</w:t>
      </w:r>
    </w:p>
    <w:p w:rsidR="003C4C3A" w:rsidRDefault="003C4C3A" w:rsidP="0015420B">
      <w:pPr>
        <w:pStyle w:val="ListParagraph"/>
        <w:numPr>
          <w:ilvl w:val="0"/>
          <w:numId w:val="1"/>
        </w:numPr>
        <w:spacing w:line="360" w:lineRule="auto"/>
        <w:jc w:val="both"/>
        <w:rPr>
          <w:rFonts w:ascii="Bookman Old Style" w:hAnsi="Bookman Old Style"/>
          <w:i/>
        </w:rPr>
      </w:pPr>
      <w:r>
        <w:rPr>
          <w:rFonts w:ascii="Bookman Old Style" w:hAnsi="Bookman Old Style"/>
          <w:i/>
        </w:rPr>
        <w:t xml:space="preserve">Zulu v Zambia Electricity Supply Corporation Limited </w:t>
      </w:r>
      <w:r w:rsidR="007B048D">
        <w:rPr>
          <w:rFonts w:ascii="Bookman Old Style" w:hAnsi="Bookman Old Style"/>
          <w:i/>
        </w:rPr>
        <w:t xml:space="preserve">(ZESCO), </w:t>
      </w:r>
      <w:r w:rsidR="00533C83">
        <w:rPr>
          <w:rFonts w:ascii="Bookman Old Style" w:hAnsi="Bookman Old Style"/>
          <w:i/>
        </w:rPr>
        <w:t>(2005) Z.R. 39</w:t>
      </w:r>
      <w:r>
        <w:rPr>
          <w:rFonts w:ascii="Bookman Old Style" w:hAnsi="Bookman Old Style"/>
          <w:i/>
        </w:rPr>
        <w:t>.</w:t>
      </w:r>
    </w:p>
    <w:p w:rsidR="003C4C3A" w:rsidRDefault="003C4C3A" w:rsidP="0015420B">
      <w:pPr>
        <w:pStyle w:val="ListParagraph"/>
        <w:numPr>
          <w:ilvl w:val="0"/>
          <w:numId w:val="1"/>
        </w:numPr>
        <w:spacing w:line="360" w:lineRule="auto"/>
        <w:jc w:val="both"/>
        <w:rPr>
          <w:rFonts w:ascii="Bookman Old Style" w:hAnsi="Bookman Old Style"/>
          <w:i/>
        </w:rPr>
      </w:pPr>
      <w:r>
        <w:rPr>
          <w:rFonts w:ascii="Bookman Old Style" w:hAnsi="Bookman Old Style"/>
          <w:i/>
        </w:rPr>
        <w:t>Mulane v Central Hanover Bank and Trust Company 339 US 306, 314, 705, ct, 652, 657 (1950).</w:t>
      </w:r>
    </w:p>
    <w:p w:rsidR="00C53A8B" w:rsidRPr="00C53A8B" w:rsidRDefault="00C53A8B" w:rsidP="00C53A8B">
      <w:pPr>
        <w:spacing w:line="360" w:lineRule="auto"/>
        <w:jc w:val="both"/>
        <w:rPr>
          <w:rFonts w:ascii="Bookman Old Style" w:hAnsi="Bookman Old Style"/>
          <w:b/>
          <w:i/>
        </w:rPr>
      </w:pPr>
      <w:r w:rsidRPr="00C53A8B">
        <w:rPr>
          <w:rFonts w:ascii="Bookman Old Style" w:hAnsi="Bookman Old Style"/>
          <w:b/>
          <w:i/>
        </w:rPr>
        <w:t>Legislation referred to:</w:t>
      </w:r>
    </w:p>
    <w:p w:rsidR="00C53A8B" w:rsidRDefault="007B048D" w:rsidP="00C53A8B">
      <w:pPr>
        <w:pStyle w:val="ListParagraph"/>
        <w:numPr>
          <w:ilvl w:val="0"/>
          <w:numId w:val="2"/>
        </w:numPr>
        <w:spacing w:line="360" w:lineRule="auto"/>
        <w:jc w:val="both"/>
        <w:rPr>
          <w:rFonts w:ascii="Bookman Old Style" w:hAnsi="Bookman Old Style"/>
          <w:i/>
        </w:rPr>
      </w:pPr>
      <w:r>
        <w:rPr>
          <w:rFonts w:ascii="Bookman Old Style" w:hAnsi="Bookman Old Style"/>
          <w:i/>
        </w:rPr>
        <w:t>Constitution of Zambia,</w:t>
      </w:r>
      <w:r w:rsidR="006E356C">
        <w:rPr>
          <w:rFonts w:ascii="Bookman Old Style" w:hAnsi="Bookman Old Style"/>
          <w:i/>
        </w:rPr>
        <w:t xml:space="preserve"> Cap 1,</w:t>
      </w:r>
      <w:r>
        <w:rPr>
          <w:rFonts w:ascii="Bookman Old Style" w:hAnsi="Bookman Old Style"/>
          <w:i/>
        </w:rPr>
        <w:t xml:space="preserve"> </w:t>
      </w:r>
      <w:r w:rsidR="00C53A8B">
        <w:rPr>
          <w:rFonts w:ascii="Bookman Old Style" w:hAnsi="Bookman Old Style"/>
          <w:i/>
        </w:rPr>
        <w:t>Articles 11 (a) and (b), 18 (2) (e), 19 (2) and 23 (2).</w:t>
      </w:r>
    </w:p>
    <w:p w:rsidR="00C53A8B" w:rsidRDefault="00C53A8B" w:rsidP="00C53A8B">
      <w:pPr>
        <w:pStyle w:val="ListParagraph"/>
        <w:numPr>
          <w:ilvl w:val="0"/>
          <w:numId w:val="2"/>
        </w:numPr>
        <w:spacing w:line="360" w:lineRule="auto"/>
        <w:jc w:val="both"/>
        <w:rPr>
          <w:rFonts w:ascii="Bookman Old Style" w:hAnsi="Bookman Old Style"/>
          <w:i/>
        </w:rPr>
      </w:pPr>
      <w:r>
        <w:rPr>
          <w:rFonts w:ascii="Bookman Old Style" w:hAnsi="Bookman Old Style"/>
          <w:i/>
        </w:rPr>
        <w:t>Protection of Fundamental Rights Rules Statutory Instrument Number 156 of 1969.</w:t>
      </w:r>
    </w:p>
    <w:p w:rsidR="00C53A8B" w:rsidRDefault="00C53A8B" w:rsidP="00C53A8B">
      <w:pPr>
        <w:pStyle w:val="ListParagraph"/>
        <w:numPr>
          <w:ilvl w:val="0"/>
          <w:numId w:val="2"/>
        </w:numPr>
        <w:spacing w:line="360" w:lineRule="auto"/>
        <w:jc w:val="both"/>
        <w:rPr>
          <w:rFonts w:ascii="Bookman Old Style" w:hAnsi="Bookman Old Style"/>
          <w:i/>
        </w:rPr>
      </w:pPr>
      <w:r>
        <w:rPr>
          <w:rFonts w:ascii="Bookman Old Style" w:hAnsi="Bookman Old Style"/>
          <w:i/>
        </w:rPr>
        <w:t>Law Association of Zambia Act</w:t>
      </w:r>
      <w:r w:rsidR="007B048D">
        <w:rPr>
          <w:rFonts w:ascii="Bookman Old Style" w:hAnsi="Bookman Old Style"/>
          <w:i/>
        </w:rPr>
        <w:t>,</w:t>
      </w:r>
      <w:r>
        <w:rPr>
          <w:rFonts w:ascii="Bookman Old Style" w:hAnsi="Bookman Old Style"/>
          <w:i/>
        </w:rPr>
        <w:t xml:space="preserve"> Cap 31</w:t>
      </w:r>
      <w:r w:rsidR="007B048D">
        <w:rPr>
          <w:rFonts w:ascii="Bookman Old Style" w:hAnsi="Bookman Old Style"/>
          <w:i/>
        </w:rPr>
        <w:t>,</w:t>
      </w:r>
      <w:r w:rsidR="006E356C">
        <w:rPr>
          <w:rFonts w:ascii="Bookman Old Style" w:hAnsi="Bookman Old Style"/>
          <w:i/>
        </w:rPr>
        <w:t xml:space="preserve"> s</w:t>
      </w:r>
      <w:r>
        <w:rPr>
          <w:rFonts w:ascii="Bookman Old Style" w:hAnsi="Bookman Old Style"/>
          <w:i/>
        </w:rPr>
        <w:t>.4 (1),</w:t>
      </w:r>
      <w:r w:rsidR="007B048D">
        <w:rPr>
          <w:rFonts w:ascii="Bookman Old Style" w:hAnsi="Bookman Old Style"/>
          <w:i/>
        </w:rPr>
        <w:t xml:space="preserve"> and</w:t>
      </w:r>
      <w:r w:rsidR="006E356C">
        <w:rPr>
          <w:rFonts w:ascii="Bookman Old Style" w:hAnsi="Bookman Old Style"/>
          <w:i/>
        </w:rPr>
        <w:t xml:space="preserve"> R</w:t>
      </w:r>
      <w:r>
        <w:rPr>
          <w:rFonts w:ascii="Bookman Old Style" w:hAnsi="Bookman Old Style"/>
          <w:i/>
        </w:rPr>
        <w:t>ule 27.</w:t>
      </w:r>
    </w:p>
    <w:p w:rsidR="00C53A8B" w:rsidRDefault="00C53A8B" w:rsidP="00C53A8B">
      <w:pPr>
        <w:pStyle w:val="ListParagraph"/>
        <w:numPr>
          <w:ilvl w:val="0"/>
          <w:numId w:val="2"/>
        </w:numPr>
        <w:spacing w:line="360" w:lineRule="auto"/>
        <w:jc w:val="both"/>
        <w:rPr>
          <w:rFonts w:ascii="Bookman Old Style" w:hAnsi="Bookman Old Style"/>
          <w:i/>
        </w:rPr>
      </w:pPr>
      <w:r>
        <w:rPr>
          <w:rFonts w:ascii="Bookman Old Style" w:hAnsi="Bookman Old Style"/>
          <w:i/>
        </w:rPr>
        <w:t>High Court Act</w:t>
      </w:r>
      <w:r w:rsidR="007B048D">
        <w:rPr>
          <w:rFonts w:ascii="Bookman Old Style" w:hAnsi="Bookman Old Style"/>
          <w:i/>
        </w:rPr>
        <w:t>,</w:t>
      </w:r>
      <w:r>
        <w:rPr>
          <w:rFonts w:ascii="Bookman Old Style" w:hAnsi="Bookman Old Style"/>
          <w:i/>
        </w:rPr>
        <w:t xml:space="preserve"> Cap 27</w:t>
      </w:r>
      <w:r w:rsidR="007B048D">
        <w:rPr>
          <w:rFonts w:ascii="Bookman Old Style" w:hAnsi="Bookman Old Style"/>
          <w:i/>
        </w:rPr>
        <w:t>, Order V</w:t>
      </w:r>
      <w:r w:rsidR="00533C83">
        <w:rPr>
          <w:rFonts w:ascii="Bookman Old Style" w:hAnsi="Bookman Old Style"/>
          <w:i/>
        </w:rPr>
        <w:t>,</w:t>
      </w:r>
      <w:r>
        <w:rPr>
          <w:rFonts w:ascii="Bookman Old Style" w:hAnsi="Bookman Old Style"/>
          <w:i/>
        </w:rPr>
        <w:t xml:space="preserve"> Rule 24. </w:t>
      </w:r>
    </w:p>
    <w:p w:rsidR="00C53A8B" w:rsidRDefault="00C53A8B" w:rsidP="00C53A8B">
      <w:pPr>
        <w:spacing w:line="360" w:lineRule="auto"/>
        <w:jc w:val="both"/>
        <w:rPr>
          <w:rFonts w:ascii="Bookman Old Style" w:hAnsi="Bookman Old Style"/>
          <w:i/>
        </w:rPr>
      </w:pPr>
      <w:r w:rsidRPr="00C53A8B">
        <w:rPr>
          <w:rFonts w:ascii="Bookman Old Style" w:hAnsi="Bookman Old Style"/>
          <w:b/>
          <w:i/>
        </w:rPr>
        <w:t>Works referred to</w:t>
      </w:r>
      <w:r>
        <w:rPr>
          <w:rFonts w:ascii="Bookman Old Style" w:hAnsi="Bookman Old Style"/>
          <w:i/>
        </w:rPr>
        <w:t>:</w:t>
      </w:r>
    </w:p>
    <w:p w:rsidR="00C53A8B" w:rsidRDefault="007B048D" w:rsidP="00C53A8B">
      <w:pPr>
        <w:pStyle w:val="ListParagraph"/>
        <w:numPr>
          <w:ilvl w:val="0"/>
          <w:numId w:val="3"/>
        </w:numPr>
        <w:spacing w:line="360" w:lineRule="auto"/>
        <w:jc w:val="both"/>
        <w:rPr>
          <w:rFonts w:ascii="Bookman Old Style" w:hAnsi="Bookman Old Style"/>
          <w:i/>
        </w:rPr>
      </w:pPr>
      <w:r>
        <w:rPr>
          <w:rFonts w:ascii="Bookman Old Style" w:hAnsi="Bookman Old Style"/>
          <w:i/>
        </w:rPr>
        <w:t>Br</w:t>
      </w:r>
      <w:r w:rsidR="00C53A8B">
        <w:rPr>
          <w:rFonts w:ascii="Bookman Old Style" w:hAnsi="Bookman Old Style"/>
          <w:i/>
        </w:rPr>
        <w:t>yan A Gardner, Ed</w:t>
      </w:r>
      <w:r>
        <w:rPr>
          <w:rFonts w:ascii="Bookman Old Style" w:hAnsi="Bookman Old Style"/>
          <w:i/>
        </w:rPr>
        <w:t>,</w:t>
      </w:r>
      <w:r w:rsidR="00C53A8B">
        <w:rPr>
          <w:rFonts w:ascii="Bookman Old Style" w:hAnsi="Bookman Old Style"/>
          <w:i/>
        </w:rPr>
        <w:t xml:space="preserve"> </w:t>
      </w:r>
      <w:r w:rsidR="00C53A8B" w:rsidRPr="007B048D">
        <w:rPr>
          <w:rFonts w:ascii="Bookman Old Style" w:hAnsi="Bookman Old Style"/>
          <w:i/>
          <w:u w:val="single"/>
        </w:rPr>
        <w:t>Blacks Law Dictionary</w:t>
      </w:r>
      <w:r>
        <w:rPr>
          <w:rFonts w:ascii="Bookman Old Style" w:hAnsi="Bookman Old Style"/>
          <w:i/>
          <w:u w:val="single"/>
        </w:rPr>
        <w:t>,</w:t>
      </w:r>
      <w:r>
        <w:rPr>
          <w:rFonts w:ascii="Bookman Old Style" w:hAnsi="Bookman Old Style"/>
          <w:i/>
        </w:rPr>
        <w:t xml:space="preserve"> 18</w:t>
      </w:r>
      <w:r w:rsidRPr="007B048D">
        <w:rPr>
          <w:rFonts w:ascii="Bookman Old Style" w:hAnsi="Bookman Old Style"/>
          <w:i/>
          <w:vertAlign w:val="superscript"/>
        </w:rPr>
        <w:t>th</w:t>
      </w:r>
      <w:r w:rsidR="00C53A8B">
        <w:rPr>
          <w:rFonts w:ascii="Bookman Old Style" w:hAnsi="Bookman Old Style"/>
          <w:i/>
        </w:rPr>
        <w:t xml:space="preserve"> Edition</w:t>
      </w:r>
      <w:r>
        <w:rPr>
          <w:rFonts w:ascii="Bookman Old Style" w:hAnsi="Bookman Old Style"/>
          <w:i/>
        </w:rPr>
        <w:t>,</w:t>
      </w:r>
      <w:r w:rsidR="00C53A8B">
        <w:rPr>
          <w:rFonts w:ascii="Bookman Old Style" w:hAnsi="Bookman Old Style"/>
          <w:i/>
        </w:rPr>
        <w:t xml:space="preserve"> (St P</w:t>
      </w:r>
      <w:r>
        <w:rPr>
          <w:rFonts w:ascii="Bookman Old Style" w:hAnsi="Bookman Old Style"/>
          <w:i/>
        </w:rPr>
        <w:t>aul Minnesota: West Publishing C</w:t>
      </w:r>
      <w:r w:rsidR="00C53A8B">
        <w:rPr>
          <w:rFonts w:ascii="Bookman Old Style" w:hAnsi="Bookman Old Style"/>
          <w:i/>
        </w:rPr>
        <w:t>ompany</w:t>
      </w:r>
      <w:r w:rsidR="006E356C">
        <w:rPr>
          <w:rFonts w:ascii="Bookman Old Style" w:hAnsi="Bookman Old Style"/>
          <w:i/>
        </w:rPr>
        <w:t>,</w:t>
      </w:r>
      <w:r w:rsidR="00C53A8B">
        <w:rPr>
          <w:rFonts w:ascii="Bookman Old Style" w:hAnsi="Bookman Old Style"/>
          <w:i/>
        </w:rPr>
        <w:t xml:space="preserve"> 1999).</w:t>
      </w:r>
    </w:p>
    <w:p w:rsidR="001343EA" w:rsidRDefault="007B048D" w:rsidP="00C53A8B">
      <w:pPr>
        <w:pStyle w:val="ListParagraph"/>
        <w:numPr>
          <w:ilvl w:val="0"/>
          <w:numId w:val="3"/>
        </w:numPr>
        <w:spacing w:line="360" w:lineRule="auto"/>
        <w:jc w:val="both"/>
        <w:rPr>
          <w:rFonts w:ascii="Bookman Old Style" w:hAnsi="Bookman Old Style"/>
          <w:i/>
        </w:rPr>
      </w:pPr>
      <w:r>
        <w:rPr>
          <w:rFonts w:ascii="Bookman Old Style" w:hAnsi="Bookman Old Style"/>
          <w:i/>
        </w:rPr>
        <w:t>Muna</w:t>
      </w:r>
      <w:r w:rsidR="00C53A8B">
        <w:rPr>
          <w:rFonts w:ascii="Bookman Old Style" w:hAnsi="Bookman Old Style"/>
          <w:i/>
        </w:rPr>
        <w:t xml:space="preserve"> Ndulo and John Hatchard, </w:t>
      </w:r>
      <w:r w:rsidRPr="007B048D">
        <w:rPr>
          <w:rFonts w:ascii="Bookman Old Style" w:hAnsi="Bookman Old Style"/>
          <w:i/>
          <w:u w:val="single"/>
        </w:rPr>
        <w:t>T</w:t>
      </w:r>
      <w:r w:rsidR="001343EA" w:rsidRPr="007B048D">
        <w:rPr>
          <w:rFonts w:ascii="Bookman Old Style" w:hAnsi="Bookman Old Style"/>
          <w:i/>
          <w:u w:val="single"/>
        </w:rPr>
        <w:t>he</w:t>
      </w:r>
      <w:r w:rsidR="00C53A8B" w:rsidRPr="007B048D">
        <w:rPr>
          <w:rFonts w:ascii="Bookman Old Style" w:hAnsi="Bookman Old Style"/>
          <w:i/>
          <w:u w:val="single"/>
        </w:rPr>
        <w:t xml:space="preserve"> Law of Evidence in Zambia: Cases and Materials</w:t>
      </w:r>
      <w:r w:rsidR="00C53A8B">
        <w:rPr>
          <w:rFonts w:ascii="Bookman Old Style" w:hAnsi="Bookman Old Style"/>
          <w:i/>
        </w:rPr>
        <w:t xml:space="preserve"> (Lusaka: Multimedia Zambia</w:t>
      </w:r>
      <w:r w:rsidR="006E356C">
        <w:rPr>
          <w:rFonts w:ascii="Bookman Old Style" w:hAnsi="Bookman Old Style"/>
          <w:i/>
        </w:rPr>
        <w:t>,</w:t>
      </w:r>
      <w:r w:rsidR="00C53A8B">
        <w:rPr>
          <w:rFonts w:ascii="Bookman Old Style" w:hAnsi="Bookman Old Style"/>
          <w:i/>
        </w:rPr>
        <w:t xml:space="preserve"> 1991).</w:t>
      </w:r>
    </w:p>
    <w:p w:rsidR="001343EA" w:rsidRDefault="001343EA" w:rsidP="001343EA">
      <w:pPr>
        <w:spacing w:line="360" w:lineRule="auto"/>
        <w:jc w:val="both"/>
        <w:rPr>
          <w:rFonts w:ascii="Bookman Old Style" w:hAnsi="Bookman Old Style"/>
          <w:i/>
        </w:rPr>
      </w:pPr>
    </w:p>
    <w:p w:rsidR="001E2E14" w:rsidRDefault="001343EA" w:rsidP="001343EA">
      <w:pPr>
        <w:spacing w:line="360" w:lineRule="auto"/>
        <w:jc w:val="both"/>
        <w:rPr>
          <w:rFonts w:ascii="Bookman Old Style" w:hAnsi="Bookman Old Style"/>
        </w:rPr>
      </w:pPr>
      <w:r w:rsidRPr="001343EA">
        <w:rPr>
          <w:rFonts w:ascii="Bookman Old Style" w:hAnsi="Bookman Old Style"/>
        </w:rPr>
        <w:t>This matter was commenced on 7</w:t>
      </w:r>
      <w:r w:rsidRPr="001343EA">
        <w:rPr>
          <w:rFonts w:ascii="Bookman Old Style" w:hAnsi="Bookman Old Style"/>
          <w:vertAlign w:val="superscript"/>
        </w:rPr>
        <w:t>th</w:t>
      </w:r>
      <w:r w:rsidRPr="001343EA">
        <w:rPr>
          <w:rFonts w:ascii="Bookman Old Style" w:hAnsi="Bookman Old Style"/>
        </w:rPr>
        <w:t xml:space="preserve"> September, 2010, by way of a peti</w:t>
      </w:r>
      <w:r w:rsidR="007B048D">
        <w:rPr>
          <w:rFonts w:ascii="Bookman Old Style" w:hAnsi="Bookman Old Style"/>
        </w:rPr>
        <w:t>tion pursuant to Rule 2 of the P</w:t>
      </w:r>
      <w:r w:rsidRPr="001343EA">
        <w:rPr>
          <w:rFonts w:ascii="Bookman Old Style" w:hAnsi="Bookman Old Style"/>
        </w:rPr>
        <w:t>r</w:t>
      </w:r>
      <w:r w:rsidR="007B048D">
        <w:rPr>
          <w:rFonts w:ascii="Bookman Old Style" w:hAnsi="Bookman Old Style"/>
        </w:rPr>
        <w:t>otection of Fundamental Rights R</w:t>
      </w:r>
      <w:r w:rsidRPr="001343EA">
        <w:rPr>
          <w:rFonts w:ascii="Bookman Old Style" w:hAnsi="Bookman Old Style"/>
        </w:rPr>
        <w:t xml:space="preserve">ules Statutory Instrument </w:t>
      </w:r>
      <w:r w:rsidR="00533C83">
        <w:rPr>
          <w:rFonts w:ascii="Bookman Old Style" w:hAnsi="Bookman Old Style"/>
        </w:rPr>
        <w:t xml:space="preserve">number </w:t>
      </w:r>
      <w:r w:rsidRPr="001343EA">
        <w:rPr>
          <w:rFonts w:ascii="Bookman Old Style" w:hAnsi="Bookman Old Style"/>
        </w:rPr>
        <w:t>156 of 1969</w:t>
      </w:r>
      <w:r>
        <w:rPr>
          <w:rFonts w:ascii="Bookman Old Style" w:hAnsi="Bookman Old Style"/>
          <w:i/>
        </w:rPr>
        <w:t>.</w:t>
      </w:r>
      <w:r w:rsidR="00C53A8B" w:rsidRPr="001343EA">
        <w:rPr>
          <w:rFonts w:ascii="Bookman Old Style" w:hAnsi="Bookman Old Style"/>
          <w:i/>
        </w:rPr>
        <w:t xml:space="preserve"> </w:t>
      </w:r>
      <w:r w:rsidR="001E2E14" w:rsidRPr="001E2E14">
        <w:rPr>
          <w:rFonts w:ascii="Bookman Old Style" w:hAnsi="Bookman Old Style"/>
        </w:rPr>
        <w:t>Th</w:t>
      </w:r>
      <w:r w:rsidR="001E2E14">
        <w:rPr>
          <w:rFonts w:ascii="Bookman Old Style" w:hAnsi="Bookman Old Style"/>
        </w:rPr>
        <w:t>e petitioner averred as follows: the petitioner is an advocate of the Hi</w:t>
      </w:r>
      <w:r w:rsidR="007B048D">
        <w:rPr>
          <w:rFonts w:ascii="Bookman Old Style" w:hAnsi="Bookman Old Style"/>
        </w:rPr>
        <w:t>gh Court of Zambia, and a membe</w:t>
      </w:r>
      <w:r w:rsidR="001E2E14">
        <w:rPr>
          <w:rFonts w:ascii="Bookman Old Style" w:hAnsi="Bookman Old Style"/>
        </w:rPr>
        <w:t xml:space="preserve">r of the Law Association of Zambia. The respondent is a </w:t>
      </w:r>
      <w:r w:rsidR="006E356C">
        <w:rPr>
          <w:rFonts w:ascii="Bookman Old Style" w:hAnsi="Bookman Old Style"/>
        </w:rPr>
        <w:t xml:space="preserve">Law Association </w:t>
      </w:r>
      <w:r w:rsidR="007B048D">
        <w:rPr>
          <w:rFonts w:ascii="Bookman Old Style" w:hAnsi="Bookman Old Style"/>
        </w:rPr>
        <w:t>constituted by an Act of P</w:t>
      </w:r>
      <w:r w:rsidR="00533C83">
        <w:rPr>
          <w:rFonts w:ascii="Bookman Old Style" w:hAnsi="Bookman Old Style"/>
        </w:rPr>
        <w:t>arliament to advance</w:t>
      </w:r>
      <w:r w:rsidR="001E2E14">
        <w:rPr>
          <w:rFonts w:ascii="Bookman Old Style" w:hAnsi="Bookman Old Style"/>
        </w:rPr>
        <w:t xml:space="preserve"> the professional interests of advocates in Zambia. </w:t>
      </w:r>
      <w:r w:rsidR="007B048D">
        <w:rPr>
          <w:rFonts w:ascii="Bookman Old Style" w:hAnsi="Bookman Old Style"/>
        </w:rPr>
        <w:t xml:space="preserve"> </w:t>
      </w:r>
      <w:r w:rsidR="001E2E14">
        <w:rPr>
          <w:rFonts w:ascii="Bookman Old Style" w:hAnsi="Bookman Old Style"/>
        </w:rPr>
        <w:t>Among the respondent’s s</w:t>
      </w:r>
      <w:r w:rsidR="006E356C">
        <w:rPr>
          <w:rFonts w:ascii="Bookman Old Style" w:hAnsi="Bookman Old Style"/>
        </w:rPr>
        <w:t>tatutory objects are</w:t>
      </w:r>
      <w:r w:rsidR="007B048D">
        <w:rPr>
          <w:rFonts w:ascii="Bookman Old Style" w:hAnsi="Bookman Old Style"/>
        </w:rPr>
        <w:t>, in terms of section 4 (1) of the Law</w:t>
      </w:r>
      <w:r w:rsidR="001E2E14">
        <w:rPr>
          <w:rFonts w:ascii="Bookman Old Style" w:hAnsi="Bookman Old Style"/>
        </w:rPr>
        <w:t xml:space="preserve"> Association of Zambia</w:t>
      </w:r>
      <w:r w:rsidR="007B048D">
        <w:rPr>
          <w:rFonts w:ascii="Bookman Old Style" w:hAnsi="Bookman Old Style"/>
        </w:rPr>
        <w:t xml:space="preserve"> Act</w:t>
      </w:r>
      <w:r w:rsidR="00533C83">
        <w:rPr>
          <w:rFonts w:ascii="Bookman Old Style" w:hAnsi="Bookman Old Style"/>
        </w:rPr>
        <w:t>,</w:t>
      </w:r>
      <w:r w:rsidR="007B048D">
        <w:rPr>
          <w:rFonts w:ascii="Bookman Old Style" w:hAnsi="Bookman Old Style"/>
        </w:rPr>
        <w:t xml:space="preserve"> the </w:t>
      </w:r>
      <w:r w:rsidR="001E2E14">
        <w:rPr>
          <w:rFonts w:ascii="Bookman Old Style" w:hAnsi="Bookman Old Style"/>
        </w:rPr>
        <w:t>a</w:t>
      </w:r>
      <w:r w:rsidR="007B048D">
        <w:rPr>
          <w:rFonts w:ascii="Bookman Old Style" w:hAnsi="Bookman Old Style"/>
        </w:rPr>
        <w:t>dvancement of the rule of law, a</w:t>
      </w:r>
      <w:r w:rsidR="001E2E14">
        <w:rPr>
          <w:rFonts w:ascii="Bookman Old Style" w:hAnsi="Bookman Old Style"/>
        </w:rPr>
        <w:t>nd the rights and liberties of individual</w:t>
      </w:r>
      <w:r w:rsidR="007B048D">
        <w:rPr>
          <w:rFonts w:ascii="Bookman Old Style" w:hAnsi="Bookman Old Style"/>
        </w:rPr>
        <w:t>s</w:t>
      </w:r>
      <w:r w:rsidR="001E2E14">
        <w:rPr>
          <w:rFonts w:ascii="Bookman Old Style" w:hAnsi="Bookman Old Style"/>
        </w:rPr>
        <w:t xml:space="preserve">. </w:t>
      </w:r>
    </w:p>
    <w:p w:rsidR="001E2E14" w:rsidRDefault="001E2E14" w:rsidP="001343EA">
      <w:pPr>
        <w:spacing w:line="360" w:lineRule="auto"/>
        <w:jc w:val="both"/>
        <w:rPr>
          <w:rFonts w:ascii="Bookman Old Style" w:hAnsi="Bookman Old Style"/>
        </w:rPr>
      </w:pPr>
    </w:p>
    <w:p w:rsidR="005E4B13" w:rsidRDefault="007B048D" w:rsidP="001343EA">
      <w:pPr>
        <w:spacing w:line="360" w:lineRule="auto"/>
        <w:jc w:val="both"/>
        <w:rPr>
          <w:rFonts w:ascii="Bookman Old Style" w:hAnsi="Bookman Old Style"/>
        </w:rPr>
      </w:pPr>
      <w:r>
        <w:rPr>
          <w:rFonts w:ascii="Bookman Old Style" w:hAnsi="Bookman Old Style"/>
        </w:rPr>
        <w:t>Contrary to</w:t>
      </w:r>
      <w:r w:rsidR="001E2E14">
        <w:rPr>
          <w:rFonts w:ascii="Bookman Old Style" w:hAnsi="Bookman Old Style"/>
        </w:rPr>
        <w:t xml:space="preserve"> the preceding object</w:t>
      </w:r>
      <w:r w:rsidR="006E356C">
        <w:rPr>
          <w:rFonts w:ascii="Bookman Old Style" w:hAnsi="Bookman Old Style"/>
        </w:rPr>
        <w:t>s</w:t>
      </w:r>
      <w:r>
        <w:rPr>
          <w:rFonts w:ascii="Bookman Old Style" w:hAnsi="Bookman Old Style"/>
        </w:rPr>
        <w:t>,</w:t>
      </w:r>
      <w:r w:rsidR="001E2E14">
        <w:rPr>
          <w:rFonts w:ascii="Bookman Old Style" w:hAnsi="Bookman Old Style"/>
        </w:rPr>
        <w:t xml:space="preserve"> </w:t>
      </w:r>
      <w:r w:rsidR="00533C83">
        <w:rPr>
          <w:rFonts w:ascii="Bookman Old Style" w:hAnsi="Bookman Old Style"/>
        </w:rPr>
        <w:t xml:space="preserve">the petitioner contends that </w:t>
      </w:r>
      <w:r w:rsidR="001E2E14">
        <w:rPr>
          <w:rFonts w:ascii="Bookman Old Style" w:hAnsi="Bookman Old Style"/>
        </w:rPr>
        <w:t xml:space="preserve">the respondent has willfully set out and operated its affairs in a well crafted discriminatory manner that has excluded the petitioner from participating in the professional affairs of the Association, by the mere fact that the petitioner is a </w:t>
      </w:r>
      <w:r w:rsidR="00533C83">
        <w:rPr>
          <w:rFonts w:ascii="Bookman Old Style" w:hAnsi="Bookman Old Style"/>
        </w:rPr>
        <w:t xml:space="preserve">member of the </w:t>
      </w:r>
      <w:r w:rsidR="001E2E14">
        <w:rPr>
          <w:rFonts w:ascii="Bookman Old Style" w:hAnsi="Bookman Old Style"/>
        </w:rPr>
        <w:t>Seventh Day Adve</w:t>
      </w:r>
      <w:r w:rsidR="005E4B13">
        <w:rPr>
          <w:rFonts w:ascii="Bookman Old Style" w:hAnsi="Bookman Old Style"/>
        </w:rPr>
        <w:t xml:space="preserve">ntist </w:t>
      </w:r>
      <w:r w:rsidR="006E356C">
        <w:rPr>
          <w:rFonts w:ascii="Bookman Old Style" w:hAnsi="Bookman Old Style"/>
        </w:rPr>
        <w:t xml:space="preserve">Church </w:t>
      </w:r>
      <w:r w:rsidR="005E4B13">
        <w:rPr>
          <w:rFonts w:ascii="Bookman Old Style" w:hAnsi="Bookman Old Style"/>
        </w:rPr>
        <w:t>(S.D.A). A</w:t>
      </w:r>
      <w:r w:rsidR="001E2E14">
        <w:rPr>
          <w:rFonts w:ascii="Bookman Old Style" w:hAnsi="Bookman Old Style"/>
        </w:rPr>
        <w:t xml:space="preserve">mong the fundamental doctrinal beliefs </w:t>
      </w:r>
      <w:r w:rsidR="005E4B13">
        <w:rPr>
          <w:rFonts w:ascii="Bookman Old Style" w:hAnsi="Bookman Old Style"/>
        </w:rPr>
        <w:t>of the S.D.A.</w:t>
      </w:r>
      <w:r w:rsidR="00533C83">
        <w:rPr>
          <w:rFonts w:ascii="Bookman Old Style" w:hAnsi="Bookman Old Style"/>
        </w:rPr>
        <w:t>,</w:t>
      </w:r>
      <w:r w:rsidR="005E4B13">
        <w:rPr>
          <w:rFonts w:ascii="Bookman Old Style" w:hAnsi="Bookman Old Style"/>
        </w:rPr>
        <w:t xml:space="preserve"> </w:t>
      </w:r>
      <w:r w:rsidR="001E2E14">
        <w:rPr>
          <w:rFonts w:ascii="Bookman Old Style" w:hAnsi="Bookman Old Style"/>
        </w:rPr>
        <w:t>is</w:t>
      </w:r>
      <w:r w:rsidR="00533C83">
        <w:rPr>
          <w:rFonts w:ascii="Bookman Old Style" w:hAnsi="Bookman Old Style"/>
        </w:rPr>
        <w:t xml:space="preserve"> the immutable biblical command</w:t>
      </w:r>
      <w:r w:rsidR="001E2E14">
        <w:rPr>
          <w:rFonts w:ascii="Bookman Old Style" w:hAnsi="Bookman Old Style"/>
        </w:rPr>
        <w:t xml:space="preserve"> ensh</w:t>
      </w:r>
      <w:r w:rsidR="006E356C">
        <w:rPr>
          <w:rFonts w:ascii="Bookman Old Style" w:hAnsi="Bookman Old Style"/>
        </w:rPr>
        <w:t>rined in the fourth commandment</w:t>
      </w:r>
      <w:r w:rsidR="001E2E14">
        <w:rPr>
          <w:rFonts w:ascii="Bookman Old Style" w:hAnsi="Bookman Old Style"/>
        </w:rPr>
        <w:t xml:space="preserve">, in the Old Testament, of the Holy Bible </w:t>
      </w:r>
      <w:r w:rsidR="006E356C">
        <w:rPr>
          <w:rFonts w:ascii="Bookman Old Style" w:hAnsi="Bookman Old Style"/>
        </w:rPr>
        <w:t>in the B</w:t>
      </w:r>
      <w:r w:rsidR="005E4B13">
        <w:rPr>
          <w:rFonts w:ascii="Bookman Old Style" w:hAnsi="Bookman Old Style"/>
        </w:rPr>
        <w:t>ook of Exodus, c</w:t>
      </w:r>
      <w:r w:rsidR="001E2E14">
        <w:rPr>
          <w:rFonts w:ascii="Bookman Old Style" w:hAnsi="Bookman Old Style"/>
        </w:rPr>
        <w:t>hapter 20</w:t>
      </w:r>
      <w:r w:rsidR="005E4B13">
        <w:rPr>
          <w:rFonts w:ascii="Bookman Old Style" w:hAnsi="Bookman Old Style"/>
        </w:rPr>
        <w:t>, verses 8 – 11, that the s</w:t>
      </w:r>
      <w:r w:rsidR="001E2E14">
        <w:rPr>
          <w:rFonts w:ascii="Bookman Old Style" w:hAnsi="Bookman Old Style"/>
        </w:rPr>
        <w:t>eventh day of the wee</w:t>
      </w:r>
      <w:r w:rsidR="005E4B13">
        <w:rPr>
          <w:rFonts w:ascii="Bookman Old Style" w:hAnsi="Bookman Old Style"/>
        </w:rPr>
        <w:t>k</w:t>
      </w:r>
      <w:r w:rsidR="001E2E14">
        <w:rPr>
          <w:rFonts w:ascii="Bookman Old Style" w:hAnsi="Bookman Old Style"/>
        </w:rPr>
        <w:t xml:space="preserve"> is the Sabbath of the Lord God, and must be sacredly observed between Friday sunset and Saturday sunset, through public worship and the complete abstention from any form of menial work and secular activity, such as participation in the regular and periodic business meetings customarily conducted by the respondent</w:t>
      </w:r>
      <w:r w:rsidR="005E4B13">
        <w:rPr>
          <w:rFonts w:ascii="Bookman Old Style" w:hAnsi="Bookman Old Style"/>
        </w:rPr>
        <w:t xml:space="preserve"> on s</w:t>
      </w:r>
      <w:r w:rsidR="00423B18">
        <w:rPr>
          <w:rFonts w:ascii="Bookman Old Style" w:hAnsi="Bookman Old Style"/>
        </w:rPr>
        <w:t>aturday</w:t>
      </w:r>
      <w:r w:rsidR="005E4B13">
        <w:rPr>
          <w:rFonts w:ascii="Bookman Old Style" w:hAnsi="Bookman Old Style"/>
        </w:rPr>
        <w:t>s</w:t>
      </w:r>
      <w:r w:rsidR="00423B18">
        <w:rPr>
          <w:rFonts w:ascii="Bookman Old Style" w:hAnsi="Bookman Old Style"/>
        </w:rPr>
        <w:t>, on the occasion of any of its formal meetings, including, but not limited to the association</w:t>
      </w:r>
      <w:r w:rsidR="005E4B13">
        <w:rPr>
          <w:rFonts w:ascii="Bookman Old Style" w:hAnsi="Bookman Old Style"/>
        </w:rPr>
        <w:t>’</w:t>
      </w:r>
      <w:r w:rsidR="00423B18">
        <w:rPr>
          <w:rFonts w:ascii="Bookman Old Style" w:hAnsi="Bookman Old Style"/>
        </w:rPr>
        <w:t>s Annual General Meeting</w:t>
      </w:r>
      <w:r w:rsidR="005E4B13">
        <w:rPr>
          <w:rFonts w:ascii="Bookman Old Style" w:hAnsi="Bookman Old Style"/>
        </w:rPr>
        <w:t>(AGM)</w:t>
      </w:r>
      <w:r w:rsidR="00423B18">
        <w:rPr>
          <w:rFonts w:ascii="Bookman Old Style" w:hAnsi="Bookman Old Style"/>
        </w:rPr>
        <w:t xml:space="preserve">. </w:t>
      </w:r>
    </w:p>
    <w:p w:rsidR="005E4B13" w:rsidRDefault="005E4B13" w:rsidP="001343EA">
      <w:pPr>
        <w:spacing w:line="360" w:lineRule="auto"/>
        <w:jc w:val="both"/>
        <w:rPr>
          <w:rFonts w:ascii="Bookman Old Style" w:hAnsi="Bookman Old Style"/>
        </w:rPr>
      </w:pPr>
    </w:p>
    <w:p w:rsidR="007E13CF" w:rsidRDefault="00533C83" w:rsidP="001343EA">
      <w:pPr>
        <w:spacing w:line="360" w:lineRule="auto"/>
        <w:jc w:val="both"/>
        <w:rPr>
          <w:rFonts w:ascii="Bookman Old Style" w:hAnsi="Bookman Old Style"/>
        </w:rPr>
      </w:pPr>
      <w:r>
        <w:rPr>
          <w:rFonts w:ascii="Bookman Old Style" w:hAnsi="Bookman Old Style"/>
        </w:rPr>
        <w:t>The petitioner further contends that b</w:t>
      </w:r>
      <w:r w:rsidR="00423B18">
        <w:rPr>
          <w:rFonts w:ascii="Bookman Old Style" w:hAnsi="Bookman Old Style"/>
        </w:rPr>
        <w:t>y long standing custom and usage, the respondent has routinely held its AGM on a Saturday to conduct its elections. The respondent</w:t>
      </w:r>
      <w:r w:rsidR="006E356C">
        <w:rPr>
          <w:rFonts w:ascii="Bookman Old Style" w:hAnsi="Bookman Old Style"/>
        </w:rPr>
        <w:t>’</w:t>
      </w:r>
      <w:r w:rsidR="00423B18">
        <w:rPr>
          <w:rFonts w:ascii="Bookman Old Style" w:hAnsi="Bookman Old Style"/>
        </w:rPr>
        <w:t>s meetings have continued despite the petitioner</w:t>
      </w:r>
      <w:r w:rsidR="005E4B13">
        <w:rPr>
          <w:rFonts w:ascii="Bookman Old Style" w:hAnsi="Bookman Old Style"/>
        </w:rPr>
        <w:t>’</w:t>
      </w:r>
      <w:r w:rsidR="00423B18">
        <w:rPr>
          <w:rFonts w:ascii="Bookman Old Style" w:hAnsi="Bookman Old Style"/>
        </w:rPr>
        <w:t>s formal written com</w:t>
      </w:r>
      <w:r w:rsidR="00BA6F02">
        <w:rPr>
          <w:rFonts w:ascii="Bookman Old Style" w:hAnsi="Bookman Old Style"/>
        </w:rPr>
        <w:t>plaints that his fundamental rig</w:t>
      </w:r>
      <w:r w:rsidR="00423B18">
        <w:rPr>
          <w:rFonts w:ascii="Bookman Old Style" w:hAnsi="Bookman Old Style"/>
        </w:rPr>
        <w:t>h</w:t>
      </w:r>
      <w:r w:rsidR="005E4B13">
        <w:rPr>
          <w:rFonts w:ascii="Bookman Old Style" w:hAnsi="Bookman Old Style"/>
        </w:rPr>
        <w:t>ts to religiou</w:t>
      </w:r>
      <w:r w:rsidR="00BA6F02">
        <w:rPr>
          <w:rFonts w:ascii="Bookman Old Style" w:hAnsi="Bookman Old Style"/>
        </w:rPr>
        <w:t>s liberty and freedom faith based segration should be upheld by the Association</w:t>
      </w:r>
      <w:r w:rsidR="005E4B13">
        <w:rPr>
          <w:rFonts w:ascii="Bookman Old Style" w:hAnsi="Bookman Old Style"/>
        </w:rPr>
        <w:t>’s</w:t>
      </w:r>
      <w:r w:rsidR="007E13CF">
        <w:rPr>
          <w:rFonts w:ascii="Bookman Old Style" w:hAnsi="Bookman Old Style"/>
        </w:rPr>
        <w:t xml:space="preserve"> alteration</w:t>
      </w:r>
      <w:r w:rsidR="005E4B13">
        <w:rPr>
          <w:rFonts w:ascii="Bookman Old Style" w:hAnsi="Bookman Old Style"/>
        </w:rPr>
        <w:t xml:space="preserve"> of the days of convening the m</w:t>
      </w:r>
      <w:r w:rsidR="007E13CF">
        <w:rPr>
          <w:rFonts w:ascii="Bookman Old Style" w:hAnsi="Bookman Old Style"/>
        </w:rPr>
        <w:t>eetings, so that they are not held on the holy Sabbath. The petitioner therefore prays:</w:t>
      </w:r>
    </w:p>
    <w:p w:rsidR="007E13CF" w:rsidRDefault="007E13CF" w:rsidP="007E13CF">
      <w:pPr>
        <w:pStyle w:val="ListParagraph"/>
        <w:numPr>
          <w:ilvl w:val="0"/>
          <w:numId w:val="4"/>
        </w:numPr>
        <w:spacing w:line="360" w:lineRule="auto"/>
        <w:jc w:val="both"/>
        <w:rPr>
          <w:rFonts w:ascii="Bookman Old Style" w:hAnsi="Bookman Old Style"/>
        </w:rPr>
      </w:pPr>
      <w:r>
        <w:rPr>
          <w:rFonts w:ascii="Bookman Old Style" w:hAnsi="Bookman Old Style"/>
        </w:rPr>
        <w:t>That it may be determined and declared that his fundamental rights to freedom of conscience and not to be discriminated against have</w:t>
      </w:r>
      <w:r w:rsidR="005E4B13">
        <w:rPr>
          <w:rFonts w:ascii="Bookman Old Style" w:hAnsi="Bookman Old Style"/>
        </w:rPr>
        <w:t xml:space="preserve"> been contravened, contrary to A</w:t>
      </w:r>
      <w:r>
        <w:rPr>
          <w:rFonts w:ascii="Bookman Old Style" w:hAnsi="Bookman Old Style"/>
        </w:rPr>
        <w:t>rticles 11</w:t>
      </w:r>
      <w:r w:rsidR="005E4B13">
        <w:rPr>
          <w:rFonts w:ascii="Bookman Old Style" w:hAnsi="Bookman Old Style"/>
        </w:rPr>
        <w:t xml:space="preserve"> (a), 19 (1), and 23 (2) of the C</w:t>
      </w:r>
      <w:r>
        <w:rPr>
          <w:rFonts w:ascii="Bookman Old Style" w:hAnsi="Bookman Old Style"/>
        </w:rPr>
        <w:t xml:space="preserve">onstitution of Zambia; </w:t>
      </w:r>
    </w:p>
    <w:p w:rsidR="007E13CF" w:rsidRDefault="007E13CF" w:rsidP="007E13CF">
      <w:pPr>
        <w:pStyle w:val="ListParagraph"/>
        <w:numPr>
          <w:ilvl w:val="0"/>
          <w:numId w:val="4"/>
        </w:numPr>
        <w:spacing w:line="360" w:lineRule="auto"/>
        <w:jc w:val="both"/>
        <w:rPr>
          <w:rFonts w:ascii="Bookman Old Style" w:hAnsi="Bookman Old Style"/>
        </w:rPr>
      </w:pPr>
      <w:r>
        <w:rPr>
          <w:rFonts w:ascii="Bookman Old Style" w:hAnsi="Bookman Old Style"/>
        </w:rPr>
        <w:t xml:space="preserve">That it may be determined and ordered that the association whether by itself, its agents, or servants or otherwise howsoever be restrained and an injunction be granted restraining it from holding or transacting any of its formal meetings during the Sabbath i.e. between Friday sunset and Saturday sunset; </w:t>
      </w:r>
    </w:p>
    <w:p w:rsidR="007E13CF" w:rsidRDefault="007E13CF" w:rsidP="007E13CF">
      <w:pPr>
        <w:pStyle w:val="ListParagraph"/>
        <w:numPr>
          <w:ilvl w:val="0"/>
          <w:numId w:val="4"/>
        </w:numPr>
        <w:spacing w:line="360" w:lineRule="auto"/>
        <w:jc w:val="both"/>
        <w:rPr>
          <w:rFonts w:ascii="Bookman Old Style" w:hAnsi="Bookman Old Style"/>
        </w:rPr>
      </w:pPr>
      <w:r>
        <w:rPr>
          <w:rFonts w:ascii="Bookman Old Style" w:hAnsi="Bookman Old Style"/>
        </w:rPr>
        <w:t>That the Court may make such order, issue such writs</w:t>
      </w:r>
      <w:r w:rsidR="00533C83">
        <w:rPr>
          <w:rFonts w:ascii="Bookman Old Style" w:hAnsi="Bookman Old Style"/>
        </w:rPr>
        <w:t>,</w:t>
      </w:r>
      <w:r>
        <w:rPr>
          <w:rFonts w:ascii="Bookman Old Style" w:hAnsi="Bookman Old Style"/>
        </w:rPr>
        <w:t xml:space="preserve"> and give such directions as it may consider appropriate for the purpose of enforcing or securing the enforcement of any of the fundamental rights provisions allegedly violated in relation to the petitioner, pur</w:t>
      </w:r>
      <w:r w:rsidR="005E4B13">
        <w:rPr>
          <w:rFonts w:ascii="Bookman Old Style" w:hAnsi="Bookman Old Style"/>
        </w:rPr>
        <w:t>suant to Article 28 (1) of the C</w:t>
      </w:r>
      <w:r>
        <w:rPr>
          <w:rFonts w:ascii="Bookman Old Style" w:hAnsi="Bookman Old Style"/>
        </w:rPr>
        <w:t>onstitution of Zambia;</w:t>
      </w:r>
    </w:p>
    <w:p w:rsidR="007E13CF" w:rsidRDefault="007E13CF" w:rsidP="007E13CF">
      <w:pPr>
        <w:pStyle w:val="ListParagraph"/>
        <w:numPr>
          <w:ilvl w:val="0"/>
          <w:numId w:val="4"/>
        </w:numPr>
        <w:spacing w:line="360" w:lineRule="auto"/>
        <w:jc w:val="both"/>
        <w:rPr>
          <w:rFonts w:ascii="Bookman Old Style" w:hAnsi="Bookman Old Style"/>
        </w:rPr>
      </w:pPr>
      <w:r>
        <w:rPr>
          <w:rFonts w:ascii="Bookman Old Style" w:hAnsi="Bookman Old Style"/>
        </w:rPr>
        <w:t xml:space="preserve">Costs; and </w:t>
      </w:r>
    </w:p>
    <w:p w:rsidR="007E13CF" w:rsidRDefault="007E13CF" w:rsidP="007E13CF">
      <w:pPr>
        <w:pStyle w:val="ListParagraph"/>
        <w:numPr>
          <w:ilvl w:val="0"/>
          <w:numId w:val="4"/>
        </w:numPr>
        <w:spacing w:line="360" w:lineRule="auto"/>
        <w:jc w:val="both"/>
        <w:rPr>
          <w:rFonts w:ascii="Bookman Old Style" w:hAnsi="Bookman Old Style"/>
        </w:rPr>
      </w:pPr>
      <w:r>
        <w:rPr>
          <w:rFonts w:ascii="Bookman Old Style" w:hAnsi="Bookman Old Style"/>
        </w:rPr>
        <w:t>That the petitioner may have such further or other relief as may be just.</w:t>
      </w:r>
    </w:p>
    <w:p w:rsidR="005E4B13" w:rsidRDefault="007E13CF" w:rsidP="007E13CF">
      <w:pPr>
        <w:spacing w:line="360" w:lineRule="auto"/>
        <w:jc w:val="both"/>
        <w:rPr>
          <w:rFonts w:ascii="Bookman Old Style" w:hAnsi="Bookman Old Style"/>
        </w:rPr>
      </w:pPr>
      <w:r>
        <w:rPr>
          <w:rFonts w:ascii="Bookman Old Style" w:hAnsi="Bookman Old Style"/>
        </w:rPr>
        <w:t>On 28</w:t>
      </w:r>
      <w:r w:rsidRPr="007E13CF">
        <w:rPr>
          <w:rFonts w:ascii="Bookman Old Style" w:hAnsi="Bookman Old Style"/>
          <w:vertAlign w:val="superscript"/>
        </w:rPr>
        <w:t>th</w:t>
      </w:r>
      <w:r>
        <w:rPr>
          <w:rFonts w:ascii="Bookman Old Style" w:hAnsi="Bookman Old Style"/>
        </w:rPr>
        <w:t xml:space="preserve"> October, 2011, the respondent fi</w:t>
      </w:r>
      <w:r w:rsidR="00CF0A8D">
        <w:rPr>
          <w:rFonts w:ascii="Bookman Old Style" w:hAnsi="Bookman Old Style"/>
        </w:rPr>
        <w:t>led its answer to the petition</w:t>
      </w:r>
      <w:r>
        <w:rPr>
          <w:rFonts w:ascii="Bookman Old Style" w:hAnsi="Bookman Old Style"/>
        </w:rPr>
        <w:t>.</w:t>
      </w:r>
      <w:r w:rsidR="00CF0A8D">
        <w:rPr>
          <w:rFonts w:ascii="Bookman Old Style" w:hAnsi="Bookman Old Style"/>
        </w:rPr>
        <w:t xml:space="preserve"> In the answer, the respondent admitted that </w:t>
      </w:r>
      <w:r w:rsidR="00533C83">
        <w:rPr>
          <w:rFonts w:ascii="Bookman Old Style" w:hAnsi="Bookman Old Style"/>
        </w:rPr>
        <w:t>it is constituted by an Act of P</w:t>
      </w:r>
      <w:r w:rsidR="00CF0A8D">
        <w:rPr>
          <w:rFonts w:ascii="Bookman Old Style" w:hAnsi="Bookman Old Style"/>
        </w:rPr>
        <w:t xml:space="preserve">arliament to promote the interests of </w:t>
      </w:r>
      <w:r w:rsidR="006E356C">
        <w:rPr>
          <w:rFonts w:ascii="Bookman Old Style" w:hAnsi="Bookman Old Style"/>
        </w:rPr>
        <w:t xml:space="preserve">Legal Practitioners </w:t>
      </w:r>
      <w:r w:rsidR="00CF0A8D">
        <w:rPr>
          <w:rFonts w:ascii="Bookman Old Style" w:hAnsi="Bookman Old Style"/>
        </w:rPr>
        <w:t>in Zambia. And to advance the rule of law, rights and liberties of individuals. The respondent however denies that it has conducted its affairs in a discriminatory manner that has resulted in excluding the petitioner from participating in</w:t>
      </w:r>
      <w:r w:rsidR="005E4B13">
        <w:rPr>
          <w:rFonts w:ascii="Bookman Old Style" w:hAnsi="Bookman Old Style"/>
        </w:rPr>
        <w:t xml:space="preserve"> the affairs of the respondent </w:t>
      </w:r>
      <w:r w:rsidR="00CF0A8D">
        <w:rPr>
          <w:rFonts w:ascii="Bookman Old Style" w:hAnsi="Bookman Old Style"/>
        </w:rPr>
        <w:t>on the ground that he is a member of the S.D.A.</w:t>
      </w:r>
      <w:r w:rsidR="00B75D3E">
        <w:rPr>
          <w:rFonts w:ascii="Bookman Old Style" w:hAnsi="Bookman Old Style"/>
        </w:rPr>
        <w:t xml:space="preserve"> </w:t>
      </w:r>
    </w:p>
    <w:p w:rsidR="005E4B13" w:rsidRDefault="005E4B13" w:rsidP="007E13CF">
      <w:pPr>
        <w:spacing w:line="360" w:lineRule="auto"/>
        <w:jc w:val="both"/>
        <w:rPr>
          <w:rFonts w:ascii="Bookman Old Style" w:hAnsi="Bookman Old Style"/>
        </w:rPr>
      </w:pPr>
    </w:p>
    <w:p w:rsidR="00040717" w:rsidRDefault="00B75D3E" w:rsidP="007E13CF">
      <w:pPr>
        <w:spacing w:line="360" w:lineRule="auto"/>
        <w:jc w:val="both"/>
        <w:rPr>
          <w:rFonts w:ascii="Bookman Old Style" w:hAnsi="Bookman Old Style"/>
        </w:rPr>
      </w:pPr>
      <w:r>
        <w:rPr>
          <w:rFonts w:ascii="Bookman Old Style" w:hAnsi="Bookman Old Style"/>
        </w:rPr>
        <w:t>T</w:t>
      </w:r>
      <w:r w:rsidR="001540A7">
        <w:rPr>
          <w:rFonts w:ascii="Bookman Old Style" w:hAnsi="Bookman Old Style"/>
        </w:rPr>
        <w:t xml:space="preserve">he respondent contends that the practice of holding its </w:t>
      </w:r>
      <w:r w:rsidR="005E4B13">
        <w:rPr>
          <w:rFonts w:ascii="Bookman Old Style" w:hAnsi="Bookman Old Style"/>
        </w:rPr>
        <w:t xml:space="preserve">AGM </w:t>
      </w:r>
      <w:r w:rsidR="001540A7">
        <w:rPr>
          <w:rFonts w:ascii="Bookman Old Style" w:hAnsi="Bookman Old Style"/>
        </w:rPr>
        <w:t>and other meetings on Saturdays has been in place from time immemorial</w:t>
      </w:r>
      <w:r w:rsidR="00533C83">
        <w:rPr>
          <w:rFonts w:ascii="Bookman Old Style" w:hAnsi="Bookman Old Style"/>
        </w:rPr>
        <w:t>,</w:t>
      </w:r>
      <w:r w:rsidR="001540A7">
        <w:rPr>
          <w:rFonts w:ascii="Bookman Old Style" w:hAnsi="Bookman Old Style"/>
        </w:rPr>
        <w:t xml:space="preserve"> and</w:t>
      </w:r>
      <w:r w:rsidR="00533C83">
        <w:rPr>
          <w:rFonts w:ascii="Bookman Old Style" w:hAnsi="Bookman Old Style"/>
        </w:rPr>
        <w:t xml:space="preserve"> even before the petitioner’s professed convention</w:t>
      </w:r>
      <w:r w:rsidR="001540A7">
        <w:rPr>
          <w:rFonts w:ascii="Bookman Old Style" w:hAnsi="Bookman Old Style"/>
        </w:rPr>
        <w:t xml:space="preserve"> to S.D.A. </w:t>
      </w:r>
      <w:r>
        <w:rPr>
          <w:rFonts w:ascii="Bookman Old Style" w:hAnsi="Bookman Old Style"/>
        </w:rPr>
        <w:t>Thus the respondent denies that the petitioner</w:t>
      </w:r>
      <w:r w:rsidR="005E4B13">
        <w:rPr>
          <w:rFonts w:ascii="Bookman Old Style" w:hAnsi="Bookman Old Style"/>
        </w:rPr>
        <w:t>’</w:t>
      </w:r>
      <w:r>
        <w:rPr>
          <w:rFonts w:ascii="Bookman Old Style" w:hAnsi="Bookman Old Style"/>
        </w:rPr>
        <w:t xml:space="preserve">s fundamental right to religious liberty and freedom from faith based segregation, if such </w:t>
      </w:r>
      <w:r w:rsidR="006E356C">
        <w:rPr>
          <w:rFonts w:ascii="Bookman Old Style" w:hAnsi="Bookman Old Style"/>
        </w:rPr>
        <w:t xml:space="preserve">a </w:t>
      </w:r>
      <w:r>
        <w:rPr>
          <w:rFonts w:ascii="Bookman Old Style" w:hAnsi="Bookman Old Style"/>
        </w:rPr>
        <w:t>freedom exists</w:t>
      </w:r>
      <w:r w:rsidR="005E4B13">
        <w:rPr>
          <w:rFonts w:ascii="Bookman Old Style" w:hAnsi="Bookman Old Style"/>
        </w:rPr>
        <w:t>,</w:t>
      </w:r>
      <w:r>
        <w:rPr>
          <w:rFonts w:ascii="Bookman Old Style" w:hAnsi="Bookman Old Style"/>
        </w:rPr>
        <w:t xml:space="preserve"> have been </w:t>
      </w:r>
      <w:r w:rsidR="006E356C">
        <w:rPr>
          <w:rFonts w:ascii="Bookman Old Style" w:hAnsi="Bookman Old Style"/>
        </w:rPr>
        <w:t>in</w:t>
      </w:r>
      <w:r>
        <w:rPr>
          <w:rFonts w:ascii="Bookman Old Style" w:hAnsi="Bookman Old Style"/>
        </w:rPr>
        <w:t xml:space="preserve">fringed upon considering that the holding of the meetings on Saturday had nothing to do with </w:t>
      </w:r>
      <w:r w:rsidR="005E4B13">
        <w:rPr>
          <w:rFonts w:ascii="Bookman Old Style" w:hAnsi="Bookman Old Style"/>
        </w:rPr>
        <w:t>any member</w:t>
      </w:r>
      <w:r w:rsidR="006E356C">
        <w:rPr>
          <w:rFonts w:ascii="Bookman Old Style" w:hAnsi="Bookman Old Style"/>
        </w:rPr>
        <w:t>’</w:t>
      </w:r>
      <w:r w:rsidR="005E4B13">
        <w:rPr>
          <w:rFonts w:ascii="Bookman Old Style" w:hAnsi="Bookman Old Style"/>
        </w:rPr>
        <w:t>s religious beliefs, b</w:t>
      </w:r>
      <w:r w:rsidR="006E356C">
        <w:rPr>
          <w:rFonts w:ascii="Bookman Old Style" w:hAnsi="Bookman Old Style"/>
        </w:rPr>
        <w:t>ut due</w:t>
      </w:r>
      <w:r>
        <w:rPr>
          <w:rFonts w:ascii="Bookman Old Style" w:hAnsi="Bookman Old Style"/>
        </w:rPr>
        <w:t xml:space="preserve"> </w:t>
      </w:r>
      <w:r w:rsidR="006E356C">
        <w:rPr>
          <w:rFonts w:ascii="Bookman Old Style" w:hAnsi="Bookman Old Style"/>
        </w:rPr>
        <w:t xml:space="preserve">to </w:t>
      </w:r>
      <w:r>
        <w:rPr>
          <w:rFonts w:ascii="Bookman Old Style" w:hAnsi="Bookman Old Style"/>
        </w:rPr>
        <w:t>the convenience of the day to the majority of members who</w:t>
      </w:r>
      <w:r w:rsidR="0078587F">
        <w:rPr>
          <w:rFonts w:ascii="Bookman Old Style" w:hAnsi="Bookman Old Style"/>
        </w:rPr>
        <w:t xml:space="preserve"> attend such meetings</w:t>
      </w:r>
      <w:r w:rsidR="005E4B13">
        <w:rPr>
          <w:rFonts w:ascii="Bookman Old Style" w:hAnsi="Bookman Old Style"/>
        </w:rPr>
        <w:t>. I</w:t>
      </w:r>
      <w:r w:rsidR="0078587F">
        <w:rPr>
          <w:rFonts w:ascii="Bookman Old Style" w:hAnsi="Bookman Old Style"/>
        </w:rPr>
        <w:t>n any event</w:t>
      </w:r>
      <w:r w:rsidR="005E4B13">
        <w:rPr>
          <w:rFonts w:ascii="Bookman Old Style" w:hAnsi="Bookman Old Style"/>
        </w:rPr>
        <w:t>, the respondent</w:t>
      </w:r>
      <w:r w:rsidR="0078587F">
        <w:rPr>
          <w:rFonts w:ascii="Bookman Old Style" w:hAnsi="Bookman Old Style"/>
        </w:rPr>
        <w:t xml:space="preserve"> contends that the petitioner can nonetheless participate in the voting a</w:t>
      </w:r>
      <w:r w:rsidR="005E4B13">
        <w:rPr>
          <w:rFonts w:ascii="Bookman Old Style" w:hAnsi="Bookman Old Style"/>
        </w:rPr>
        <w:t>ctivities of the respondent by s</w:t>
      </w:r>
      <w:r w:rsidR="0078587F">
        <w:rPr>
          <w:rFonts w:ascii="Bookman Old Style" w:hAnsi="Bookman Old Style"/>
        </w:rPr>
        <w:t xml:space="preserve">ending a proxy under rule 17 of the respondent’s Electoral Rules. </w:t>
      </w:r>
    </w:p>
    <w:p w:rsidR="00040717" w:rsidRDefault="00040717" w:rsidP="007E13CF">
      <w:pPr>
        <w:spacing w:line="360" w:lineRule="auto"/>
        <w:jc w:val="both"/>
        <w:rPr>
          <w:rFonts w:ascii="Bookman Old Style" w:hAnsi="Bookman Old Style"/>
        </w:rPr>
      </w:pPr>
    </w:p>
    <w:p w:rsidR="00D83FB4" w:rsidRDefault="00040717" w:rsidP="007E13CF">
      <w:pPr>
        <w:spacing w:line="360" w:lineRule="auto"/>
        <w:jc w:val="both"/>
        <w:rPr>
          <w:rFonts w:ascii="Bookman Old Style" w:hAnsi="Bookman Old Style"/>
        </w:rPr>
      </w:pPr>
      <w:r>
        <w:rPr>
          <w:rFonts w:ascii="Bookman Old Style" w:hAnsi="Bookman Old Style"/>
        </w:rPr>
        <w:t>Consequently</w:t>
      </w:r>
      <w:r w:rsidR="00533C83">
        <w:rPr>
          <w:rFonts w:ascii="Bookman Old Style" w:hAnsi="Bookman Old Style"/>
        </w:rPr>
        <w:t>,</w:t>
      </w:r>
      <w:r>
        <w:rPr>
          <w:rFonts w:ascii="Bookman Old Style" w:hAnsi="Bookman Old Style"/>
        </w:rPr>
        <w:t xml:space="preserve"> the respondent denies that it has con</w:t>
      </w:r>
      <w:r w:rsidR="005E4B13">
        <w:rPr>
          <w:rFonts w:ascii="Bookman Old Style" w:hAnsi="Bookman Old Style"/>
        </w:rPr>
        <w:t>travened Article 11 (a) of the C</w:t>
      </w:r>
      <w:r>
        <w:rPr>
          <w:rFonts w:ascii="Bookman Old Style" w:hAnsi="Bookman Old Style"/>
        </w:rPr>
        <w:t xml:space="preserve">onstitution </w:t>
      </w:r>
      <w:r w:rsidR="005E4B13">
        <w:rPr>
          <w:rFonts w:ascii="Bookman Old Style" w:hAnsi="Bookman Old Style"/>
        </w:rPr>
        <w:t xml:space="preserve">of Zambia because the </w:t>
      </w:r>
      <w:r>
        <w:rPr>
          <w:rFonts w:ascii="Bookman Old Style" w:hAnsi="Bookman Old Style"/>
        </w:rPr>
        <w:t>petitioner has continued to enjoy his freedom of life, liberty, to security of the person</w:t>
      </w:r>
      <w:r w:rsidR="00533C83">
        <w:rPr>
          <w:rFonts w:ascii="Bookman Old Style" w:hAnsi="Bookman Old Style"/>
        </w:rPr>
        <w:t>,</w:t>
      </w:r>
      <w:r>
        <w:rPr>
          <w:rFonts w:ascii="Bookman Old Style" w:hAnsi="Bookman Old Style"/>
        </w:rPr>
        <w:t xml:space="preserve"> and protection of the law. Further, the respondent contends that the petitioner has not been coerced into or suspen</w:t>
      </w:r>
      <w:r w:rsidR="005E4B13">
        <w:rPr>
          <w:rFonts w:ascii="Bookman Old Style" w:hAnsi="Bookman Old Style"/>
        </w:rPr>
        <w:t>ded from participating in his pre</w:t>
      </w:r>
      <w:r>
        <w:rPr>
          <w:rFonts w:ascii="Bookman Old Style" w:hAnsi="Bookman Old Style"/>
        </w:rPr>
        <w:t>ferred religious activities held on Saturdays</w:t>
      </w:r>
      <w:r w:rsidR="00D83FB4">
        <w:rPr>
          <w:rFonts w:ascii="Bookman Old Style" w:hAnsi="Bookman Old Style"/>
        </w:rPr>
        <w:t>. Further</w:t>
      </w:r>
      <w:r w:rsidR="005E4B13">
        <w:rPr>
          <w:rFonts w:ascii="Bookman Old Style" w:hAnsi="Bookman Old Style"/>
        </w:rPr>
        <w:t>more, the respondent denies</w:t>
      </w:r>
      <w:r w:rsidR="00D83FB4">
        <w:rPr>
          <w:rFonts w:ascii="Bookman Old Style" w:hAnsi="Bookman Old Style"/>
        </w:rPr>
        <w:t xml:space="preserve"> t</w:t>
      </w:r>
      <w:r w:rsidR="00533C83">
        <w:rPr>
          <w:rFonts w:ascii="Bookman Old Style" w:hAnsi="Bookman Old Style"/>
        </w:rPr>
        <w:t>hat it has contravened A</w:t>
      </w:r>
      <w:r w:rsidR="005E4B13">
        <w:rPr>
          <w:rFonts w:ascii="Bookman Old Style" w:hAnsi="Bookman Old Style"/>
        </w:rPr>
        <w:t xml:space="preserve">rticle 19(1) of the Constitution because the petitioner has since </w:t>
      </w:r>
      <w:r w:rsidR="00773DF3">
        <w:rPr>
          <w:rFonts w:ascii="Bookman Old Style" w:hAnsi="Bookman Old Style"/>
        </w:rPr>
        <w:t>his conversion continued to enjoy his</w:t>
      </w:r>
      <w:r w:rsidR="00D83FB4">
        <w:rPr>
          <w:rFonts w:ascii="Bookman Old Style" w:hAnsi="Bookman Old Style"/>
        </w:rPr>
        <w:t xml:space="preserve"> freedom of conscience and religion by attending his church services on the day in question</w:t>
      </w:r>
      <w:r w:rsidR="00773DF3">
        <w:rPr>
          <w:rFonts w:ascii="Bookman Old Style" w:hAnsi="Bookman Old Style"/>
        </w:rPr>
        <w:t>,</w:t>
      </w:r>
      <w:r w:rsidR="00D83FB4">
        <w:rPr>
          <w:rFonts w:ascii="Bookman Old Style" w:hAnsi="Bookman Old Style"/>
        </w:rPr>
        <w:t xml:space="preserve"> despite </w:t>
      </w:r>
      <w:r w:rsidR="00773DF3">
        <w:rPr>
          <w:rFonts w:ascii="Bookman Old Style" w:hAnsi="Bookman Old Style"/>
        </w:rPr>
        <w:t xml:space="preserve">the </w:t>
      </w:r>
      <w:r w:rsidR="00D83FB4">
        <w:rPr>
          <w:rFonts w:ascii="Bookman Old Style" w:hAnsi="Bookman Old Style"/>
        </w:rPr>
        <w:t>secular nature of the respondent’s</w:t>
      </w:r>
      <w:r w:rsidR="00773DF3">
        <w:rPr>
          <w:rFonts w:ascii="Bookman Old Style" w:hAnsi="Bookman Old Style"/>
        </w:rPr>
        <w:t xml:space="preserve"> AGM</w:t>
      </w:r>
      <w:r w:rsidR="00D83FB4">
        <w:rPr>
          <w:rFonts w:ascii="Bookman Old Style" w:hAnsi="Bookman Old Style"/>
        </w:rPr>
        <w:t>. T</w:t>
      </w:r>
      <w:r w:rsidR="00773DF3">
        <w:rPr>
          <w:rFonts w:ascii="Bookman Old Style" w:hAnsi="Bookman Old Style"/>
        </w:rPr>
        <w:t>hus t</w:t>
      </w:r>
      <w:r w:rsidR="00D83FB4">
        <w:rPr>
          <w:rFonts w:ascii="Bookman Old Style" w:hAnsi="Bookman Old Style"/>
        </w:rPr>
        <w:t xml:space="preserve">he respondent contends that the holding of any of its meetings on Saturdays has no link to </w:t>
      </w:r>
      <w:r w:rsidR="00773DF3">
        <w:rPr>
          <w:rFonts w:ascii="Bookman Old Style" w:hAnsi="Bookman Old Style"/>
        </w:rPr>
        <w:t xml:space="preserve">the </w:t>
      </w:r>
      <w:r w:rsidR="00D83FB4">
        <w:rPr>
          <w:rFonts w:ascii="Bookman Old Style" w:hAnsi="Bookman Old Style"/>
        </w:rPr>
        <w:t xml:space="preserve">exercise of any religious activity.  </w:t>
      </w:r>
    </w:p>
    <w:p w:rsidR="00D83FB4" w:rsidRDefault="00D83FB4" w:rsidP="007E13CF">
      <w:pPr>
        <w:spacing w:line="360" w:lineRule="auto"/>
        <w:jc w:val="both"/>
        <w:rPr>
          <w:rFonts w:ascii="Bookman Old Style" w:hAnsi="Bookman Old Style"/>
        </w:rPr>
      </w:pPr>
    </w:p>
    <w:p w:rsidR="00773DF3" w:rsidRDefault="00D83FB4" w:rsidP="007E13CF">
      <w:pPr>
        <w:spacing w:line="360" w:lineRule="auto"/>
        <w:jc w:val="both"/>
        <w:rPr>
          <w:rFonts w:ascii="Bookman Old Style" w:hAnsi="Bookman Old Style"/>
        </w:rPr>
      </w:pPr>
      <w:r>
        <w:rPr>
          <w:rFonts w:ascii="Bookman Old Style" w:hAnsi="Bookman Old Style"/>
        </w:rPr>
        <w:t xml:space="preserve">The respondent also denies that </w:t>
      </w:r>
      <w:r w:rsidR="006E356C">
        <w:rPr>
          <w:rFonts w:ascii="Bookman Old Style" w:hAnsi="Bookman Old Style"/>
        </w:rPr>
        <w:t>it</w:t>
      </w:r>
      <w:r w:rsidR="00773DF3">
        <w:rPr>
          <w:rFonts w:ascii="Bookman Old Style" w:hAnsi="Bookman Old Style"/>
        </w:rPr>
        <w:t xml:space="preserve"> </w:t>
      </w:r>
      <w:r>
        <w:rPr>
          <w:rFonts w:ascii="Bookman Old Style" w:hAnsi="Bookman Old Style"/>
        </w:rPr>
        <w:t>has</w:t>
      </w:r>
      <w:r w:rsidR="00773DF3">
        <w:rPr>
          <w:rFonts w:ascii="Bookman Old Style" w:hAnsi="Bookman Old Style"/>
        </w:rPr>
        <w:t xml:space="preserve"> contravened the provisions of Article 23 (2) of the C</w:t>
      </w:r>
      <w:r>
        <w:rPr>
          <w:rFonts w:ascii="Bookman Old Style" w:hAnsi="Bookman Old Style"/>
        </w:rPr>
        <w:t>onstitution on the b</w:t>
      </w:r>
      <w:r w:rsidR="00773DF3">
        <w:rPr>
          <w:rFonts w:ascii="Bookman Old Style" w:hAnsi="Bookman Old Style"/>
        </w:rPr>
        <w:t>asis of faith based discrimination</w:t>
      </w:r>
      <w:r>
        <w:rPr>
          <w:rFonts w:ascii="Bookman Old Style" w:hAnsi="Bookman Old Style"/>
        </w:rPr>
        <w:t xml:space="preserve"> because the holding </w:t>
      </w:r>
      <w:r w:rsidR="00773DF3">
        <w:rPr>
          <w:rFonts w:ascii="Bookman Old Style" w:hAnsi="Bookman Old Style"/>
        </w:rPr>
        <w:t xml:space="preserve">of the meetings </w:t>
      </w:r>
      <w:r>
        <w:rPr>
          <w:rFonts w:ascii="Bookman Old Style" w:hAnsi="Bookman Old Style"/>
        </w:rPr>
        <w:t xml:space="preserve">is based on the consent of the majority of members of the respondent. </w:t>
      </w:r>
      <w:r w:rsidR="00004E0F">
        <w:rPr>
          <w:rFonts w:ascii="Bookman Old Style" w:hAnsi="Bookman Old Style"/>
        </w:rPr>
        <w:t>The</w:t>
      </w:r>
      <w:r>
        <w:rPr>
          <w:rFonts w:ascii="Bookman Old Style" w:hAnsi="Bookman Old Style"/>
        </w:rPr>
        <w:t xml:space="preserve"> respondent has therefore urged me to dismiss the petition and condemn the petitioner in costs.</w:t>
      </w:r>
      <w:r w:rsidR="00004E0F">
        <w:rPr>
          <w:rFonts w:ascii="Bookman Old Style" w:hAnsi="Bookman Old Style"/>
        </w:rPr>
        <w:t xml:space="preserve"> </w:t>
      </w:r>
    </w:p>
    <w:p w:rsidR="00773DF3" w:rsidRDefault="00773DF3" w:rsidP="007E13CF">
      <w:pPr>
        <w:spacing w:line="360" w:lineRule="auto"/>
        <w:jc w:val="both"/>
        <w:rPr>
          <w:rFonts w:ascii="Bookman Old Style" w:hAnsi="Bookman Old Style"/>
        </w:rPr>
      </w:pPr>
    </w:p>
    <w:p w:rsidR="00047EE4" w:rsidRPr="00773DF3" w:rsidRDefault="00004E0F" w:rsidP="007E13CF">
      <w:pPr>
        <w:spacing w:line="360" w:lineRule="auto"/>
        <w:jc w:val="both"/>
        <w:rPr>
          <w:rFonts w:ascii="Bookman Old Style" w:hAnsi="Bookman Old Style"/>
        </w:rPr>
      </w:pPr>
      <w:r>
        <w:rPr>
          <w:rFonts w:ascii="Bookman Old Style" w:hAnsi="Bookman Old Style"/>
        </w:rPr>
        <w:t>The hearing of the petition commenced on 8</w:t>
      </w:r>
      <w:r w:rsidRPr="00004E0F">
        <w:rPr>
          <w:rFonts w:ascii="Bookman Old Style" w:hAnsi="Bookman Old Style"/>
          <w:vertAlign w:val="superscript"/>
        </w:rPr>
        <w:t>th</w:t>
      </w:r>
      <w:r>
        <w:rPr>
          <w:rFonts w:ascii="Bookman Old Style" w:hAnsi="Bookman Old Style"/>
        </w:rPr>
        <w:t xml:space="preserve"> April, 2011. The </w:t>
      </w:r>
      <w:r w:rsidR="00773DF3">
        <w:rPr>
          <w:rFonts w:ascii="Bookman Old Style" w:hAnsi="Bookman Old Style"/>
        </w:rPr>
        <w:t>petitioner appeared in person.</w:t>
      </w:r>
      <w:r w:rsidR="00C47B82">
        <w:rPr>
          <w:rFonts w:ascii="Bookman Old Style" w:hAnsi="Bookman Old Style"/>
        </w:rPr>
        <w:t xml:space="preserve"> </w:t>
      </w:r>
      <w:r w:rsidR="00773DF3">
        <w:rPr>
          <w:rFonts w:ascii="Bookman Old Style" w:hAnsi="Bookman Old Style"/>
        </w:rPr>
        <w:t>At the start of the hearing,</w:t>
      </w:r>
      <w:r w:rsidR="00533C83">
        <w:rPr>
          <w:rFonts w:ascii="Bookman Old Style" w:hAnsi="Bookman Old Style"/>
        </w:rPr>
        <w:t xml:space="preserve"> however, Mr.</w:t>
      </w:r>
      <w:r w:rsidR="00C47B82">
        <w:rPr>
          <w:rFonts w:ascii="Bookman Old Style" w:hAnsi="Bookman Old Style"/>
        </w:rPr>
        <w:t xml:space="preserve"> Chenda sought my g</w:t>
      </w:r>
      <w:r w:rsidR="00773DF3">
        <w:rPr>
          <w:rFonts w:ascii="Bookman Old Style" w:hAnsi="Bookman Old Style"/>
        </w:rPr>
        <w:t>uidance on the procedural proprie</w:t>
      </w:r>
      <w:r w:rsidR="00C47B82">
        <w:rPr>
          <w:rFonts w:ascii="Bookman Old Style" w:hAnsi="Bookman Old Style"/>
        </w:rPr>
        <w:t>ty of the petitioner act</w:t>
      </w:r>
      <w:r w:rsidR="00773DF3">
        <w:rPr>
          <w:rFonts w:ascii="Bookman Old Style" w:hAnsi="Bookman Old Style"/>
        </w:rPr>
        <w:t>ing</w:t>
      </w:r>
      <w:r w:rsidR="00C47B82">
        <w:rPr>
          <w:rFonts w:ascii="Bookman Old Style" w:hAnsi="Bookman Old Style"/>
        </w:rPr>
        <w:t xml:space="preserve"> in a dual capacity. Namely, as a litigant in person when it came to the general conduct of the case</w:t>
      </w:r>
      <w:r w:rsidR="00773DF3">
        <w:rPr>
          <w:rFonts w:ascii="Bookman Old Style" w:hAnsi="Bookman Old Style"/>
        </w:rPr>
        <w:t>. A</w:t>
      </w:r>
      <w:r w:rsidR="00E776D4">
        <w:rPr>
          <w:rFonts w:ascii="Bookman Old Style" w:hAnsi="Bookman Old Style"/>
        </w:rPr>
        <w:t>nd as his own counsel when it ca</w:t>
      </w:r>
      <w:r w:rsidR="00C47B82">
        <w:rPr>
          <w:rFonts w:ascii="Bookman Old Style" w:hAnsi="Bookman Old Style"/>
        </w:rPr>
        <w:t xml:space="preserve">me to examining witnesses. </w:t>
      </w:r>
      <w:r w:rsidR="00994840">
        <w:rPr>
          <w:rFonts w:ascii="Bookman Old Style" w:hAnsi="Bookman Old Style"/>
        </w:rPr>
        <w:t>I ruled that since the point raised by Mr. Chenda was in my opinion novel, I was constrained to decide or resolve</w:t>
      </w:r>
      <w:r w:rsidR="00773DF3">
        <w:rPr>
          <w:rFonts w:ascii="Bookman Old Style" w:hAnsi="Bookman Old Style"/>
        </w:rPr>
        <w:t xml:space="preserve"> the issue</w:t>
      </w:r>
      <w:r w:rsidR="00994840">
        <w:rPr>
          <w:rFonts w:ascii="Bookman Old Style" w:hAnsi="Bookman Old Style"/>
        </w:rPr>
        <w:t xml:space="preserve"> </w:t>
      </w:r>
      <w:r w:rsidR="00533C83">
        <w:rPr>
          <w:rFonts w:ascii="Bookman Old Style" w:hAnsi="Bookman Old Style"/>
          <w:i/>
        </w:rPr>
        <w:t>e</w:t>
      </w:r>
      <w:r w:rsidR="00994840" w:rsidRPr="00047EE4">
        <w:rPr>
          <w:rFonts w:ascii="Bookman Old Style" w:hAnsi="Bookman Old Style"/>
          <w:i/>
        </w:rPr>
        <w:t>xtempore</w:t>
      </w:r>
      <w:r w:rsidR="00773DF3">
        <w:rPr>
          <w:rFonts w:ascii="Bookman Old Style" w:hAnsi="Bookman Old Style"/>
          <w:i/>
        </w:rPr>
        <w:t>.</w:t>
      </w:r>
      <w:r w:rsidR="00994840">
        <w:rPr>
          <w:rFonts w:ascii="Bookman Old Style" w:hAnsi="Bookman Old Style"/>
        </w:rPr>
        <w:t xml:space="preserve"> </w:t>
      </w:r>
      <w:r w:rsidR="00773DF3">
        <w:rPr>
          <w:rFonts w:ascii="Bookman Old Style" w:hAnsi="Bookman Old Style"/>
        </w:rPr>
        <w:t>Instead</w:t>
      </w:r>
      <w:r w:rsidR="00994840">
        <w:rPr>
          <w:rFonts w:ascii="Bookman Old Style" w:hAnsi="Bookman Old Style"/>
        </w:rPr>
        <w:t>, I invited</w:t>
      </w:r>
      <w:r w:rsidR="00047EE4">
        <w:rPr>
          <w:rFonts w:ascii="Bookman Old Style" w:hAnsi="Bookman Old Style"/>
        </w:rPr>
        <w:t xml:space="preserve"> the parties to file written submissions on the point. Mr. Simeza and Mr. </w:t>
      </w:r>
      <w:r w:rsidR="00533C83">
        <w:rPr>
          <w:rFonts w:ascii="Bookman Old Style" w:hAnsi="Bookman Old Style"/>
        </w:rPr>
        <w:t>Che</w:t>
      </w:r>
      <w:r w:rsidR="00773DF3">
        <w:rPr>
          <w:rFonts w:ascii="Bookman Old Style" w:hAnsi="Bookman Old Style"/>
        </w:rPr>
        <w:t>nda in their submissions dat</w:t>
      </w:r>
      <w:r w:rsidR="00047EE4">
        <w:rPr>
          <w:rFonts w:ascii="Bookman Old Style" w:hAnsi="Bookman Old Style"/>
        </w:rPr>
        <w:t>ed 13</w:t>
      </w:r>
      <w:r w:rsidR="00047EE4" w:rsidRPr="00047EE4">
        <w:rPr>
          <w:rFonts w:ascii="Bookman Old Style" w:hAnsi="Bookman Old Style"/>
          <w:vertAlign w:val="superscript"/>
        </w:rPr>
        <w:t>th</w:t>
      </w:r>
      <w:r w:rsidR="00047EE4">
        <w:rPr>
          <w:rFonts w:ascii="Bookman Old Style" w:hAnsi="Bookman Old Style"/>
        </w:rPr>
        <w:t xml:space="preserve"> April, 2011, </w:t>
      </w:r>
      <w:r w:rsidR="006E356C">
        <w:rPr>
          <w:rFonts w:ascii="Bookman Old Style" w:hAnsi="Bookman Old Style"/>
        </w:rPr>
        <w:t>submitted as follows: that R</w:t>
      </w:r>
      <w:r w:rsidR="00533C83">
        <w:rPr>
          <w:rFonts w:ascii="Bookman Old Style" w:hAnsi="Bookman Old Style"/>
        </w:rPr>
        <w:t xml:space="preserve">ule 5 (6) of </w:t>
      </w:r>
      <w:r w:rsidR="006E356C">
        <w:rPr>
          <w:rFonts w:ascii="Bookman Old Style" w:hAnsi="Bookman Old Style"/>
        </w:rPr>
        <w:t xml:space="preserve">the </w:t>
      </w:r>
      <w:r w:rsidR="00533C83">
        <w:rPr>
          <w:rFonts w:ascii="Bookman Old Style" w:hAnsi="Bookman Old Style"/>
        </w:rPr>
        <w:t>p</w:t>
      </w:r>
      <w:r w:rsidR="00047EE4">
        <w:rPr>
          <w:rFonts w:ascii="Bookman Old Style" w:hAnsi="Bookman Old Style"/>
        </w:rPr>
        <w:t>rotection of Fundamental Rights Rules</w:t>
      </w:r>
      <w:r w:rsidR="006E356C">
        <w:rPr>
          <w:rFonts w:ascii="Bookman Old Style" w:hAnsi="Bookman Old Style"/>
        </w:rPr>
        <w:t>,</w:t>
      </w:r>
      <w:r w:rsidR="00047EE4">
        <w:rPr>
          <w:rFonts w:ascii="Bookman Old Style" w:hAnsi="Bookman Old Style"/>
        </w:rPr>
        <w:t xml:space="preserve"> 1969</w:t>
      </w:r>
      <w:r w:rsidR="00533C83">
        <w:rPr>
          <w:rFonts w:ascii="Bookman Old Style" w:hAnsi="Bookman Old Style"/>
        </w:rPr>
        <w:t>,</w:t>
      </w:r>
      <w:r w:rsidR="00047EE4">
        <w:rPr>
          <w:rFonts w:ascii="Bookman Old Style" w:hAnsi="Bookman Old Style"/>
        </w:rPr>
        <w:t xml:space="preserve"> stipulates as follows:</w:t>
      </w:r>
      <w:r w:rsidR="00047EE4" w:rsidRPr="00773DF3">
        <w:rPr>
          <w:rFonts w:ascii="Bookman Old Style" w:hAnsi="Bookman Old Style"/>
          <w:i/>
        </w:rPr>
        <w:t>“The High Court may in its discretion receive evidence by affidavit in addition to or in substitution of oral evidence.”</w:t>
      </w:r>
    </w:p>
    <w:p w:rsidR="00047EE4" w:rsidRDefault="00047EE4" w:rsidP="007E13CF">
      <w:pPr>
        <w:spacing w:line="360" w:lineRule="auto"/>
        <w:jc w:val="both"/>
        <w:rPr>
          <w:rFonts w:ascii="Bookman Old Style" w:hAnsi="Bookman Old Style"/>
        </w:rPr>
      </w:pPr>
    </w:p>
    <w:p w:rsidR="00FD723E" w:rsidRDefault="00047EE4" w:rsidP="007E13CF">
      <w:pPr>
        <w:spacing w:line="360" w:lineRule="auto"/>
        <w:jc w:val="both"/>
        <w:rPr>
          <w:rFonts w:ascii="Bookman Old Style" w:hAnsi="Bookman Old Style"/>
        </w:rPr>
      </w:pPr>
      <w:r>
        <w:rPr>
          <w:rFonts w:ascii="Bookman Old Style" w:hAnsi="Bookman Old Style"/>
        </w:rPr>
        <w:t>On the basis of the preceding rule</w:t>
      </w:r>
      <w:r w:rsidR="00773DF3">
        <w:rPr>
          <w:rFonts w:ascii="Bookman Old Style" w:hAnsi="Bookman Old Style"/>
        </w:rPr>
        <w:t>,</w:t>
      </w:r>
      <w:r>
        <w:rPr>
          <w:rFonts w:ascii="Bookman Old Style" w:hAnsi="Bookman Old Style"/>
        </w:rPr>
        <w:t xml:space="preserve"> it was </w:t>
      </w:r>
      <w:r w:rsidR="00773DF3">
        <w:rPr>
          <w:rFonts w:ascii="Bookman Old Style" w:hAnsi="Bookman Old Style"/>
        </w:rPr>
        <w:t xml:space="preserve">argued </w:t>
      </w:r>
      <w:r w:rsidR="00533C83">
        <w:rPr>
          <w:rFonts w:ascii="Bookman Old Style" w:hAnsi="Bookman Old Style"/>
        </w:rPr>
        <w:t>by Mr. Simeza, and Mr. Chenda</w:t>
      </w:r>
      <w:r w:rsidR="006E356C">
        <w:rPr>
          <w:rFonts w:ascii="Bookman Old Style" w:hAnsi="Bookman Old Style"/>
        </w:rPr>
        <w:t>,</w:t>
      </w:r>
      <w:r w:rsidR="00533C83">
        <w:rPr>
          <w:rFonts w:ascii="Bookman Old Style" w:hAnsi="Bookman Old Style"/>
        </w:rPr>
        <w:t xml:space="preserve"> </w:t>
      </w:r>
      <w:r w:rsidR="00773DF3">
        <w:rPr>
          <w:rFonts w:ascii="Bookman Old Style" w:hAnsi="Bookman Old Style"/>
        </w:rPr>
        <w:t xml:space="preserve">that I had </w:t>
      </w:r>
      <w:r>
        <w:rPr>
          <w:rFonts w:ascii="Bookman Old Style" w:hAnsi="Bookman Old Style"/>
        </w:rPr>
        <w:t>the discretion to decide the manner in which evidence would be presented by the parties to this p</w:t>
      </w:r>
      <w:r w:rsidR="00773DF3">
        <w:rPr>
          <w:rFonts w:ascii="Bookman Old Style" w:hAnsi="Bookman Old Style"/>
        </w:rPr>
        <w:t xml:space="preserve">etition. However, it was contended </w:t>
      </w:r>
      <w:r>
        <w:rPr>
          <w:rFonts w:ascii="Bookman Old Style" w:hAnsi="Bookman Old Style"/>
        </w:rPr>
        <w:t xml:space="preserve">that where the conduct of a matter includes the receipt of </w:t>
      </w:r>
      <w:r w:rsidRPr="00047EE4">
        <w:rPr>
          <w:rFonts w:ascii="Bookman Old Style" w:hAnsi="Bookman Old Style"/>
          <w:i/>
        </w:rPr>
        <w:t>viva voce</w:t>
      </w:r>
      <w:r>
        <w:rPr>
          <w:rFonts w:ascii="Bookman Old Style" w:hAnsi="Bookman Old Style"/>
        </w:rPr>
        <w:t xml:space="preserve"> evidence, there </w:t>
      </w:r>
      <w:r w:rsidR="00773DF3">
        <w:rPr>
          <w:rFonts w:ascii="Bookman Old Style" w:hAnsi="Bookman Old Style"/>
        </w:rPr>
        <w:t xml:space="preserve">is </w:t>
      </w:r>
      <w:r>
        <w:rPr>
          <w:rFonts w:ascii="Bookman Old Style" w:hAnsi="Bookman Old Style"/>
        </w:rPr>
        <w:t>an established practice that the le</w:t>
      </w:r>
      <w:r w:rsidR="00E37CFA">
        <w:rPr>
          <w:rFonts w:ascii="Bookman Old Style" w:hAnsi="Bookman Old Style"/>
        </w:rPr>
        <w:t xml:space="preserve">ading </w:t>
      </w:r>
      <w:r w:rsidR="00773DF3">
        <w:rPr>
          <w:rFonts w:ascii="Bookman Old Style" w:hAnsi="Bookman Old Style"/>
        </w:rPr>
        <w:t xml:space="preserve">of </w:t>
      </w:r>
      <w:r w:rsidR="00E37CFA">
        <w:rPr>
          <w:rFonts w:ascii="Bookman Old Style" w:hAnsi="Bookman Old Style"/>
        </w:rPr>
        <w:t>witnesses is undertaken by counsel</w:t>
      </w:r>
      <w:r w:rsidR="00773DF3">
        <w:rPr>
          <w:rFonts w:ascii="Bookman Old Style" w:hAnsi="Bookman Old Style"/>
        </w:rPr>
        <w:t>,</w:t>
      </w:r>
      <w:r w:rsidR="00E37CFA">
        <w:rPr>
          <w:rFonts w:ascii="Bookman Old Style" w:hAnsi="Bookman Old Style"/>
        </w:rPr>
        <w:t xml:space="preserve"> as distinct from </w:t>
      </w:r>
      <w:r w:rsidR="006E356C">
        <w:rPr>
          <w:rFonts w:ascii="Bookman Old Style" w:hAnsi="Bookman Old Style"/>
        </w:rPr>
        <w:t>a litigant</w:t>
      </w:r>
      <w:r w:rsidR="00E37CFA">
        <w:rPr>
          <w:rFonts w:ascii="Bookman Old Style" w:hAnsi="Bookman Old Style"/>
        </w:rPr>
        <w:t xml:space="preserve"> in person. It was submitted that this</w:t>
      </w:r>
      <w:r w:rsidR="00773DF3">
        <w:rPr>
          <w:rFonts w:ascii="Bookman Old Style" w:hAnsi="Bookman Old Style"/>
        </w:rPr>
        <w:t xml:space="preserve"> practice has since received </w:t>
      </w:r>
      <w:r w:rsidR="00E37CFA">
        <w:rPr>
          <w:rFonts w:ascii="Bookman Old Style" w:hAnsi="Bookman Old Style"/>
        </w:rPr>
        <w:t xml:space="preserve">judicial recognition. In aid of this submission, my attention was drawn to the dictum by Lord Denning in the case of </w:t>
      </w:r>
      <w:r w:rsidR="00FD723E">
        <w:rPr>
          <w:rFonts w:ascii="Bookman Old Style" w:hAnsi="Bookman Old Style"/>
          <w:i/>
        </w:rPr>
        <w:t>Jo</w:t>
      </w:r>
      <w:r w:rsidR="00E37CFA" w:rsidRPr="00FD723E">
        <w:rPr>
          <w:rFonts w:ascii="Bookman Old Style" w:hAnsi="Bookman Old Style"/>
          <w:i/>
        </w:rPr>
        <w:t xml:space="preserve">nes </w:t>
      </w:r>
      <w:r w:rsidR="006E356C">
        <w:rPr>
          <w:rFonts w:ascii="Bookman Old Style" w:hAnsi="Bookman Old Style"/>
          <w:i/>
        </w:rPr>
        <w:t xml:space="preserve">v </w:t>
      </w:r>
      <w:r w:rsidR="00E37CFA" w:rsidRPr="00FD723E">
        <w:rPr>
          <w:rFonts w:ascii="Bookman Old Style" w:hAnsi="Bookman Old Style"/>
          <w:i/>
        </w:rPr>
        <w:t xml:space="preserve">National Coal Board </w:t>
      </w:r>
      <w:r w:rsidR="00773DF3">
        <w:rPr>
          <w:rFonts w:ascii="Bookman Old Style" w:hAnsi="Bookman Old Style"/>
          <w:i/>
        </w:rPr>
        <w:t>[</w:t>
      </w:r>
      <w:r w:rsidR="00E37CFA" w:rsidRPr="00FD723E">
        <w:rPr>
          <w:rFonts w:ascii="Bookman Old Style" w:hAnsi="Bookman Old Style"/>
          <w:i/>
        </w:rPr>
        <w:t>1957</w:t>
      </w:r>
      <w:r w:rsidR="00773DF3">
        <w:rPr>
          <w:rFonts w:ascii="Bookman Old Style" w:hAnsi="Bookman Old Style"/>
          <w:i/>
        </w:rPr>
        <w:t>]</w:t>
      </w:r>
      <w:r w:rsidR="00E37CFA" w:rsidRPr="00FD723E">
        <w:rPr>
          <w:rFonts w:ascii="Bookman Old Style" w:hAnsi="Bookman Old Style"/>
          <w:i/>
        </w:rPr>
        <w:t xml:space="preserve"> 2 ALL</w:t>
      </w:r>
      <w:r w:rsidR="00FD723E" w:rsidRPr="00FD723E">
        <w:rPr>
          <w:rFonts w:ascii="Bookman Old Style" w:hAnsi="Bookman Old Style"/>
          <w:i/>
        </w:rPr>
        <w:t xml:space="preserve"> E.R. 155</w:t>
      </w:r>
      <w:r w:rsidR="00FD723E">
        <w:rPr>
          <w:rFonts w:ascii="Bookman Old Style" w:hAnsi="Bookman Old Style"/>
        </w:rPr>
        <w:t xml:space="preserve"> at page 158 as follow</w:t>
      </w:r>
      <w:r w:rsidR="00773DF3">
        <w:rPr>
          <w:rFonts w:ascii="Bookman Old Style" w:hAnsi="Bookman Old Style"/>
        </w:rPr>
        <w:t>s</w:t>
      </w:r>
      <w:r w:rsidR="00FD723E">
        <w:rPr>
          <w:rFonts w:ascii="Bookman Old Style" w:hAnsi="Bookman Old Style"/>
        </w:rPr>
        <w:t>:</w:t>
      </w:r>
    </w:p>
    <w:p w:rsidR="00FD723E" w:rsidRDefault="00FD723E" w:rsidP="00FD723E">
      <w:pPr>
        <w:spacing w:line="240" w:lineRule="auto"/>
        <w:jc w:val="both"/>
        <w:rPr>
          <w:rFonts w:ascii="Bookman Old Style" w:hAnsi="Bookman Old Style"/>
          <w:i/>
        </w:rPr>
      </w:pPr>
      <w:r w:rsidRPr="00FD723E">
        <w:rPr>
          <w:rFonts w:ascii="Bookman Old Style" w:hAnsi="Bookman Old Style"/>
          <w:i/>
        </w:rPr>
        <w:t>“So also it is for the advocates each in turn to examine the witness, and not for t</w:t>
      </w:r>
      <w:r w:rsidR="00773DF3">
        <w:rPr>
          <w:rFonts w:ascii="Bookman Old Style" w:hAnsi="Bookman Old Style"/>
          <w:i/>
        </w:rPr>
        <w:t>he judge to take it on himself l</w:t>
      </w:r>
      <w:r w:rsidRPr="00FD723E">
        <w:rPr>
          <w:rFonts w:ascii="Bookman Old Style" w:hAnsi="Bookman Old Style"/>
          <w:i/>
        </w:rPr>
        <w:t>est by so doing he appeared to favour one side or the other... And it is for the advocate to state his case as fairly and strongly as he ca</w:t>
      </w:r>
      <w:r w:rsidR="00773DF3">
        <w:rPr>
          <w:rFonts w:ascii="Bookman Old Style" w:hAnsi="Bookman Old Style"/>
          <w:i/>
        </w:rPr>
        <w:t>n, without undue interruption, l</w:t>
      </w:r>
      <w:r w:rsidRPr="00FD723E">
        <w:rPr>
          <w:rFonts w:ascii="Bookman Old Style" w:hAnsi="Bookman Old Style"/>
          <w:i/>
        </w:rPr>
        <w:t>est the sequence of his argument be lost...”</w:t>
      </w:r>
    </w:p>
    <w:p w:rsidR="00FD723E" w:rsidRDefault="00FD723E" w:rsidP="007E13CF">
      <w:pPr>
        <w:spacing w:line="360" w:lineRule="auto"/>
        <w:jc w:val="both"/>
        <w:rPr>
          <w:rFonts w:ascii="Bookman Old Style" w:hAnsi="Bookman Old Style"/>
        </w:rPr>
      </w:pPr>
    </w:p>
    <w:p w:rsidR="00FD723E" w:rsidRDefault="00FD723E" w:rsidP="007E13CF">
      <w:pPr>
        <w:spacing w:line="360" w:lineRule="auto"/>
        <w:jc w:val="both"/>
        <w:rPr>
          <w:rFonts w:ascii="Bookman Old Style" w:hAnsi="Bookman Old Style"/>
        </w:rPr>
      </w:pPr>
      <w:r>
        <w:rPr>
          <w:rFonts w:ascii="Bookman Old Style" w:hAnsi="Bookman Old Style"/>
        </w:rPr>
        <w:t>Lord Denning went on to state that:</w:t>
      </w:r>
    </w:p>
    <w:p w:rsidR="009F3387" w:rsidRPr="009F3387" w:rsidRDefault="00FD723E" w:rsidP="009F3387">
      <w:pPr>
        <w:spacing w:line="240" w:lineRule="auto"/>
        <w:jc w:val="both"/>
        <w:rPr>
          <w:rFonts w:ascii="Bookman Old Style" w:hAnsi="Bookman Old Style"/>
          <w:i/>
        </w:rPr>
      </w:pPr>
      <w:r>
        <w:rPr>
          <w:rFonts w:ascii="Bookman Old Style" w:hAnsi="Bookman Old Style"/>
        </w:rPr>
        <w:t>“</w:t>
      </w:r>
      <w:r w:rsidRPr="009F3387">
        <w:rPr>
          <w:rFonts w:ascii="Bookman Old Style" w:hAnsi="Bookman Old Style"/>
          <w:i/>
        </w:rPr>
        <w:t>The judge</w:t>
      </w:r>
      <w:r w:rsidR="00533C83">
        <w:rPr>
          <w:rFonts w:ascii="Bookman Old Style" w:hAnsi="Bookman Old Style"/>
          <w:i/>
        </w:rPr>
        <w:t>’</w:t>
      </w:r>
      <w:r w:rsidRPr="009F3387">
        <w:rPr>
          <w:rFonts w:ascii="Bookman Old Style" w:hAnsi="Bookman Old Style"/>
          <w:i/>
        </w:rPr>
        <w:t xml:space="preserve">s part in all this </w:t>
      </w:r>
      <w:r w:rsidR="00773DF3">
        <w:rPr>
          <w:rFonts w:ascii="Bookman Old Style" w:hAnsi="Bookman Old Style"/>
          <w:i/>
        </w:rPr>
        <w:t xml:space="preserve">is to hearken to the evidence, </w:t>
      </w:r>
      <w:r w:rsidRPr="009F3387">
        <w:rPr>
          <w:rFonts w:ascii="Bookman Old Style" w:hAnsi="Bookman Old Style"/>
          <w:i/>
        </w:rPr>
        <w:t xml:space="preserve">asking questions </w:t>
      </w:r>
      <w:r w:rsidR="00533C83">
        <w:rPr>
          <w:rFonts w:ascii="Bookman Old Style" w:hAnsi="Bookman Old Style"/>
          <w:i/>
        </w:rPr>
        <w:t xml:space="preserve">only </w:t>
      </w:r>
      <w:r w:rsidRPr="009F3387">
        <w:rPr>
          <w:rFonts w:ascii="Bookman Old Style" w:hAnsi="Bookman Old Style"/>
          <w:i/>
        </w:rPr>
        <w:t>when it is necessary to clear up any point</w:t>
      </w:r>
      <w:r w:rsidR="00533C83">
        <w:rPr>
          <w:rFonts w:ascii="Bookman Old Style" w:hAnsi="Bookman Old Style"/>
          <w:i/>
        </w:rPr>
        <w:t>.</w:t>
      </w:r>
      <w:r w:rsidRPr="009F3387">
        <w:rPr>
          <w:rFonts w:ascii="Bookman Old Style" w:hAnsi="Bookman Old Style"/>
          <w:i/>
        </w:rPr>
        <w:t xml:space="preserve"> </w:t>
      </w:r>
      <w:r w:rsidR="00533C83">
        <w:rPr>
          <w:rFonts w:ascii="Bookman Old Style" w:hAnsi="Bookman Old Style"/>
          <w:i/>
        </w:rPr>
        <w:t xml:space="preserve">To see to it </w:t>
      </w:r>
      <w:r w:rsidRPr="009F3387">
        <w:rPr>
          <w:rFonts w:ascii="Bookman Old Style" w:hAnsi="Bookman Old Style"/>
          <w:i/>
        </w:rPr>
        <w:t>that the advocate behave themselves seemly and keep to the rules laid down by law; to exclude irrelevancies and discourage repetition</w:t>
      </w:r>
      <w:r w:rsidR="009F3387" w:rsidRPr="009F3387">
        <w:rPr>
          <w:rFonts w:ascii="Bookman Old Style" w:hAnsi="Bookman Old Style"/>
          <w:i/>
        </w:rPr>
        <w:t>; to make sure by wise intervention that</w:t>
      </w:r>
      <w:r w:rsidR="009B76ED">
        <w:rPr>
          <w:rFonts w:ascii="Bookman Old Style" w:hAnsi="Bookman Old Style"/>
          <w:i/>
        </w:rPr>
        <w:t xml:space="preserve"> he follows the points made by the advocates</w:t>
      </w:r>
      <w:r w:rsidR="009F3387" w:rsidRPr="009F3387">
        <w:rPr>
          <w:rFonts w:ascii="Bookman Old Style" w:hAnsi="Bookman Old Style"/>
          <w:i/>
        </w:rPr>
        <w:t xml:space="preserve"> and assess their worth and at the end to make up h</w:t>
      </w:r>
      <w:r w:rsidR="00FB395E">
        <w:rPr>
          <w:rFonts w:ascii="Bookman Old Style" w:hAnsi="Bookman Old Style"/>
          <w:i/>
        </w:rPr>
        <w:t>is mind where the truth lies. If he</w:t>
      </w:r>
      <w:r w:rsidR="009F3387" w:rsidRPr="009F3387">
        <w:rPr>
          <w:rFonts w:ascii="Bookman Old Style" w:hAnsi="Bookman Old Style"/>
          <w:i/>
        </w:rPr>
        <w:t xml:space="preserve"> goes beyond this, he drops the mantle of a judge and assumes the robe of an advocate; and the change does not become him well.”</w:t>
      </w:r>
    </w:p>
    <w:p w:rsidR="009F3387" w:rsidRDefault="009F3387" w:rsidP="007E13CF">
      <w:pPr>
        <w:spacing w:line="360" w:lineRule="auto"/>
        <w:jc w:val="both"/>
        <w:rPr>
          <w:rFonts w:ascii="Bookman Old Style" w:hAnsi="Bookman Old Style"/>
        </w:rPr>
      </w:pPr>
    </w:p>
    <w:p w:rsidR="00FB395E" w:rsidRDefault="00E776D4" w:rsidP="007E13CF">
      <w:pPr>
        <w:spacing w:line="360" w:lineRule="auto"/>
        <w:jc w:val="both"/>
        <w:rPr>
          <w:rFonts w:ascii="Bookman Old Style" w:hAnsi="Bookman Old Style"/>
        </w:rPr>
      </w:pPr>
      <w:r>
        <w:rPr>
          <w:rFonts w:ascii="Bookman Old Style" w:hAnsi="Bookman Old Style"/>
        </w:rPr>
        <w:t>The preceding</w:t>
      </w:r>
      <w:r w:rsidR="006E356C">
        <w:rPr>
          <w:rFonts w:ascii="Bookman Old Style" w:hAnsi="Bookman Old Style"/>
        </w:rPr>
        <w:t xml:space="preserve"> dictum was followed in the case of Zulu v Zambia Electricity </w:t>
      </w:r>
      <w:r w:rsidR="00EA5C38">
        <w:rPr>
          <w:rFonts w:ascii="Bookman Old Style" w:hAnsi="Bookman Old Style"/>
        </w:rPr>
        <w:t>Corporation</w:t>
      </w:r>
      <w:r w:rsidR="006E356C">
        <w:rPr>
          <w:rFonts w:ascii="Bookman Old Style" w:hAnsi="Bookman Old Style"/>
        </w:rPr>
        <w:t xml:space="preserve"> Limited (2005) Z.R. 39.</w:t>
      </w:r>
      <w:r w:rsidR="00EA5C38">
        <w:rPr>
          <w:rFonts w:ascii="Bookman Old Style" w:hAnsi="Bookman Old Style"/>
        </w:rPr>
        <w:t xml:space="preserve"> </w:t>
      </w:r>
      <w:r w:rsidR="00FB395E">
        <w:rPr>
          <w:rFonts w:ascii="Bookman Old Style" w:hAnsi="Bookman Old Style"/>
        </w:rPr>
        <w:t xml:space="preserve">I must state </w:t>
      </w:r>
      <w:r w:rsidR="00EA5C38">
        <w:rPr>
          <w:rFonts w:ascii="Bookman Old Style" w:hAnsi="Bookman Old Style"/>
        </w:rPr>
        <w:t xml:space="preserve">at once that the cases of </w:t>
      </w:r>
      <w:r w:rsidR="00EA5C38" w:rsidRPr="00EA5C38">
        <w:rPr>
          <w:rFonts w:ascii="Bookman Old Style" w:hAnsi="Bookman Old Style"/>
          <w:i/>
        </w:rPr>
        <w:t>Jones,</w:t>
      </w:r>
      <w:r>
        <w:rPr>
          <w:rFonts w:ascii="Bookman Old Style" w:hAnsi="Bookman Old Style"/>
          <w:i/>
        </w:rPr>
        <w:t xml:space="preserve"> and Zulu</w:t>
      </w:r>
      <w:r w:rsidR="00EA5C38">
        <w:rPr>
          <w:rFonts w:ascii="Bookman Old Style" w:hAnsi="Bookman Old Style"/>
        </w:rPr>
        <w:t xml:space="preserve"> </w:t>
      </w:r>
      <w:r w:rsidR="00FB395E">
        <w:rPr>
          <w:rFonts w:ascii="Bookman Old Style" w:hAnsi="Bookman Old Style"/>
        </w:rPr>
        <w:t>do not aid the resp</w:t>
      </w:r>
      <w:r w:rsidR="009B76ED">
        <w:rPr>
          <w:rFonts w:ascii="Bookman Old Style" w:hAnsi="Bookman Old Style"/>
        </w:rPr>
        <w:t xml:space="preserve">ondent’s case. The </w:t>
      </w:r>
      <w:r w:rsidR="009B76ED" w:rsidRPr="009B76ED">
        <w:rPr>
          <w:rFonts w:ascii="Bookman Old Style" w:hAnsi="Bookman Old Style"/>
          <w:i/>
        </w:rPr>
        <w:t xml:space="preserve">ratio </w:t>
      </w:r>
      <w:r w:rsidR="00EA5C38">
        <w:rPr>
          <w:rFonts w:ascii="Bookman Old Style" w:hAnsi="Bookman Old Style"/>
          <w:i/>
        </w:rPr>
        <w:t>decid</w:t>
      </w:r>
      <w:r>
        <w:rPr>
          <w:rFonts w:ascii="Bookman Old Style" w:hAnsi="Bookman Old Style"/>
          <w:i/>
        </w:rPr>
        <w:t>endi</w:t>
      </w:r>
      <w:r w:rsidR="00FB395E">
        <w:rPr>
          <w:rFonts w:ascii="Bookman Old Style" w:hAnsi="Bookman Old Style"/>
        </w:rPr>
        <w:t>, in these two cases is that although a trial judge has the judicial discretion to a</w:t>
      </w:r>
      <w:r w:rsidR="009B76ED">
        <w:rPr>
          <w:rFonts w:ascii="Bookman Old Style" w:hAnsi="Bookman Old Style"/>
        </w:rPr>
        <w:t>sk questions during the trial, he</w:t>
      </w:r>
      <w:r w:rsidR="00FB395E">
        <w:rPr>
          <w:rFonts w:ascii="Bookman Old Style" w:hAnsi="Bookman Old Style"/>
        </w:rPr>
        <w:t xml:space="preserve"> should not use his discretion to insert himself into the substantive questioning during the trial. A trial judge</w:t>
      </w:r>
      <w:r w:rsidR="009B76ED">
        <w:rPr>
          <w:rFonts w:ascii="Bookman Old Style" w:hAnsi="Bookman Old Style"/>
        </w:rPr>
        <w:t xml:space="preserve"> should ask questions only to clear a point. In a </w:t>
      </w:r>
      <w:r w:rsidR="00FB395E">
        <w:rPr>
          <w:rFonts w:ascii="Bookman Old Style" w:hAnsi="Bookman Old Style"/>
        </w:rPr>
        <w:t>word</w:t>
      </w:r>
      <w:r w:rsidR="00EA5C38">
        <w:rPr>
          <w:rFonts w:ascii="Bookman Old Style" w:hAnsi="Bookman Old Style"/>
        </w:rPr>
        <w:t>,</w:t>
      </w:r>
      <w:r w:rsidR="00FB395E">
        <w:rPr>
          <w:rFonts w:ascii="Bookman Old Style" w:hAnsi="Bookman Old Style"/>
        </w:rPr>
        <w:t xml:space="preserve"> </w:t>
      </w:r>
      <w:r w:rsidR="00EA5C38">
        <w:rPr>
          <w:rFonts w:ascii="Bookman Old Style" w:hAnsi="Bookman Old Style"/>
        </w:rPr>
        <w:t>a trial</w:t>
      </w:r>
      <w:r>
        <w:rPr>
          <w:rFonts w:ascii="Bookman Old Style" w:hAnsi="Bookman Old Style"/>
        </w:rPr>
        <w:t xml:space="preserve"> judge should not in the course</w:t>
      </w:r>
      <w:r w:rsidR="00EA5C38">
        <w:rPr>
          <w:rFonts w:ascii="Bookman Old Style" w:hAnsi="Bookman Old Style"/>
        </w:rPr>
        <w:t xml:space="preserve"> of the trial</w:t>
      </w:r>
      <w:r w:rsidR="00FB395E">
        <w:rPr>
          <w:rFonts w:ascii="Bookman Old Style" w:hAnsi="Bookman Old Style"/>
        </w:rPr>
        <w:t xml:space="preserve"> drop </w:t>
      </w:r>
      <w:r w:rsidR="009B76ED">
        <w:rPr>
          <w:rFonts w:ascii="Bookman Old Style" w:hAnsi="Bookman Old Style"/>
        </w:rPr>
        <w:t>the mantle</w:t>
      </w:r>
      <w:r w:rsidR="00FB395E">
        <w:rPr>
          <w:rFonts w:ascii="Bookman Old Style" w:hAnsi="Bookman Old Style"/>
        </w:rPr>
        <w:t xml:space="preserve"> of the judge</w:t>
      </w:r>
      <w:r w:rsidR="00EA5C38">
        <w:rPr>
          <w:rFonts w:ascii="Bookman Old Style" w:hAnsi="Bookman Old Style"/>
        </w:rPr>
        <w:t>,</w:t>
      </w:r>
      <w:r w:rsidR="00FB395E">
        <w:rPr>
          <w:rFonts w:ascii="Bookman Old Style" w:hAnsi="Bookman Old Style"/>
        </w:rPr>
        <w:t xml:space="preserve"> and assume the robe of an advocate. </w:t>
      </w:r>
    </w:p>
    <w:p w:rsidR="003067FD" w:rsidRDefault="009F3387" w:rsidP="007E13CF">
      <w:pPr>
        <w:spacing w:line="360" w:lineRule="auto"/>
        <w:jc w:val="both"/>
        <w:rPr>
          <w:rFonts w:ascii="Bookman Old Style" w:hAnsi="Bookman Old Style"/>
        </w:rPr>
      </w:pPr>
      <w:r>
        <w:rPr>
          <w:rFonts w:ascii="Bookman Old Style" w:hAnsi="Bookman Old Style"/>
        </w:rPr>
        <w:t xml:space="preserve">It was argued </w:t>
      </w:r>
      <w:r w:rsidR="00EA5C38">
        <w:rPr>
          <w:rFonts w:ascii="Bookman Old Style" w:hAnsi="Bookman Old Style"/>
        </w:rPr>
        <w:t xml:space="preserve">further </w:t>
      </w:r>
      <w:r>
        <w:rPr>
          <w:rFonts w:ascii="Bookman Old Style" w:hAnsi="Bookman Old Style"/>
        </w:rPr>
        <w:t xml:space="preserve">on behalf of the respondent that the </w:t>
      </w:r>
      <w:r w:rsidR="00FB395E">
        <w:rPr>
          <w:rFonts w:ascii="Bookman Old Style" w:hAnsi="Bookman Old Style"/>
        </w:rPr>
        <w:t>subject of examining</w:t>
      </w:r>
      <w:r w:rsidR="009B76ED">
        <w:rPr>
          <w:rFonts w:ascii="Bookman Old Style" w:hAnsi="Bookman Old Style"/>
        </w:rPr>
        <w:t xml:space="preserve"> </w:t>
      </w:r>
      <w:r>
        <w:rPr>
          <w:rFonts w:ascii="Bookman Old Style" w:hAnsi="Bookman Old Style"/>
        </w:rPr>
        <w:t>witnesses,</w:t>
      </w:r>
      <w:r w:rsidR="009B76ED">
        <w:rPr>
          <w:rFonts w:ascii="Bookman Old Style" w:hAnsi="Bookman Old Style"/>
        </w:rPr>
        <w:t xml:space="preserve"> is addressed in</w:t>
      </w:r>
      <w:r w:rsidR="003067FD">
        <w:rPr>
          <w:rFonts w:ascii="Bookman Old Style" w:hAnsi="Bookman Old Style"/>
        </w:rPr>
        <w:t xml:space="preserve"> </w:t>
      </w:r>
      <w:r w:rsidR="00FB395E">
        <w:rPr>
          <w:rFonts w:ascii="Bookman Old Style" w:hAnsi="Bookman Old Style"/>
        </w:rPr>
        <w:t>Article 18 (2) (e) of the Constitution. The relevant portions of A</w:t>
      </w:r>
      <w:r w:rsidR="003067FD">
        <w:rPr>
          <w:rFonts w:ascii="Bookman Old Style" w:hAnsi="Bookman Old Style"/>
        </w:rPr>
        <w:t>rticle 18 (2) (e), it was submitted, state as follows.</w:t>
      </w:r>
    </w:p>
    <w:p w:rsidR="003067FD" w:rsidRPr="009E0286" w:rsidRDefault="003067FD" w:rsidP="007E13CF">
      <w:pPr>
        <w:spacing w:line="360" w:lineRule="auto"/>
        <w:jc w:val="both"/>
        <w:rPr>
          <w:rFonts w:ascii="Bookman Old Style" w:hAnsi="Bookman Old Style"/>
          <w:i/>
        </w:rPr>
      </w:pPr>
      <w:r>
        <w:rPr>
          <w:rFonts w:ascii="Bookman Old Style" w:hAnsi="Bookman Old Style"/>
        </w:rPr>
        <w:t>“</w:t>
      </w:r>
      <w:r w:rsidRPr="009E0286">
        <w:rPr>
          <w:rFonts w:ascii="Bookman Old Style" w:hAnsi="Bookman Old Style"/>
          <w:i/>
        </w:rPr>
        <w:t>18</w:t>
      </w:r>
      <w:r w:rsidRPr="009E0286">
        <w:rPr>
          <w:rFonts w:ascii="Bookman Old Style" w:hAnsi="Bookman Old Style"/>
          <w:i/>
        </w:rPr>
        <w:tab/>
        <w:t xml:space="preserve"> (1) ...</w:t>
      </w:r>
    </w:p>
    <w:p w:rsidR="003067FD" w:rsidRPr="009E0286" w:rsidRDefault="00FB395E" w:rsidP="007E13CF">
      <w:pPr>
        <w:spacing w:line="360" w:lineRule="auto"/>
        <w:jc w:val="both"/>
        <w:rPr>
          <w:rFonts w:ascii="Bookman Old Style" w:hAnsi="Bookman Old Style"/>
          <w:i/>
        </w:rPr>
      </w:pPr>
      <w:r w:rsidRPr="009E0286">
        <w:rPr>
          <w:rFonts w:ascii="Bookman Old Style" w:hAnsi="Bookman Old Style"/>
          <w:i/>
        </w:rPr>
        <w:tab/>
        <w:t>(2) Every person who</w:t>
      </w:r>
      <w:r w:rsidR="003067FD" w:rsidRPr="009E0286">
        <w:rPr>
          <w:rFonts w:ascii="Bookman Old Style" w:hAnsi="Bookman Old Style"/>
          <w:i/>
        </w:rPr>
        <w:t xml:space="preserve"> is charged with a criminal offence____</w:t>
      </w:r>
    </w:p>
    <w:p w:rsidR="003067FD" w:rsidRPr="009E0286" w:rsidRDefault="003067FD" w:rsidP="007E13CF">
      <w:pPr>
        <w:spacing w:line="360" w:lineRule="auto"/>
        <w:jc w:val="both"/>
        <w:rPr>
          <w:rFonts w:ascii="Bookman Old Style" w:hAnsi="Bookman Old Style"/>
          <w:i/>
        </w:rPr>
      </w:pPr>
      <w:r w:rsidRPr="009E0286">
        <w:rPr>
          <w:rFonts w:ascii="Bookman Old Style" w:hAnsi="Bookman Old Style"/>
          <w:i/>
        </w:rPr>
        <w:t>(a)</w:t>
      </w:r>
      <w:r w:rsidRPr="009E0286">
        <w:rPr>
          <w:rFonts w:ascii="Bookman Old Style" w:hAnsi="Bookman Old Style"/>
          <w:i/>
        </w:rPr>
        <w:tab/>
        <w:t>......</w:t>
      </w:r>
    </w:p>
    <w:p w:rsidR="003067FD" w:rsidRPr="009E0286" w:rsidRDefault="003067FD" w:rsidP="007E13CF">
      <w:pPr>
        <w:spacing w:line="360" w:lineRule="auto"/>
        <w:jc w:val="both"/>
        <w:rPr>
          <w:rFonts w:ascii="Bookman Old Style" w:hAnsi="Bookman Old Style"/>
          <w:i/>
        </w:rPr>
      </w:pPr>
      <w:r w:rsidRPr="009E0286">
        <w:rPr>
          <w:rFonts w:ascii="Bookman Old Style" w:hAnsi="Bookman Old Style"/>
          <w:i/>
        </w:rPr>
        <w:t>(b)</w:t>
      </w:r>
      <w:r w:rsidRPr="009E0286">
        <w:rPr>
          <w:rFonts w:ascii="Bookman Old Style" w:hAnsi="Bookman Old Style"/>
          <w:i/>
        </w:rPr>
        <w:tab/>
        <w:t>......</w:t>
      </w:r>
    </w:p>
    <w:p w:rsidR="003067FD" w:rsidRPr="009E0286" w:rsidRDefault="003067FD" w:rsidP="007E13CF">
      <w:pPr>
        <w:spacing w:line="360" w:lineRule="auto"/>
        <w:jc w:val="both"/>
        <w:rPr>
          <w:rFonts w:ascii="Bookman Old Style" w:hAnsi="Bookman Old Style"/>
          <w:i/>
        </w:rPr>
      </w:pPr>
      <w:r w:rsidRPr="009E0286">
        <w:rPr>
          <w:rFonts w:ascii="Bookman Old Style" w:hAnsi="Bookman Old Style"/>
          <w:i/>
        </w:rPr>
        <w:t>(c)</w:t>
      </w:r>
      <w:r w:rsidRPr="009E0286">
        <w:rPr>
          <w:rFonts w:ascii="Bookman Old Style" w:hAnsi="Bookman Old Style"/>
          <w:i/>
        </w:rPr>
        <w:tab/>
        <w:t>......</w:t>
      </w:r>
    </w:p>
    <w:p w:rsidR="003067FD" w:rsidRPr="009E0286" w:rsidRDefault="003067FD" w:rsidP="007E13CF">
      <w:pPr>
        <w:spacing w:line="360" w:lineRule="auto"/>
        <w:jc w:val="both"/>
        <w:rPr>
          <w:rFonts w:ascii="Bookman Old Style" w:hAnsi="Bookman Old Style"/>
          <w:i/>
        </w:rPr>
      </w:pPr>
      <w:r w:rsidRPr="009E0286">
        <w:rPr>
          <w:rFonts w:ascii="Bookman Old Style" w:hAnsi="Bookman Old Style"/>
          <w:i/>
        </w:rPr>
        <w:t>(d)</w:t>
      </w:r>
      <w:r w:rsidRPr="009E0286">
        <w:rPr>
          <w:rFonts w:ascii="Bookman Old Style" w:hAnsi="Bookman Old Style"/>
          <w:i/>
        </w:rPr>
        <w:tab/>
        <w:t xml:space="preserve">Shall unless legal aid is granted to him in accordance with the law enacted by </w:t>
      </w:r>
      <w:r w:rsidR="00AD7E86" w:rsidRPr="009E0286">
        <w:rPr>
          <w:rFonts w:ascii="Bookman Old Style" w:hAnsi="Bookman Old Style"/>
          <w:i/>
        </w:rPr>
        <w:tab/>
      </w:r>
      <w:r w:rsidR="009B76ED" w:rsidRPr="009E0286">
        <w:rPr>
          <w:rFonts w:ascii="Bookman Old Style" w:hAnsi="Bookman Old Style"/>
          <w:i/>
        </w:rPr>
        <w:t>P</w:t>
      </w:r>
      <w:r w:rsidRPr="009E0286">
        <w:rPr>
          <w:rFonts w:ascii="Bookman Old Style" w:hAnsi="Bookman Old Style"/>
          <w:i/>
        </w:rPr>
        <w:t xml:space="preserve">arliament for such purpose be permitted to defend himself before the Court in </w:t>
      </w:r>
      <w:r w:rsidR="00AD7E86" w:rsidRPr="009E0286">
        <w:rPr>
          <w:rFonts w:ascii="Bookman Old Style" w:hAnsi="Bookman Old Style"/>
          <w:i/>
        </w:rPr>
        <w:tab/>
      </w:r>
      <w:r w:rsidRPr="009E0286">
        <w:rPr>
          <w:rFonts w:ascii="Bookman Old Style" w:hAnsi="Bookman Old Style"/>
          <w:i/>
        </w:rPr>
        <w:t xml:space="preserve">person, or at his own expense by a legal representative of his own choice. </w:t>
      </w:r>
    </w:p>
    <w:p w:rsidR="00AD7E86" w:rsidRPr="009E0286" w:rsidRDefault="00FB395E" w:rsidP="007E13CF">
      <w:pPr>
        <w:spacing w:line="360" w:lineRule="auto"/>
        <w:jc w:val="both"/>
        <w:rPr>
          <w:rFonts w:ascii="Bookman Old Style" w:hAnsi="Bookman Old Style"/>
          <w:i/>
        </w:rPr>
      </w:pPr>
      <w:r w:rsidRPr="009E0286">
        <w:rPr>
          <w:rFonts w:ascii="Bookman Old Style" w:hAnsi="Bookman Old Style"/>
          <w:i/>
        </w:rPr>
        <w:t>(e)</w:t>
      </w:r>
      <w:r w:rsidRPr="009E0286">
        <w:rPr>
          <w:rFonts w:ascii="Bookman Old Style" w:hAnsi="Bookman Old Style"/>
          <w:i/>
        </w:rPr>
        <w:tab/>
        <w:t>Shall be afforded</w:t>
      </w:r>
      <w:r w:rsidR="00AD7E86" w:rsidRPr="009E0286">
        <w:rPr>
          <w:rFonts w:ascii="Bookman Old Style" w:hAnsi="Bookman Old Style"/>
          <w:i/>
        </w:rPr>
        <w:t xml:space="preserve"> facilities to examine in person or by his legal representative </w:t>
      </w:r>
      <w:r w:rsidR="00AD7E86" w:rsidRPr="009E0286">
        <w:rPr>
          <w:rFonts w:ascii="Bookman Old Style" w:hAnsi="Bookman Old Style"/>
          <w:i/>
        </w:rPr>
        <w:tab/>
        <w:t>the witnesses called</w:t>
      </w:r>
      <w:r w:rsidRPr="009E0286">
        <w:rPr>
          <w:rFonts w:ascii="Bookman Old Style" w:hAnsi="Bookman Old Style"/>
          <w:i/>
        </w:rPr>
        <w:t xml:space="preserve"> by the prosecution before the C</w:t>
      </w:r>
      <w:r w:rsidR="00AD7E86" w:rsidRPr="009E0286">
        <w:rPr>
          <w:rFonts w:ascii="Bookman Old Style" w:hAnsi="Bookman Old Style"/>
          <w:i/>
        </w:rPr>
        <w:t xml:space="preserve">ourt and to obtain the </w:t>
      </w:r>
      <w:r w:rsidR="00AD7E86" w:rsidRPr="009E0286">
        <w:rPr>
          <w:rFonts w:ascii="Bookman Old Style" w:hAnsi="Bookman Old Style"/>
          <w:i/>
        </w:rPr>
        <w:tab/>
        <w:t>attendance and carry</w:t>
      </w:r>
      <w:r w:rsidRPr="009E0286">
        <w:rPr>
          <w:rFonts w:ascii="Bookman Old Style" w:hAnsi="Bookman Old Style"/>
          <w:i/>
        </w:rPr>
        <w:t xml:space="preserve"> </w:t>
      </w:r>
      <w:r w:rsidR="00AD7E86" w:rsidRPr="009E0286">
        <w:rPr>
          <w:rFonts w:ascii="Bookman Old Style" w:hAnsi="Bookman Old Style"/>
          <w:i/>
        </w:rPr>
        <w:t xml:space="preserve">out the examination of the witnesses to testify on his </w:t>
      </w:r>
      <w:r w:rsidR="00AD7E86" w:rsidRPr="009E0286">
        <w:rPr>
          <w:rFonts w:ascii="Bookman Old Style" w:hAnsi="Bookman Old Style"/>
          <w:i/>
        </w:rPr>
        <w:tab/>
        <w:t>b</w:t>
      </w:r>
      <w:r w:rsidRPr="009E0286">
        <w:rPr>
          <w:rFonts w:ascii="Bookman Old Style" w:hAnsi="Bookman Old Style"/>
          <w:i/>
        </w:rPr>
        <w:t>ehalf before the Court on the sa</w:t>
      </w:r>
      <w:r w:rsidR="00AD7E86" w:rsidRPr="009E0286">
        <w:rPr>
          <w:rFonts w:ascii="Bookman Old Style" w:hAnsi="Bookman Old Style"/>
          <w:i/>
        </w:rPr>
        <w:t xml:space="preserve">me conditions as those applying to witnesses </w:t>
      </w:r>
      <w:r w:rsidR="00AD7E86" w:rsidRPr="009E0286">
        <w:rPr>
          <w:rFonts w:ascii="Bookman Old Style" w:hAnsi="Bookman Old Style"/>
          <w:i/>
        </w:rPr>
        <w:tab/>
        <w:t xml:space="preserve">called by the prosecution. </w:t>
      </w:r>
    </w:p>
    <w:p w:rsidR="00AD7E86" w:rsidRDefault="00AD7E86" w:rsidP="007E13CF">
      <w:pPr>
        <w:spacing w:line="360" w:lineRule="auto"/>
        <w:jc w:val="both"/>
        <w:rPr>
          <w:rFonts w:ascii="Bookman Old Style" w:hAnsi="Bookman Old Style"/>
        </w:rPr>
      </w:pPr>
    </w:p>
    <w:p w:rsidR="00F44C5F" w:rsidRDefault="00AD7E86" w:rsidP="007E13CF">
      <w:pPr>
        <w:spacing w:line="360" w:lineRule="auto"/>
        <w:jc w:val="both"/>
        <w:rPr>
          <w:rFonts w:ascii="Bookman Old Style" w:hAnsi="Bookman Old Style"/>
        </w:rPr>
      </w:pPr>
      <w:r>
        <w:rPr>
          <w:rFonts w:ascii="Bookman Old Style" w:hAnsi="Bookman Old Style"/>
        </w:rPr>
        <w:t>It was argued on behalf of the respondent that the petitioner has g</w:t>
      </w:r>
      <w:r w:rsidR="00FB395E">
        <w:rPr>
          <w:rFonts w:ascii="Bookman Old Style" w:hAnsi="Bookman Old Style"/>
        </w:rPr>
        <w:t>lossed over the fact that the wording of A</w:t>
      </w:r>
      <w:r>
        <w:rPr>
          <w:rFonts w:ascii="Bookman Old Style" w:hAnsi="Bookman Old Style"/>
        </w:rPr>
        <w:t xml:space="preserve">rticle 18 (2) (e) is confined to criminal proceedings. </w:t>
      </w:r>
      <w:r w:rsidR="009E0286">
        <w:rPr>
          <w:rFonts w:ascii="Bookman Old Style" w:hAnsi="Bookman Old Style"/>
        </w:rPr>
        <w:t>It is contended that the rest of</w:t>
      </w:r>
      <w:r>
        <w:rPr>
          <w:rFonts w:ascii="Bookman Old Style" w:hAnsi="Bookman Old Style"/>
        </w:rPr>
        <w:t xml:space="preserve"> the sub-articles of Article 1</w:t>
      </w:r>
      <w:r w:rsidR="00FB395E">
        <w:rPr>
          <w:rFonts w:ascii="Bookman Old Style" w:hAnsi="Bookman Old Style"/>
        </w:rPr>
        <w:t>8 and Article 28 do not extend</w:t>
      </w:r>
      <w:r>
        <w:rPr>
          <w:rFonts w:ascii="Bookman Old Style" w:hAnsi="Bookman Old Style"/>
        </w:rPr>
        <w:t xml:space="preserve"> to civil proceedings. </w:t>
      </w:r>
      <w:r w:rsidR="00D80F4D">
        <w:rPr>
          <w:rFonts w:ascii="Bookman Old Style" w:hAnsi="Bookman Old Style"/>
        </w:rPr>
        <w:t>Thus it was argued strenuously that the petitioner’s witnesses should testify in chief without the aid of the petitioner. And thereafter should be subjected to cross examination by respondents counsel, before testifying in “re-examination,” again</w:t>
      </w:r>
      <w:r w:rsidR="00EA5C38">
        <w:rPr>
          <w:rFonts w:ascii="Bookman Old Style" w:hAnsi="Bookman Old Style"/>
        </w:rPr>
        <w:t>,</w:t>
      </w:r>
      <w:r w:rsidR="00D80F4D">
        <w:rPr>
          <w:rFonts w:ascii="Bookman Old Style" w:hAnsi="Bookman Old Style"/>
        </w:rPr>
        <w:t xml:space="preserve"> unaided. It was urged that the petitioner</w:t>
      </w:r>
      <w:r w:rsidR="00FB395E">
        <w:rPr>
          <w:rFonts w:ascii="Bookman Old Style" w:hAnsi="Bookman Old Style"/>
        </w:rPr>
        <w:t>’s testimony should also follow</w:t>
      </w:r>
      <w:r w:rsidR="00D80F4D">
        <w:rPr>
          <w:rFonts w:ascii="Bookman Old Style" w:hAnsi="Bookman Old Style"/>
        </w:rPr>
        <w:t xml:space="preserve"> the pattern suggested above. It was</w:t>
      </w:r>
      <w:r w:rsidR="009E0286">
        <w:rPr>
          <w:rFonts w:ascii="Bookman Old Style" w:hAnsi="Bookman Old Style"/>
        </w:rPr>
        <w:t xml:space="preserve"> further</w:t>
      </w:r>
      <w:r w:rsidR="00D80F4D">
        <w:rPr>
          <w:rFonts w:ascii="Bookman Old Style" w:hAnsi="Bookman Old Style"/>
        </w:rPr>
        <w:t xml:space="preserve"> pres</w:t>
      </w:r>
      <w:r w:rsidR="00FB395E">
        <w:rPr>
          <w:rFonts w:ascii="Bookman Old Style" w:hAnsi="Bookman Old Style"/>
        </w:rPr>
        <w:t xml:space="preserve">sed </w:t>
      </w:r>
      <w:r w:rsidR="00D80F4D">
        <w:rPr>
          <w:rFonts w:ascii="Bookman Old Style" w:hAnsi="Bookman Old Style"/>
        </w:rPr>
        <w:t xml:space="preserve">that the petitioner should not be permitted to vacillate within the same proceedings from </w:t>
      </w:r>
      <w:r w:rsidR="00FB395E">
        <w:rPr>
          <w:rFonts w:ascii="Bookman Old Style" w:hAnsi="Bookman Old Style"/>
        </w:rPr>
        <w:t xml:space="preserve">the </w:t>
      </w:r>
      <w:r w:rsidR="009E0286">
        <w:rPr>
          <w:rFonts w:ascii="Bookman Old Style" w:hAnsi="Bookman Old Style"/>
        </w:rPr>
        <w:t>bar to the witness</w:t>
      </w:r>
      <w:r w:rsidR="00D80F4D">
        <w:rPr>
          <w:rFonts w:ascii="Bookman Old Style" w:hAnsi="Bookman Old Style"/>
        </w:rPr>
        <w:t xml:space="preserve"> box and </w:t>
      </w:r>
      <w:r w:rsidR="00D80F4D" w:rsidRPr="00E95FEA">
        <w:rPr>
          <w:rFonts w:ascii="Bookman Old Style" w:hAnsi="Bookman Old Style"/>
          <w:i/>
        </w:rPr>
        <w:t>vice versa.</w:t>
      </w:r>
      <w:r w:rsidR="00FB0107">
        <w:rPr>
          <w:rFonts w:ascii="Bookman Old Style" w:hAnsi="Bookman Old Style"/>
        </w:rPr>
        <w:t xml:space="preserve"> Lastly, it was argued that since the petitioner elected not to instruct counsel, he shou</w:t>
      </w:r>
      <w:r w:rsidR="00E95FEA">
        <w:rPr>
          <w:rFonts w:ascii="Bookman Old Style" w:hAnsi="Bookman Old Style"/>
        </w:rPr>
        <w:t>ld not be allowed to abuse the C</w:t>
      </w:r>
      <w:r w:rsidR="00FB0107">
        <w:rPr>
          <w:rFonts w:ascii="Bookman Old Style" w:hAnsi="Bookman Old Style"/>
        </w:rPr>
        <w:t xml:space="preserve">onstitution by having his </w:t>
      </w:r>
      <w:r w:rsidR="00F44C5F">
        <w:rPr>
          <w:rFonts w:ascii="Bookman Old Style" w:hAnsi="Bookman Old Style"/>
        </w:rPr>
        <w:t>case hear</w:t>
      </w:r>
      <w:r w:rsidR="00E95FEA">
        <w:rPr>
          <w:rFonts w:ascii="Bookman Old Style" w:hAnsi="Bookman Old Style"/>
        </w:rPr>
        <w:t>d</w:t>
      </w:r>
      <w:r w:rsidR="00F44C5F">
        <w:rPr>
          <w:rFonts w:ascii="Bookman Old Style" w:hAnsi="Bookman Old Style"/>
        </w:rPr>
        <w:t xml:space="preserve"> in a manner that is not provided for by law. </w:t>
      </w:r>
    </w:p>
    <w:p w:rsidR="00F44C5F" w:rsidRDefault="00F44C5F" w:rsidP="007E13CF">
      <w:pPr>
        <w:spacing w:line="360" w:lineRule="auto"/>
        <w:jc w:val="both"/>
        <w:rPr>
          <w:rFonts w:ascii="Bookman Old Style" w:hAnsi="Bookman Old Style"/>
        </w:rPr>
      </w:pPr>
    </w:p>
    <w:p w:rsidR="005B6883" w:rsidRDefault="00F44C5F" w:rsidP="007E13CF">
      <w:pPr>
        <w:spacing w:line="360" w:lineRule="auto"/>
        <w:jc w:val="both"/>
        <w:rPr>
          <w:rFonts w:ascii="Bookman Old Style" w:hAnsi="Bookman Old Style"/>
        </w:rPr>
      </w:pPr>
      <w:r>
        <w:rPr>
          <w:rFonts w:ascii="Bookman Old Style" w:hAnsi="Bookman Old Style"/>
        </w:rPr>
        <w:t>The petitioner also filed his written submissions on 13</w:t>
      </w:r>
      <w:r w:rsidRPr="00F44C5F">
        <w:rPr>
          <w:rFonts w:ascii="Bookman Old Style" w:hAnsi="Bookman Old Style"/>
          <w:vertAlign w:val="superscript"/>
        </w:rPr>
        <w:t>th</w:t>
      </w:r>
      <w:r>
        <w:rPr>
          <w:rFonts w:ascii="Bookman Old Style" w:hAnsi="Bookman Old Style"/>
        </w:rPr>
        <w:t xml:space="preserve"> April, 2011. </w:t>
      </w:r>
      <w:r w:rsidR="00E95FEA">
        <w:rPr>
          <w:rFonts w:ascii="Bookman Old Style" w:hAnsi="Bookman Old Style"/>
        </w:rPr>
        <w:t>T</w:t>
      </w:r>
      <w:r>
        <w:rPr>
          <w:rFonts w:ascii="Bookman Old Style" w:hAnsi="Bookman Old Style"/>
        </w:rPr>
        <w:t xml:space="preserve">he petitioner submitted as follows: </w:t>
      </w:r>
      <w:r w:rsidR="00E95FEA">
        <w:rPr>
          <w:rFonts w:ascii="Bookman Old Style" w:hAnsi="Bookman Old Style"/>
        </w:rPr>
        <w:t xml:space="preserve">that </w:t>
      </w:r>
      <w:r w:rsidR="00E776D4">
        <w:rPr>
          <w:rFonts w:ascii="Bookman Old Style" w:hAnsi="Bookman Old Style"/>
        </w:rPr>
        <w:t>at the commencement of</w:t>
      </w:r>
      <w:r>
        <w:rPr>
          <w:rFonts w:ascii="Bookman Old Style" w:hAnsi="Bookman Old Style"/>
        </w:rPr>
        <w:t xml:space="preserve"> </w:t>
      </w:r>
      <w:r w:rsidR="00E95FEA">
        <w:rPr>
          <w:rFonts w:ascii="Bookman Old Style" w:hAnsi="Bookman Old Style"/>
        </w:rPr>
        <w:t>the</w:t>
      </w:r>
      <w:r>
        <w:rPr>
          <w:rFonts w:ascii="Bookman Old Style" w:hAnsi="Bookman Old Style"/>
        </w:rPr>
        <w:t xml:space="preserve"> hearing on 8</w:t>
      </w:r>
      <w:r w:rsidRPr="00F44C5F">
        <w:rPr>
          <w:rFonts w:ascii="Bookman Old Style" w:hAnsi="Bookman Old Style"/>
          <w:vertAlign w:val="superscript"/>
        </w:rPr>
        <w:t>th</w:t>
      </w:r>
      <w:r w:rsidR="009E0286">
        <w:rPr>
          <w:rFonts w:ascii="Bookman Old Style" w:hAnsi="Bookman Old Style"/>
        </w:rPr>
        <w:t xml:space="preserve"> April, 2011</w:t>
      </w:r>
      <w:r w:rsidR="00EA5C38">
        <w:rPr>
          <w:rFonts w:ascii="Bookman Old Style" w:hAnsi="Bookman Old Style"/>
        </w:rPr>
        <w:t>,</w:t>
      </w:r>
      <w:r w:rsidR="009E0286">
        <w:rPr>
          <w:rFonts w:ascii="Bookman Old Style" w:hAnsi="Bookman Old Style"/>
        </w:rPr>
        <w:t xml:space="preserve"> counsel</w:t>
      </w:r>
      <w:r>
        <w:rPr>
          <w:rFonts w:ascii="Bookman Old Style" w:hAnsi="Bookman Old Style"/>
        </w:rPr>
        <w:t xml:space="preserve"> for the respo</w:t>
      </w:r>
      <w:r w:rsidR="00EA5C38">
        <w:rPr>
          <w:rFonts w:ascii="Bookman Old Style" w:hAnsi="Bookman Old Style"/>
        </w:rPr>
        <w:t xml:space="preserve">ndent raised an oral objection </w:t>
      </w:r>
      <w:r>
        <w:rPr>
          <w:rFonts w:ascii="Bookman Old Style" w:hAnsi="Bookman Old Style"/>
        </w:rPr>
        <w:t>o</w:t>
      </w:r>
      <w:r w:rsidR="00EA5C38">
        <w:rPr>
          <w:rFonts w:ascii="Bookman Old Style" w:hAnsi="Bookman Old Style"/>
        </w:rPr>
        <w:t>f</w:t>
      </w:r>
      <w:r>
        <w:rPr>
          <w:rFonts w:ascii="Bookman Old Style" w:hAnsi="Bookman Old Style"/>
        </w:rPr>
        <w:t xml:space="preserve"> the effect that an unrepresented l</w:t>
      </w:r>
      <w:r w:rsidR="009E0286">
        <w:rPr>
          <w:rFonts w:ascii="Bookman Old Style" w:hAnsi="Bookman Old Style"/>
        </w:rPr>
        <w:t xml:space="preserve">itigant has not right to </w:t>
      </w:r>
      <w:r>
        <w:rPr>
          <w:rFonts w:ascii="Bookman Old Style" w:hAnsi="Bookman Old Style"/>
        </w:rPr>
        <w:t>examine in chief his own witnesses. According</w:t>
      </w:r>
      <w:r w:rsidR="00E95FEA">
        <w:rPr>
          <w:rFonts w:ascii="Bookman Old Style" w:hAnsi="Bookman Old Style"/>
        </w:rPr>
        <w:t xml:space="preserve"> to</w:t>
      </w:r>
      <w:r>
        <w:rPr>
          <w:rFonts w:ascii="Bookman Old Style" w:hAnsi="Bookman Old Style"/>
        </w:rPr>
        <w:t xml:space="preserve"> the respondent’s counsel, </w:t>
      </w:r>
      <w:r w:rsidR="00E95FEA">
        <w:rPr>
          <w:rFonts w:ascii="Bookman Old Style" w:hAnsi="Bookman Old Style"/>
        </w:rPr>
        <w:t xml:space="preserve">such a </w:t>
      </w:r>
      <w:r>
        <w:rPr>
          <w:rFonts w:ascii="Bookman Old Style" w:hAnsi="Bookman Old Style"/>
        </w:rPr>
        <w:t xml:space="preserve">procedure is the strict prerogative of </w:t>
      </w:r>
      <w:r w:rsidR="009E0286">
        <w:rPr>
          <w:rFonts w:ascii="Bookman Old Style" w:hAnsi="Bookman Old Style"/>
        </w:rPr>
        <w:t>a litigant defended</w:t>
      </w:r>
      <w:r w:rsidR="00E95FEA">
        <w:rPr>
          <w:rFonts w:ascii="Bookman Old Style" w:hAnsi="Bookman Old Style"/>
        </w:rPr>
        <w:t xml:space="preserve"> by counsel.</w:t>
      </w:r>
      <w:r>
        <w:rPr>
          <w:rFonts w:ascii="Bookman Old Style" w:hAnsi="Bookman Old Style"/>
        </w:rPr>
        <w:t xml:space="preserve"> </w:t>
      </w:r>
      <w:r w:rsidR="00E95FEA">
        <w:rPr>
          <w:rFonts w:ascii="Bookman Old Style" w:hAnsi="Bookman Old Style"/>
        </w:rPr>
        <w:t>The petitioner submitted that n</w:t>
      </w:r>
      <w:r>
        <w:rPr>
          <w:rFonts w:ascii="Bookman Old Style" w:hAnsi="Bookman Old Style"/>
        </w:rPr>
        <w:t xml:space="preserve">o rule of law or practice was cited in support of the objection. The petitioner contends that </w:t>
      </w:r>
      <w:r w:rsidR="00E95FEA">
        <w:rPr>
          <w:rFonts w:ascii="Bookman Old Style" w:hAnsi="Bookman Old Style"/>
        </w:rPr>
        <w:t xml:space="preserve">an </w:t>
      </w:r>
      <w:r>
        <w:rPr>
          <w:rFonts w:ascii="Bookman Old Style" w:hAnsi="Bookman Old Style"/>
        </w:rPr>
        <w:t>unrepresented litigant has the legal right to e</w:t>
      </w:r>
      <w:r w:rsidR="00E95FEA">
        <w:rPr>
          <w:rFonts w:ascii="Bookman Old Style" w:hAnsi="Bookman Old Style"/>
        </w:rPr>
        <w:t>xamine in chief his own witness</w:t>
      </w:r>
      <w:r>
        <w:rPr>
          <w:rFonts w:ascii="Bookman Old Style" w:hAnsi="Bookman Old Style"/>
        </w:rPr>
        <w:t>(es). Further</w:t>
      </w:r>
      <w:r w:rsidR="009E0286">
        <w:rPr>
          <w:rFonts w:ascii="Bookman Old Style" w:hAnsi="Bookman Old Style"/>
        </w:rPr>
        <w:t xml:space="preserve">, </w:t>
      </w:r>
      <w:r w:rsidR="00E95FEA">
        <w:rPr>
          <w:rFonts w:ascii="Bookman Old Style" w:hAnsi="Bookman Old Style"/>
        </w:rPr>
        <w:t>the petitioner contends</w:t>
      </w:r>
      <w:r>
        <w:rPr>
          <w:rFonts w:ascii="Bookman Old Style" w:hAnsi="Bookman Old Style"/>
        </w:rPr>
        <w:t xml:space="preserve">, </w:t>
      </w:r>
      <w:r w:rsidR="009E0286">
        <w:rPr>
          <w:rFonts w:ascii="Bookman Old Style" w:hAnsi="Bookman Old Style"/>
        </w:rPr>
        <w:t xml:space="preserve">that </w:t>
      </w:r>
      <w:r>
        <w:rPr>
          <w:rFonts w:ascii="Bookman Old Style" w:hAnsi="Bookman Old Style"/>
        </w:rPr>
        <w:t xml:space="preserve">an unrepresented litigant enjoys the same rights and privileges as </w:t>
      </w:r>
      <w:r w:rsidR="00F323F5">
        <w:rPr>
          <w:rFonts w:ascii="Bookman Old Style" w:hAnsi="Bookman Old Style"/>
        </w:rPr>
        <w:t>a litigant who is represented</w:t>
      </w:r>
      <w:r>
        <w:rPr>
          <w:rFonts w:ascii="Bookman Old Style" w:hAnsi="Bookman Old Style"/>
        </w:rPr>
        <w:t xml:space="preserve"> </w:t>
      </w:r>
      <w:r w:rsidR="00F323F5">
        <w:rPr>
          <w:rFonts w:ascii="Bookman Old Style" w:hAnsi="Bookman Old Style"/>
        </w:rPr>
        <w:t xml:space="preserve">in </w:t>
      </w:r>
      <w:r w:rsidR="00EA5C38">
        <w:rPr>
          <w:rFonts w:ascii="Bookman Old Style" w:hAnsi="Bookman Old Style"/>
        </w:rPr>
        <w:t xml:space="preserve">relation to the </w:t>
      </w:r>
      <w:r>
        <w:rPr>
          <w:rFonts w:ascii="Bookman Old Style" w:hAnsi="Bookman Old Style"/>
        </w:rPr>
        <w:t>examination of witnesses</w:t>
      </w:r>
      <w:r w:rsidR="009E0286">
        <w:rPr>
          <w:rFonts w:ascii="Bookman Old Style" w:hAnsi="Bookman Old Style"/>
        </w:rPr>
        <w:t xml:space="preserve"> in civil proceedings</w:t>
      </w:r>
      <w:r w:rsidR="00F323F5">
        <w:rPr>
          <w:rFonts w:ascii="Bookman Old Style" w:hAnsi="Bookman Old Style"/>
        </w:rPr>
        <w:t>. Thus i</w:t>
      </w:r>
      <w:r>
        <w:rPr>
          <w:rFonts w:ascii="Bookman Old Style" w:hAnsi="Bookman Old Style"/>
        </w:rPr>
        <w:t xml:space="preserve">t was urged that I can only rule otherwise if there is an express prohibition stipulated by either </w:t>
      </w:r>
      <w:r w:rsidR="00F323F5">
        <w:rPr>
          <w:rFonts w:ascii="Bookman Old Style" w:hAnsi="Bookman Old Style"/>
        </w:rPr>
        <w:t>written law, or the common law of England. It wa</w:t>
      </w:r>
      <w:r>
        <w:rPr>
          <w:rFonts w:ascii="Bookman Old Style" w:hAnsi="Bookman Old Style"/>
        </w:rPr>
        <w:t xml:space="preserve">s also </w:t>
      </w:r>
      <w:r w:rsidR="00F323F5">
        <w:rPr>
          <w:rFonts w:ascii="Bookman Old Style" w:hAnsi="Bookman Old Style"/>
        </w:rPr>
        <w:t xml:space="preserve">argued that it is </w:t>
      </w:r>
      <w:r>
        <w:rPr>
          <w:rFonts w:ascii="Bookman Old Style" w:hAnsi="Bookman Old Style"/>
        </w:rPr>
        <w:t xml:space="preserve">an elementary </w:t>
      </w:r>
      <w:r w:rsidR="00F323F5">
        <w:rPr>
          <w:rFonts w:ascii="Bookman Old Style" w:hAnsi="Bookman Old Style"/>
        </w:rPr>
        <w:t>maxi</w:t>
      </w:r>
      <w:r w:rsidR="005B6883">
        <w:rPr>
          <w:rFonts w:ascii="Bookman Old Style" w:hAnsi="Bookman Old Style"/>
        </w:rPr>
        <w:t xml:space="preserve">m of the rule of law that whatever is not prohibited by law must be lawful. </w:t>
      </w:r>
    </w:p>
    <w:p w:rsidR="005B6883" w:rsidRDefault="005B6883" w:rsidP="007E13CF">
      <w:pPr>
        <w:spacing w:line="360" w:lineRule="auto"/>
        <w:jc w:val="both"/>
        <w:rPr>
          <w:rFonts w:ascii="Bookman Old Style" w:hAnsi="Bookman Old Style"/>
        </w:rPr>
      </w:pPr>
    </w:p>
    <w:p w:rsidR="005B6883" w:rsidRDefault="005B6883" w:rsidP="007E13CF">
      <w:pPr>
        <w:spacing w:line="360" w:lineRule="auto"/>
        <w:jc w:val="both"/>
        <w:rPr>
          <w:rFonts w:ascii="Bookman Old Style" w:hAnsi="Bookman Old Style"/>
        </w:rPr>
      </w:pPr>
      <w:r>
        <w:rPr>
          <w:rFonts w:ascii="Bookman Old Style" w:hAnsi="Bookman Old Style"/>
        </w:rPr>
        <w:t>The petition</w:t>
      </w:r>
      <w:r w:rsidR="00F323F5">
        <w:rPr>
          <w:rFonts w:ascii="Bookman Old Style" w:hAnsi="Bookman Old Style"/>
        </w:rPr>
        <w:t xml:space="preserve">er </w:t>
      </w:r>
      <w:r w:rsidR="009E0286">
        <w:rPr>
          <w:rFonts w:ascii="Bookman Old Style" w:hAnsi="Bookman Old Style"/>
        </w:rPr>
        <w:t xml:space="preserve">also </w:t>
      </w:r>
      <w:r w:rsidR="00F323F5">
        <w:rPr>
          <w:rFonts w:ascii="Bookman Old Style" w:hAnsi="Bookman Old Style"/>
        </w:rPr>
        <w:t>submitted that according to O</w:t>
      </w:r>
      <w:r>
        <w:rPr>
          <w:rFonts w:ascii="Bookman Old Style" w:hAnsi="Bookman Old Style"/>
        </w:rPr>
        <w:t xml:space="preserve">rder 5, Rule 24, of the High Court Rules there is no </w:t>
      </w:r>
      <w:r w:rsidR="009E0286">
        <w:rPr>
          <w:rFonts w:ascii="Bookman Old Style" w:hAnsi="Bookman Old Style"/>
        </w:rPr>
        <w:t xml:space="preserve">provision </w:t>
      </w:r>
      <w:r>
        <w:rPr>
          <w:rFonts w:ascii="Bookman Old Style" w:hAnsi="Bookman Old Style"/>
        </w:rPr>
        <w:t>barring an unrepresented litigant from examining in chief his own witness during a civil trial. On the co</w:t>
      </w:r>
      <w:r w:rsidR="00F323F5">
        <w:rPr>
          <w:rFonts w:ascii="Bookman Old Style" w:hAnsi="Bookman Old Style"/>
        </w:rPr>
        <w:t>ntrary, it was canvassed that O</w:t>
      </w:r>
      <w:r w:rsidR="00EA5C38">
        <w:rPr>
          <w:rFonts w:ascii="Bookman Old Style" w:hAnsi="Bookman Old Style"/>
        </w:rPr>
        <w:t>rder 5, R</w:t>
      </w:r>
      <w:r>
        <w:rPr>
          <w:rFonts w:ascii="Bookman Old Style" w:hAnsi="Bookman Old Style"/>
        </w:rPr>
        <w:t>ule 24, stipulates that: “</w:t>
      </w:r>
      <w:r w:rsidR="00F323F5">
        <w:rPr>
          <w:rFonts w:ascii="Bookman Old Style" w:hAnsi="Bookman Old Style"/>
          <w:i/>
        </w:rPr>
        <w:t>the witnesses at the tr</w:t>
      </w:r>
      <w:r w:rsidRPr="005B6883">
        <w:rPr>
          <w:rFonts w:ascii="Bookman Old Style" w:hAnsi="Bookman Old Style"/>
          <w:i/>
        </w:rPr>
        <w:t>i</w:t>
      </w:r>
      <w:r w:rsidR="00F323F5">
        <w:rPr>
          <w:rFonts w:ascii="Bookman Old Style" w:hAnsi="Bookman Old Style"/>
          <w:i/>
        </w:rPr>
        <w:t>a</w:t>
      </w:r>
      <w:r w:rsidRPr="005B6883">
        <w:rPr>
          <w:rFonts w:ascii="Bookman Old Style" w:hAnsi="Bookman Old Style"/>
          <w:i/>
        </w:rPr>
        <w:t>l or any suit shall be examined viva voce</w:t>
      </w:r>
      <w:r>
        <w:rPr>
          <w:rFonts w:ascii="Bookman Old Style" w:hAnsi="Bookman Old Style"/>
        </w:rPr>
        <w:t>.” The “</w:t>
      </w:r>
      <w:r w:rsidRPr="005B6883">
        <w:rPr>
          <w:rFonts w:ascii="Bookman Old Style" w:hAnsi="Bookman Old Style"/>
          <w:i/>
        </w:rPr>
        <w:t>examination,</w:t>
      </w:r>
      <w:r>
        <w:rPr>
          <w:rFonts w:ascii="Bookman Old Style" w:hAnsi="Bookman Old Style"/>
        </w:rPr>
        <w:t>” it was argu</w:t>
      </w:r>
      <w:r w:rsidR="00F323F5">
        <w:rPr>
          <w:rFonts w:ascii="Bookman Old Style" w:hAnsi="Bookman Old Style"/>
        </w:rPr>
        <w:t xml:space="preserve">ed, encapsulates: </w:t>
      </w:r>
      <w:r>
        <w:rPr>
          <w:rFonts w:ascii="Bookman Old Style" w:hAnsi="Bookman Old Style"/>
        </w:rPr>
        <w:t xml:space="preserve">examination in chief; cross-examination; and re-examination. </w:t>
      </w:r>
    </w:p>
    <w:p w:rsidR="005B6883" w:rsidRDefault="005B6883" w:rsidP="007E13CF">
      <w:pPr>
        <w:spacing w:line="360" w:lineRule="auto"/>
        <w:jc w:val="both"/>
        <w:rPr>
          <w:rFonts w:ascii="Bookman Old Style" w:hAnsi="Bookman Old Style"/>
        </w:rPr>
      </w:pPr>
    </w:p>
    <w:p w:rsidR="00D425D4" w:rsidRDefault="005B6883" w:rsidP="007E13CF">
      <w:pPr>
        <w:spacing w:line="360" w:lineRule="auto"/>
        <w:jc w:val="both"/>
        <w:rPr>
          <w:rFonts w:ascii="Bookman Old Style" w:hAnsi="Bookman Old Style"/>
        </w:rPr>
      </w:pPr>
      <w:r>
        <w:rPr>
          <w:rFonts w:ascii="Bookman Old Style" w:hAnsi="Bookman Old Style"/>
        </w:rPr>
        <w:t xml:space="preserve">The petitioner </w:t>
      </w:r>
      <w:r w:rsidR="009E0286">
        <w:rPr>
          <w:rFonts w:ascii="Bookman Old Style" w:hAnsi="Bookman Old Style"/>
        </w:rPr>
        <w:t>further</w:t>
      </w:r>
      <w:r w:rsidR="006F2F10">
        <w:rPr>
          <w:rFonts w:ascii="Bookman Old Style" w:hAnsi="Bookman Old Style"/>
        </w:rPr>
        <w:t xml:space="preserve"> </w:t>
      </w:r>
      <w:r>
        <w:rPr>
          <w:rFonts w:ascii="Bookman Old Style" w:hAnsi="Bookman Old Style"/>
        </w:rPr>
        <w:t>sub</w:t>
      </w:r>
      <w:r w:rsidR="006F2F10">
        <w:rPr>
          <w:rFonts w:ascii="Bookman Old Style" w:hAnsi="Bookman Old Style"/>
        </w:rPr>
        <w:t>mitted that while the C</w:t>
      </w:r>
      <w:r>
        <w:rPr>
          <w:rFonts w:ascii="Bookman Old Style" w:hAnsi="Bookman Old Style"/>
        </w:rPr>
        <w:t>onstitution is silent on civil proceedings, Article 18 (2) (e) unequi</w:t>
      </w:r>
      <w:r w:rsidR="006F2F10">
        <w:rPr>
          <w:rFonts w:ascii="Bookman Old Style" w:hAnsi="Bookman Old Style"/>
        </w:rPr>
        <w:t>vocally enshrines a sacrosanct C</w:t>
      </w:r>
      <w:r>
        <w:rPr>
          <w:rFonts w:ascii="Bookman Old Style" w:hAnsi="Bookman Old Style"/>
        </w:rPr>
        <w:t>onstitution</w:t>
      </w:r>
      <w:r w:rsidR="006F2F10">
        <w:rPr>
          <w:rFonts w:ascii="Bookman Old Style" w:hAnsi="Bookman Old Style"/>
        </w:rPr>
        <w:t>al</w:t>
      </w:r>
      <w:r>
        <w:rPr>
          <w:rFonts w:ascii="Bookman Old Style" w:hAnsi="Bookman Old Style"/>
        </w:rPr>
        <w:t xml:space="preserve"> principle that</w:t>
      </w:r>
      <w:r w:rsidR="009E0286">
        <w:rPr>
          <w:rFonts w:ascii="Bookman Old Style" w:hAnsi="Bookman Old Style"/>
        </w:rPr>
        <w:t xml:space="preserve"> an</w:t>
      </w:r>
      <w:r>
        <w:rPr>
          <w:rFonts w:ascii="Bookman Old Style" w:hAnsi="Bookman Old Style"/>
        </w:rPr>
        <w:t xml:space="preserve"> undefen</w:t>
      </w:r>
      <w:r w:rsidR="006F2F10">
        <w:rPr>
          <w:rFonts w:ascii="Bookman Old Style" w:hAnsi="Bookman Old Style"/>
        </w:rPr>
        <w:t>ded accused person enjoys the sa</w:t>
      </w:r>
      <w:r>
        <w:rPr>
          <w:rFonts w:ascii="Bookman Old Style" w:hAnsi="Bookman Old Style"/>
        </w:rPr>
        <w:t>me freedom as the prosecution to examine witnesses that are called</w:t>
      </w:r>
      <w:r w:rsidR="006F2F10">
        <w:rPr>
          <w:rFonts w:ascii="Bookman Old Style" w:hAnsi="Bookman Old Style"/>
        </w:rPr>
        <w:t xml:space="preserve"> to testify on </w:t>
      </w:r>
      <w:r>
        <w:rPr>
          <w:rFonts w:ascii="Bookman Old Style" w:hAnsi="Bookman Old Style"/>
        </w:rPr>
        <w:t>behalf</w:t>
      </w:r>
      <w:r w:rsidR="006F2F10">
        <w:rPr>
          <w:rFonts w:ascii="Bookman Old Style" w:hAnsi="Bookman Old Style"/>
        </w:rPr>
        <w:t xml:space="preserve"> of</w:t>
      </w:r>
      <w:r w:rsidR="00C61A23">
        <w:rPr>
          <w:rFonts w:ascii="Bookman Old Style" w:hAnsi="Bookman Old Style"/>
        </w:rPr>
        <w:t xml:space="preserve"> the accused. Thus it was argued by the petitioner that Article 18 (2) (e) </w:t>
      </w:r>
      <w:r w:rsidR="009E0286">
        <w:rPr>
          <w:rFonts w:ascii="Bookman Old Style" w:hAnsi="Bookman Old Style"/>
        </w:rPr>
        <w:t>of the C</w:t>
      </w:r>
      <w:r w:rsidR="006F2F10">
        <w:rPr>
          <w:rFonts w:ascii="Bookman Old Style" w:hAnsi="Bookman Old Style"/>
        </w:rPr>
        <w:t xml:space="preserve">onstitution </w:t>
      </w:r>
      <w:r w:rsidR="00C61A23">
        <w:rPr>
          <w:rFonts w:ascii="Bookman Old Style" w:hAnsi="Bookman Old Style"/>
        </w:rPr>
        <w:t xml:space="preserve">lays down for criminal trials, what is self-evident in civil trials. Namely, that an unrepresented litigant also enjoys the right to examine in chief his own witness. </w:t>
      </w:r>
      <w:r w:rsidR="006F2F10">
        <w:rPr>
          <w:rFonts w:ascii="Bookman Old Style" w:hAnsi="Bookman Old Style"/>
        </w:rPr>
        <w:t>It was further</w:t>
      </w:r>
      <w:r w:rsidR="00D425D4">
        <w:rPr>
          <w:rFonts w:ascii="Bookman Old Style" w:hAnsi="Bookman Old Style"/>
        </w:rPr>
        <w:t xml:space="preserve"> submitted by the petitioner that the right </w:t>
      </w:r>
      <w:r w:rsidR="00EA5C38">
        <w:rPr>
          <w:rFonts w:ascii="Bookman Old Style" w:hAnsi="Bookman Old Style"/>
        </w:rPr>
        <w:t xml:space="preserve">in issue is enveloped </w:t>
      </w:r>
      <w:r w:rsidR="00D425D4">
        <w:rPr>
          <w:rFonts w:ascii="Bookman Old Style" w:hAnsi="Bookman Old Style"/>
        </w:rPr>
        <w:t>b</w:t>
      </w:r>
      <w:r w:rsidR="006F2F10">
        <w:rPr>
          <w:rFonts w:ascii="Bookman Old Style" w:hAnsi="Bookman Old Style"/>
        </w:rPr>
        <w:t>y the rubric</w:t>
      </w:r>
      <w:r w:rsidR="00EA5C38">
        <w:rPr>
          <w:rFonts w:ascii="Bookman Old Style" w:hAnsi="Bookman Old Style"/>
        </w:rPr>
        <w:t>;</w:t>
      </w:r>
      <w:r w:rsidR="006F2F10">
        <w:rPr>
          <w:rFonts w:ascii="Bookman Old Style" w:hAnsi="Bookman Old Style"/>
        </w:rPr>
        <w:t xml:space="preserve"> </w:t>
      </w:r>
      <w:r w:rsidR="006F2F10" w:rsidRPr="00581D70">
        <w:rPr>
          <w:rFonts w:ascii="Bookman Old Style" w:hAnsi="Bookman Old Style"/>
          <w:i/>
        </w:rPr>
        <w:t>“fair hearing”</w:t>
      </w:r>
      <w:r w:rsidR="006F2F10">
        <w:rPr>
          <w:rFonts w:ascii="Bookman Old Style" w:hAnsi="Bookman Old Style"/>
        </w:rPr>
        <w:t xml:space="preserve"> in Article 18 (a) of the C</w:t>
      </w:r>
      <w:r w:rsidR="00D425D4">
        <w:rPr>
          <w:rFonts w:ascii="Bookman Old Style" w:hAnsi="Bookman Old Style"/>
        </w:rPr>
        <w:t xml:space="preserve">onstitution. The case of </w:t>
      </w:r>
      <w:r w:rsidR="00D425D4" w:rsidRPr="005635B9">
        <w:rPr>
          <w:rFonts w:ascii="Bookman Old Style" w:hAnsi="Bookman Old Style"/>
          <w:i/>
        </w:rPr>
        <w:t>Zinka v Attorney Genera</w:t>
      </w:r>
      <w:r w:rsidR="006F2F10">
        <w:rPr>
          <w:rFonts w:ascii="Bookman Old Style" w:hAnsi="Bookman Old Style"/>
          <w:i/>
        </w:rPr>
        <w:t>l (1990_1992) Z.R. 71,</w:t>
      </w:r>
      <w:r w:rsidR="00D425D4" w:rsidRPr="005635B9">
        <w:rPr>
          <w:rFonts w:ascii="Bookman Old Style" w:hAnsi="Bookman Old Style"/>
          <w:i/>
        </w:rPr>
        <w:t xml:space="preserve"> </w:t>
      </w:r>
      <w:r w:rsidR="00D425D4">
        <w:rPr>
          <w:rFonts w:ascii="Bookman Old Style" w:hAnsi="Bookman Old Style"/>
        </w:rPr>
        <w:t xml:space="preserve">was cited in support of </w:t>
      </w:r>
      <w:r w:rsidR="009E0286">
        <w:rPr>
          <w:rFonts w:ascii="Bookman Old Style" w:hAnsi="Bookman Old Style"/>
        </w:rPr>
        <w:t>this</w:t>
      </w:r>
      <w:r w:rsidR="00D425D4">
        <w:rPr>
          <w:rFonts w:ascii="Bookman Old Style" w:hAnsi="Bookman Old Style"/>
        </w:rPr>
        <w:t xml:space="preserve"> proposition. In short, </w:t>
      </w:r>
      <w:r w:rsidR="006F2F10">
        <w:rPr>
          <w:rFonts w:ascii="Bookman Old Style" w:hAnsi="Bookman Old Style"/>
        </w:rPr>
        <w:t xml:space="preserve">it was submitted that </w:t>
      </w:r>
      <w:r w:rsidR="00D425D4">
        <w:rPr>
          <w:rFonts w:ascii="Bookman Old Style" w:hAnsi="Bookman Old Style"/>
        </w:rPr>
        <w:t xml:space="preserve">the </w:t>
      </w:r>
      <w:r w:rsidR="00D425D4" w:rsidRPr="006F2F10">
        <w:rPr>
          <w:rFonts w:ascii="Bookman Old Style" w:hAnsi="Bookman Old Style"/>
          <w:i/>
        </w:rPr>
        <w:t>Zinka case</w:t>
      </w:r>
      <w:r w:rsidR="00D425D4">
        <w:rPr>
          <w:rFonts w:ascii="Bookman Old Style" w:hAnsi="Bookman Old Style"/>
        </w:rPr>
        <w:t xml:space="preserve"> </w:t>
      </w:r>
      <w:r w:rsidR="005635B9">
        <w:rPr>
          <w:rFonts w:ascii="Bookman Old Style" w:hAnsi="Bookman Old Style"/>
        </w:rPr>
        <w:t>embraces</w:t>
      </w:r>
      <w:r w:rsidR="006F2F10">
        <w:rPr>
          <w:rFonts w:ascii="Bookman Old Style" w:hAnsi="Bookman Old Style"/>
        </w:rPr>
        <w:t xml:space="preserve"> the rules of natural</w:t>
      </w:r>
      <w:r w:rsidR="00D425D4">
        <w:rPr>
          <w:rFonts w:ascii="Bookman Old Style" w:hAnsi="Bookman Old Style"/>
        </w:rPr>
        <w:t xml:space="preserve"> justice. </w:t>
      </w:r>
    </w:p>
    <w:p w:rsidR="00D425D4" w:rsidRDefault="00D425D4" w:rsidP="007E13CF">
      <w:pPr>
        <w:spacing w:line="360" w:lineRule="auto"/>
        <w:jc w:val="both"/>
        <w:rPr>
          <w:rFonts w:ascii="Bookman Old Style" w:hAnsi="Bookman Old Style"/>
        </w:rPr>
      </w:pPr>
    </w:p>
    <w:p w:rsidR="00744066" w:rsidRDefault="00D425D4" w:rsidP="007E13CF">
      <w:pPr>
        <w:spacing w:line="360" w:lineRule="auto"/>
        <w:jc w:val="both"/>
        <w:rPr>
          <w:rFonts w:ascii="Bookman Old Style" w:hAnsi="Bookman Old Style"/>
        </w:rPr>
      </w:pPr>
      <w:r>
        <w:rPr>
          <w:rFonts w:ascii="Bookman Old Style" w:hAnsi="Bookman Old Style"/>
        </w:rPr>
        <w:t>The petitioner also drew my att</w:t>
      </w:r>
      <w:r w:rsidR="006F2F10">
        <w:rPr>
          <w:rFonts w:ascii="Bookman Old Style" w:hAnsi="Bookman Old Style"/>
        </w:rPr>
        <w:t xml:space="preserve">ention to the American case of </w:t>
      </w:r>
      <w:r w:rsidR="006F2F10" w:rsidRPr="006F2F10">
        <w:rPr>
          <w:rFonts w:ascii="Bookman Old Style" w:hAnsi="Bookman Old Style"/>
          <w:i/>
        </w:rPr>
        <w:t>M</w:t>
      </w:r>
      <w:r w:rsidRPr="006F2F10">
        <w:rPr>
          <w:rFonts w:ascii="Bookman Old Style" w:hAnsi="Bookman Old Style"/>
          <w:i/>
        </w:rPr>
        <w:t>ullane v Central Hanover Bank and Trust Company 339 US 306, 314, 705. Ct 652,657 1950</w:t>
      </w:r>
      <w:r w:rsidR="00EA5C38">
        <w:rPr>
          <w:rFonts w:ascii="Bookman Old Style" w:hAnsi="Bookman Old Style"/>
        </w:rPr>
        <w:t xml:space="preserve">, and submitted </w:t>
      </w:r>
      <w:r>
        <w:rPr>
          <w:rFonts w:ascii="Bookman Old Style" w:hAnsi="Bookman Old Style"/>
        </w:rPr>
        <w:t>that</w:t>
      </w:r>
      <w:r w:rsidR="005635B9">
        <w:rPr>
          <w:rFonts w:ascii="Bookman Old Style" w:hAnsi="Bookman Old Style"/>
        </w:rPr>
        <w:t xml:space="preserve"> an undefended litigant </w:t>
      </w:r>
      <w:r w:rsidR="007101C4">
        <w:rPr>
          <w:rFonts w:ascii="Bookman Old Style" w:hAnsi="Bookman Old Style"/>
        </w:rPr>
        <w:t xml:space="preserve">has the indisputable legal right </w:t>
      </w:r>
      <w:r w:rsidR="005635B9">
        <w:rPr>
          <w:rFonts w:ascii="Bookman Old Style" w:hAnsi="Bookman Old Style"/>
        </w:rPr>
        <w:t>to examine his own witness</w:t>
      </w:r>
      <w:r w:rsidR="006F2F10">
        <w:rPr>
          <w:rFonts w:ascii="Bookman Old Style" w:hAnsi="Bookman Old Style"/>
        </w:rPr>
        <w:t>es. This</w:t>
      </w:r>
      <w:r w:rsidR="007101C4">
        <w:rPr>
          <w:rFonts w:ascii="Bookman Old Style" w:hAnsi="Bookman Old Style"/>
        </w:rPr>
        <w:t xml:space="preserve"> right</w:t>
      </w:r>
      <w:r w:rsidR="006F2F10">
        <w:rPr>
          <w:rFonts w:ascii="Bookman Old Style" w:hAnsi="Bookman Old Style"/>
        </w:rPr>
        <w:t xml:space="preserve"> is apparently r</w:t>
      </w:r>
      <w:r w:rsidR="005635B9">
        <w:rPr>
          <w:rFonts w:ascii="Bookman Old Style" w:hAnsi="Bookman Old Style"/>
        </w:rPr>
        <w:t>oot</w:t>
      </w:r>
      <w:r w:rsidR="00EA5C38">
        <w:rPr>
          <w:rFonts w:ascii="Bookman Old Style" w:hAnsi="Bookman Old Style"/>
        </w:rPr>
        <w:t>ed in the common law standard of</w:t>
      </w:r>
      <w:r w:rsidR="005635B9">
        <w:rPr>
          <w:rFonts w:ascii="Bookman Old Style" w:hAnsi="Bookman Old Style"/>
        </w:rPr>
        <w:t xml:space="preserve"> fair adjudication: the right not to be condemned unheard. The petitioner argued that it is plainly unjust to hear a party’s case when he is incapable of adequately presenting his case; and this may be so when a litigant’s right to examine-in-chief his own witness is subjected to the onerous condition that he ought to exercise that right only t</w:t>
      </w:r>
      <w:r w:rsidR="006F2F10">
        <w:rPr>
          <w:rFonts w:ascii="Bookman Old Style" w:hAnsi="Bookman Old Style"/>
        </w:rPr>
        <w:t>h</w:t>
      </w:r>
      <w:r w:rsidR="005635B9">
        <w:rPr>
          <w:rFonts w:ascii="Bookman Old Style" w:hAnsi="Bookman Old Style"/>
        </w:rPr>
        <w:t>rough counsel. The petitioner urged that t</w:t>
      </w:r>
      <w:r w:rsidR="006F2F10">
        <w:rPr>
          <w:rFonts w:ascii="Bookman Old Style" w:hAnsi="Bookman Old Style"/>
        </w:rPr>
        <w:t>he right to fair</w:t>
      </w:r>
      <w:r w:rsidR="005635B9">
        <w:rPr>
          <w:rFonts w:ascii="Bookman Old Style" w:hAnsi="Bookman Old Style"/>
        </w:rPr>
        <w:t xml:space="preserve"> hearing extends not only to the right to have notice of the other party’s case, but the right also to bring evidence and the right</w:t>
      </w:r>
      <w:r w:rsidR="00744066">
        <w:rPr>
          <w:rFonts w:ascii="Bookman Old Style" w:hAnsi="Bookman Old Style"/>
        </w:rPr>
        <w:t xml:space="preserve"> to argue. Ultimately, the petitioner submitted that the objection taken at the bar by counsel for the respondent against the petitioner examining in chief his own witness should be dismissed with costs. </w:t>
      </w:r>
    </w:p>
    <w:p w:rsidR="00744066" w:rsidRDefault="00744066" w:rsidP="007E13CF">
      <w:pPr>
        <w:spacing w:line="360" w:lineRule="auto"/>
        <w:jc w:val="both"/>
        <w:rPr>
          <w:rFonts w:ascii="Bookman Old Style" w:hAnsi="Bookman Old Style"/>
        </w:rPr>
      </w:pPr>
    </w:p>
    <w:p w:rsidR="006F2F10" w:rsidRDefault="00744066" w:rsidP="007E13CF">
      <w:pPr>
        <w:spacing w:line="360" w:lineRule="auto"/>
        <w:jc w:val="both"/>
        <w:rPr>
          <w:rFonts w:ascii="Bookman Old Style" w:hAnsi="Bookman Old Style"/>
        </w:rPr>
      </w:pPr>
      <w:r>
        <w:rPr>
          <w:rFonts w:ascii="Bookman Old Style" w:hAnsi="Bookman Old Style"/>
        </w:rPr>
        <w:t xml:space="preserve">I am indebted to counsel for the spirited </w:t>
      </w:r>
      <w:r w:rsidR="006F2F10">
        <w:rPr>
          <w:rFonts w:ascii="Bookman Old Style" w:hAnsi="Bookman Old Style"/>
        </w:rPr>
        <w:t xml:space="preserve">and interesting </w:t>
      </w:r>
      <w:r w:rsidR="00EA5C38">
        <w:rPr>
          <w:rFonts w:ascii="Bookman Old Style" w:hAnsi="Bookman Old Style"/>
        </w:rPr>
        <w:t xml:space="preserve">submission rendered </w:t>
      </w:r>
      <w:r w:rsidR="007101C4">
        <w:rPr>
          <w:rFonts w:ascii="Bookman Old Style" w:hAnsi="Bookman Old Style"/>
        </w:rPr>
        <w:t xml:space="preserve">at </w:t>
      </w:r>
      <w:r>
        <w:rPr>
          <w:rFonts w:ascii="Bookman Old Style" w:hAnsi="Bookman Old Style"/>
        </w:rPr>
        <w:t xml:space="preserve"> </w:t>
      </w:r>
      <w:r w:rsidR="00EA5C38">
        <w:rPr>
          <w:rFonts w:ascii="Bookman Old Style" w:hAnsi="Bookman Old Style"/>
        </w:rPr>
        <w:t xml:space="preserve">a </w:t>
      </w:r>
      <w:r w:rsidR="006F2F10">
        <w:rPr>
          <w:rFonts w:ascii="Bookman Old Style" w:hAnsi="Bookman Old Style"/>
        </w:rPr>
        <w:t xml:space="preserve">very </w:t>
      </w:r>
      <w:r>
        <w:rPr>
          <w:rFonts w:ascii="Bookman Old Style" w:hAnsi="Bookman Old Style"/>
        </w:rPr>
        <w:t xml:space="preserve">short notice. As I see it, the issue that falls to be determined in this ruling is not just whether the petitioner has a right to examine in chief his witness. But rather whether or not </w:t>
      </w:r>
      <w:r w:rsidR="007101C4">
        <w:rPr>
          <w:rFonts w:ascii="Bookman Old Style" w:hAnsi="Bookman Old Style"/>
        </w:rPr>
        <w:t xml:space="preserve">an </w:t>
      </w:r>
      <w:r>
        <w:rPr>
          <w:rFonts w:ascii="Bookman Old Style" w:hAnsi="Bookman Old Style"/>
        </w:rPr>
        <w:t>unrepresented litigant has the right to examine witnesses generally.</w:t>
      </w:r>
      <w:r w:rsidR="00EA5C38">
        <w:rPr>
          <w:rFonts w:ascii="Bookman Old Style" w:hAnsi="Bookman Old Style"/>
        </w:rPr>
        <w:t xml:space="preserve"> </w:t>
      </w:r>
      <w:r>
        <w:rPr>
          <w:rFonts w:ascii="Bookman Old Style" w:hAnsi="Bookman Old Style"/>
        </w:rPr>
        <w:t>I must state at the outset that initially the petitioner filed this petition on 7</w:t>
      </w:r>
      <w:r w:rsidRPr="00744066">
        <w:rPr>
          <w:rFonts w:ascii="Bookman Old Style" w:hAnsi="Bookman Old Style"/>
          <w:vertAlign w:val="superscript"/>
        </w:rPr>
        <w:t>th</w:t>
      </w:r>
      <w:r>
        <w:rPr>
          <w:rFonts w:ascii="Bookman Old Style" w:hAnsi="Bookman Old Style"/>
        </w:rPr>
        <w:t xml:space="preserve"> September, 2010</w:t>
      </w:r>
      <w:r w:rsidR="006F2F10">
        <w:rPr>
          <w:rFonts w:ascii="Bookman Old Style" w:hAnsi="Bookman Old Style"/>
        </w:rPr>
        <w:t>, in his capacity as</w:t>
      </w:r>
      <w:r>
        <w:rPr>
          <w:rFonts w:ascii="Bookman Old Style" w:hAnsi="Bookman Old Style"/>
        </w:rPr>
        <w:t xml:space="preserve"> counsel practicing law under the name and style</w:t>
      </w:r>
      <w:r w:rsidR="006F2F10">
        <w:rPr>
          <w:rFonts w:ascii="Bookman Old Style" w:hAnsi="Bookman Old Style"/>
        </w:rPr>
        <w:t xml:space="preserve"> of Messrs Kelvin Hangundu and C</w:t>
      </w:r>
      <w:r>
        <w:rPr>
          <w:rFonts w:ascii="Bookman Old Style" w:hAnsi="Bookman Old Style"/>
        </w:rPr>
        <w:t>ompany. Later, on 13</w:t>
      </w:r>
      <w:r w:rsidRPr="00744066">
        <w:rPr>
          <w:rFonts w:ascii="Bookman Old Style" w:hAnsi="Bookman Old Style"/>
          <w:vertAlign w:val="superscript"/>
        </w:rPr>
        <w:t>th</w:t>
      </w:r>
      <w:r>
        <w:rPr>
          <w:rFonts w:ascii="Bookman Old Style" w:hAnsi="Bookman Old Style"/>
        </w:rPr>
        <w:t xml:space="preserve"> September, 2010, the petition was</w:t>
      </w:r>
      <w:r w:rsidR="006F2F10">
        <w:rPr>
          <w:rFonts w:ascii="Bookman Old Style" w:hAnsi="Bookman Old Style"/>
        </w:rPr>
        <w:t xml:space="preserve"> amended to reflect the fact that</w:t>
      </w:r>
      <w:r>
        <w:rPr>
          <w:rFonts w:ascii="Bookman Old Style" w:hAnsi="Bookman Old Style"/>
        </w:rPr>
        <w:t xml:space="preserve"> the petition was filed in person.</w:t>
      </w:r>
      <w:r w:rsidR="00E24D4A">
        <w:rPr>
          <w:rFonts w:ascii="Bookman Old Style" w:hAnsi="Bookman Old Style"/>
        </w:rPr>
        <w:t xml:space="preserve"> The petitioner is therefore an </w:t>
      </w:r>
      <w:r>
        <w:rPr>
          <w:rFonts w:ascii="Bookman Old Style" w:hAnsi="Bookman Old Style"/>
        </w:rPr>
        <w:t xml:space="preserve">unrepresented litigant. </w:t>
      </w:r>
    </w:p>
    <w:p w:rsidR="003208D9" w:rsidRDefault="00744066" w:rsidP="007E13CF">
      <w:pPr>
        <w:spacing w:line="360" w:lineRule="auto"/>
        <w:jc w:val="both"/>
        <w:rPr>
          <w:rFonts w:ascii="Bookman Old Style" w:hAnsi="Bookman Old Style"/>
        </w:rPr>
      </w:pPr>
      <w:r>
        <w:rPr>
          <w:rFonts w:ascii="Bookman Old Style" w:hAnsi="Bookman Old Style"/>
        </w:rPr>
        <w:t>A convenient starting point in considering the</w:t>
      </w:r>
      <w:r w:rsidR="006F2F10">
        <w:rPr>
          <w:rFonts w:ascii="Bookman Old Style" w:hAnsi="Bookman Old Style"/>
        </w:rPr>
        <w:t xml:space="preserve"> issue under discussion is the C</w:t>
      </w:r>
      <w:r>
        <w:rPr>
          <w:rFonts w:ascii="Bookman Old Style" w:hAnsi="Bookman Old Style"/>
        </w:rPr>
        <w:t>onstitution itself.</w:t>
      </w:r>
      <w:r w:rsidR="006F2F10">
        <w:rPr>
          <w:rFonts w:ascii="Bookman Old Style" w:hAnsi="Bookman Old Style"/>
        </w:rPr>
        <w:t xml:space="preserve"> Article 18 of the C</w:t>
      </w:r>
      <w:r w:rsidR="003208D9">
        <w:rPr>
          <w:rFonts w:ascii="Bookman Old Style" w:hAnsi="Bookman Old Style"/>
        </w:rPr>
        <w:t xml:space="preserve">onstitution relates to provisions that secure protection of the </w:t>
      </w:r>
      <w:r w:rsidR="007101C4">
        <w:rPr>
          <w:rFonts w:ascii="Bookman Old Style" w:hAnsi="Bookman Old Style"/>
        </w:rPr>
        <w:t>law in criminal proceedings. To recapitulate</w:t>
      </w:r>
      <w:r w:rsidR="00EA5C38">
        <w:rPr>
          <w:rFonts w:ascii="Bookman Old Style" w:hAnsi="Bookman Old Style"/>
        </w:rPr>
        <w:t>,</w:t>
      </w:r>
      <w:r w:rsidR="007101C4">
        <w:rPr>
          <w:rFonts w:ascii="Bookman Old Style" w:hAnsi="Bookman Old Style"/>
        </w:rPr>
        <w:t xml:space="preserve"> Article</w:t>
      </w:r>
      <w:r w:rsidR="00EA5C38">
        <w:rPr>
          <w:rFonts w:ascii="Bookman Old Style" w:hAnsi="Bookman Old Style"/>
        </w:rPr>
        <w:t xml:space="preserve"> 18 (2</w:t>
      </w:r>
      <w:r w:rsidR="003208D9">
        <w:rPr>
          <w:rFonts w:ascii="Bookman Old Style" w:hAnsi="Bookman Old Style"/>
        </w:rPr>
        <w:t>) (e) enacts as follows:</w:t>
      </w:r>
    </w:p>
    <w:p w:rsidR="003208D9" w:rsidRPr="00E24D4A" w:rsidRDefault="003208D9" w:rsidP="00E24D4A">
      <w:pPr>
        <w:spacing w:line="240" w:lineRule="auto"/>
        <w:jc w:val="both"/>
        <w:rPr>
          <w:rFonts w:ascii="Bookman Old Style" w:hAnsi="Bookman Old Style"/>
          <w:i/>
        </w:rPr>
      </w:pPr>
      <w:r w:rsidRPr="00E24D4A">
        <w:rPr>
          <w:rFonts w:ascii="Bookman Old Style" w:hAnsi="Bookman Old Style"/>
          <w:i/>
        </w:rPr>
        <w:t>“18</w:t>
      </w:r>
      <w:r w:rsidR="007101C4">
        <w:rPr>
          <w:rFonts w:ascii="Bookman Old Style" w:hAnsi="Bookman Old Style"/>
          <w:i/>
        </w:rPr>
        <w:t xml:space="preserve"> </w:t>
      </w:r>
      <w:r w:rsidRPr="00E24D4A">
        <w:rPr>
          <w:rFonts w:ascii="Bookman Old Style" w:hAnsi="Bookman Old Style"/>
          <w:i/>
        </w:rPr>
        <w:t>(1)......</w:t>
      </w:r>
    </w:p>
    <w:p w:rsidR="003208D9" w:rsidRPr="00E24D4A" w:rsidRDefault="003208D9" w:rsidP="00E24D4A">
      <w:pPr>
        <w:spacing w:line="240" w:lineRule="auto"/>
        <w:jc w:val="both"/>
        <w:rPr>
          <w:rFonts w:ascii="Bookman Old Style" w:hAnsi="Bookman Old Style"/>
          <w:i/>
        </w:rPr>
      </w:pPr>
      <w:r w:rsidRPr="00E24D4A">
        <w:rPr>
          <w:rFonts w:ascii="Bookman Old Style" w:hAnsi="Bookman Old Style"/>
          <w:i/>
        </w:rPr>
        <w:t xml:space="preserve">(2) Every person who is charged with a criminal </w:t>
      </w:r>
      <w:r w:rsidR="00210572" w:rsidRPr="00E24D4A">
        <w:rPr>
          <w:rFonts w:ascii="Bookman Old Style" w:hAnsi="Bookman Old Style"/>
          <w:i/>
        </w:rPr>
        <w:t>offence.........</w:t>
      </w:r>
    </w:p>
    <w:p w:rsidR="003208D9" w:rsidRPr="00E24D4A" w:rsidRDefault="003208D9" w:rsidP="00E24D4A">
      <w:pPr>
        <w:spacing w:line="240" w:lineRule="auto"/>
        <w:jc w:val="both"/>
        <w:rPr>
          <w:rFonts w:ascii="Bookman Old Style" w:hAnsi="Bookman Old Style"/>
          <w:i/>
        </w:rPr>
      </w:pPr>
      <w:r w:rsidRPr="00E24D4A">
        <w:rPr>
          <w:rFonts w:ascii="Bookman Old Style" w:hAnsi="Bookman Old Style"/>
          <w:i/>
        </w:rPr>
        <w:t>(a) ....</w:t>
      </w:r>
    </w:p>
    <w:p w:rsidR="003208D9" w:rsidRPr="00E24D4A" w:rsidRDefault="003208D9" w:rsidP="00E24D4A">
      <w:pPr>
        <w:spacing w:line="240" w:lineRule="auto"/>
        <w:jc w:val="both"/>
        <w:rPr>
          <w:rFonts w:ascii="Bookman Old Style" w:hAnsi="Bookman Old Style"/>
          <w:i/>
        </w:rPr>
      </w:pPr>
      <w:r w:rsidRPr="00E24D4A">
        <w:rPr>
          <w:rFonts w:ascii="Bookman Old Style" w:hAnsi="Bookman Old Style"/>
          <w:i/>
        </w:rPr>
        <w:t>(b) ....</w:t>
      </w:r>
    </w:p>
    <w:p w:rsidR="003208D9" w:rsidRPr="00E24D4A" w:rsidRDefault="003208D9" w:rsidP="00E24D4A">
      <w:pPr>
        <w:spacing w:line="240" w:lineRule="auto"/>
        <w:jc w:val="both"/>
        <w:rPr>
          <w:rFonts w:ascii="Bookman Old Style" w:hAnsi="Bookman Old Style"/>
          <w:i/>
        </w:rPr>
      </w:pPr>
      <w:r w:rsidRPr="00E24D4A">
        <w:rPr>
          <w:rFonts w:ascii="Bookman Old Style" w:hAnsi="Bookman Old Style"/>
          <w:i/>
        </w:rPr>
        <w:t>(c) ....</w:t>
      </w:r>
    </w:p>
    <w:p w:rsidR="003208D9" w:rsidRPr="00E24D4A" w:rsidRDefault="003208D9" w:rsidP="00E24D4A">
      <w:pPr>
        <w:spacing w:line="240" w:lineRule="auto"/>
        <w:jc w:val="both"/>
        <w:rPr>
          <w:rFonts w:ascii="Bookman Old Style" w:hAnsi="Bookman Old Style"/>
          <w:i/>
        </w:rPr>
      </w:pPr>
      <w:r w:rsidRPr="00E24D4A">
        <w:rPr>
          <w:rFonts w:ascii="Bookman Old Style" w:hAnsi="Bookman Old Style"/>
          <w:i/>
        </w:rPr>
        <w:t>(d) ....</w:t>
      </w:r>
    </w:p>
    <w:p w:rsidR="00E24D4A" w:rsidRPr="00E24D4A" w:rsidRDefault="00756BFD" w:rsidP="00E24D4A">
      <w:pPr>
        <w:spacing w:line="240" w:lineRule="auto"/>
        <w:jc w:val="both"/>
        <w:rPr>
          <w:rFonts w:ascii="Bookman Old Style" w:hAnsi="Bookman Old Style"/>
          <w:i/>
        </w:rPr>
      </w:pPr>
      <w:r w:rsidRPr="00E24D4A">
        <w:rPr>
          <w:rFonts w:ascii="Bookman Old Style" w:hAnsi="Bookman Old Style"/>
          <w:i/>
        </w:rPr>
        <w:t xml:space="preserve">(e) Shall be afforded facilities to examine in person or by his legal representative the </w:t>
      </w:r>
      <w:r w:rsidRPr="00E24D4A">
        <w:rPr>
          <w:rFonts w:ascii="Bookman Old Style" w:hAnsi="Bookman Old Style"/>
          <w:i/>
          <w:u w:val="single"/>
        </w:rPr>
        <w:t>wi</w:t>
      </w:r>
      <w:r w:rsidR="007101C4">
        <w:rPr>
          <w:rFonts w:ascii="Bookman Old Style" w:hAnsi="Bookman Old Style"/>
          <w:i/>
          <w:u w:val="single"/>
        </w:rPr>
        <w:t>tnesses called by the prosecutio</w:t>
      </w:r>
      <w:r w:rsidRPr="00E24D4A">
        <w:rPr>
          <w:rFonts w:ascii="Bookman Old Style" w:hAnsi="Bookman Old Style"/>
          <w:i/>
          <w:u w:val="single"/>
        </w:rPr>
        <w:t>n</w:t>
      </w:r>
      <w:r w:rsidRPr="00E24D4A">
        <w:rPr>
          <w:rFonts w:ascii="Bookman Old Style" w:hAnsi="Bookman Old Style"/>
          <w:i/>
        </w:rPr>
        <w:t xml:space="preserve"> before the Court, and to obtain the attendance and </w:t>
      </w:r>
      <w:r w:rsidRPr="00E24D4A">
        <w:rPr>
          <w:rFonts w:ascii="Bookman Old Style" w:hAnsi="Bookman Old Style"/>
          <w:i/>
          <w:u w:val="single"/>
        </w:rPr>
        <w:t>carry out the examination of witnesses to tes</w:t>
      </w:r>
      <w:r w:rsidR="000C690A" w:rsidRPr="00E24D4A">
        <w:rPr>
          <w:rFonts w:ascii="Bookman Old Style" w:hAnsi="Bookman Old Style"/>
          <w:i/>
          <w:u w:val="single"/>
        </w:rPr>
        <w:t>tify on his behalf</w:t>
      </w:r>
      <w:r w:rsidR="007101C4">
        <w:rPr>
          <w:rFonts w:ascii="Bookman Old Style" w:hAnsi="Bookman Old Style"/>
          <w:i/>
        </w:rPr>
        <w:t xml:space="preserve"> before the Court on the sa</w:t>
      </w:r>
      <w:r w:rsidR="000C690A" w:rsidRPr="00E24D4A">
        <w:rPr>
          <w:rFonts w:ascii="Bookman Old Style" w:hAnsi="Bookman Old Style"/>
          <w:i/>
        </w:rPr>
        <w:t>me</w:t>
      </w:r>
      <w:r w:rsidR="00210572" w:rsidRPr="00E24D4A">
        <w:rPr>
          <w:rFonts w:ascii="Bookman Old Style" w:hAnsi="Bookman Old Style"/>
          <w:i/>
        </w:rPr>
        <w:t xml:space="preserve"> conditions as those applying t</w:t>
      </w:r>
      <w:r w:rsidR="000C690A" w:rsidRPr="00E24D4A">
        <w:rPr>
          <w:rFonts w:ascii="Bookman Old Style" w:hAnsi="Bookman Old Style"/>
          <w:i/>
        </w:rPr>
        <w:t>o witnesses called by the prosecution.</w:t>
      </w:r>
      <w:r w:rsidR="00210572" w:rsidRPr="00E24D4A">
        <w:rPr>
          <w:rFonts w:ascii="Bookman Old Style" w:hAnsi="Bookman Old Style"/>
          <w:i/>
        </w:rPr>
        <w:t xml:space="preserve"> (The underlining is for emphasis sake.) </w:t>
      </w:r>
    </w:p>
    <w:p w:rsidR="00E24D4A" w:rsidRDefault="00E24D4A" w:rsidP="007E13CF">
      <w:pPr>
        <w:spacing w:line="360" w:lineRule="auto"/>
        <w:jc w:val="both"/>
        <w:rPr>
          <w:rFonts w:ascii="Bookman Old Style" w:hAnsi="Bookman Old Style"/>
        </w:rPr>
      </w:pPr>
    </w:p>
    <w:p w:rsidR="004D46C8" w:rsidRDefault="00F473C6" w:rsidP="007E13CF">
      <w:pPr>
        <w:spacing w:line="360" w:lineRule="auto"/>
        <w:jc w:val="both"/>
        <w:rPr>
          <w:rFonts w:ascii="Bookman Old Style" w:hAnsi="Bookman Old Style"/>
        </w:rPr>
      </w:pPr>
      <w:r>
        <w:rPr>
          <w:rFonts w:ascii="Bookman Old Style" w:hAnsi="Bookman Old Style"/>
        </w:rPr>
        <w:t>Clearly, Article 18 (2</w:t>
      </w:r>
      <w:r w:rsidR="00E24D4A">
        <w:rPr>
          <w:rFonts w:ascii="Bookman Old Style" w:hAnsi="Bookman Old Style"/>
        </w:rPr>
        <w:t>) (e) of the C</w:t>
      </w:r>
      <w:r w:rsidR="00210572">
        <w:rPr>
          <w:rFonts w:ascii="Bookman Old Style" w:hAnsi="Bookman Old Style"/>
        </w:rPr>
        <w:t xml:space="preserve">onstitution </w:t>
      </w:r>
      <w:r w:rsidR="00E24D4A">
        <w:rPr>
          <w:rFonts w:ascii="Bookman Old Style" w:hAnsi="Bookman Old Style"/>
        </w:rPr>
        <w:t xml:space="preserve">expressly </w:t>
      </w:r>
      <w:r w:rsidR="00210572">
        <w:rPr>
          <w:rFonts w:ascii="Bookman Old Style" w:hAnsi="Bookman Old Style"/>
        </w:rPr>
        <w:t>permit</w:t>
      </w:r>
      <w:r w:rsidR="007101C4">
        <w:rPr>
          <w:rFonts w:ascii="Bookman Old Style" w:hAnsi="Bookman Old Style"/>
        </w:rPr>
        <w:t>s</w:t>
      </w:r>
      <w:r w:rsidR="00210572">
        <w:rPr>
          <w:rFonts w:ascii="Bookman Old Style" w:hAnsi="Bookman Old Style"/>
        </w:rPr>
        <w:t xml:space="preserve"> any person charged with a criminal offence to examine in person witnesses called by the prosecution. The Article further permits an accused person to </w:t>
      </w:r>
      <w:r w:rsidR="00E24D4A">
        <w:rPr>
          <w:rFonts w:ascii="Bookman Old Style" w:hAnsi="Bookman Old Style"/>
        </w:rPr>
        <w:t xml:space="preserve">examine his own </w:t>
      </w:r>
      <w:r w:rsidR="00210572">
        <w:rPr>
          <w:rFonts w:ascii="Bookman Old Style" w:hAnsi="Bookman Old Style"/>
        </w:rPr>
        <w:t>witnesses</w:t>
      </w:r>
      <w:r w:rsidR="00E24D4A">
        <w:rPr>
          <w:rFonts w:ascii="Bookman Old Style" w:hAnsi="Bookman Old Style"/>
        </w:rPr>
        <w:t>.</w:t>
      </w:r>
      <w:r w:rsidR="007101C4">
        <w:rPr>
          <w:rFonts w:ascii="Bookman Old Style" w:hAnsi="Bookman Old Style"/>
        </w:rPr>
        <w:t xml:space="preserve"> The constitution </w:t>
      </w:r>
      <w:r w:rsidR="00210572">
        <w:rPr>
          <w:rFonts w:ascii="Bookman Old Style" w:hAnsi="Bookman Old Style"/>
        </w:rPr>
        <w:t xml:space="preserve">does not </w:t>
      </w:r>
      <w:r w:rsidR="007101C4">
        <w:rPr>
          <w:rFonts w:ascii="Bookman Old Style" w:hAnsi="Bookman Old Style"/>
        </w:rPr>
        <w:t xml:space="preserve">however </w:t>
      </w:r>
      <w:r w:rsidR="00210572">
        <w:rPr>
          <w:rFonts w:ascii="Bookman Old Style" w:hAnsi="Bookman Old Style"/>
        </w:rPr>
        <w:t>provide for counterpart provisions</w:t>
      </w:r>
      <w:r w:rsidR="00E24D4A">
        <w:rPr>
          <w:rFonts w:ascii="Bookman Old Style" w:hAnsi="Bookman Old Style"/>
        </w:rPr>
        <w:t xml:space="preserve"> to govern civil proceedings. </w:t>
      </w:r>
      <w:r w:rsidR="007101C4">
        <w:rPr>
          <w:rFonts w:ascii="Bookman Old Style" w:hAnsi="Bookman Old Style"/>
        </w:rPr>
        <w:t>T</w:t>
      </w:r>
      <w:r>
        <w:rPr>
          <w:rFonts w:ascii="Bookman Old Style" w:hAnsi="Bookman Old Style"/>
        </w:rPr>
        <w:t>hus t</w:t>
      </w:r>
      <w:r w:rsidR="007101C4">
        <w:rPr>
          <w:rFonts w:ascii="Bookman Old Style" w:hAnsi="Bookman Old Style"/>
        </w:rPr>
        <w:t xml:space="preserve">he </w:t>
      </w:r>
      <w:r w:rsidR="00E24D4A">
        <w:rPr>
          <w:rFonts w:ascii="Bookman Old Style" w:hAnsi="Bookman Old Style"/>
        </w:rPr>
        <w:t>Constitution</w:t>
      </w:r>
      <w:r w:rsidR="00210572">
        <w:rPr>
          <w:rFonts w:ascii="Bookman Old Style" w:hAnsi="Bookman Old Style"/>
        </w:rPr>
        <w:t xml:space="preserve"> is conspicuously silent on civil proceedings. I t</w:t>
      </w:r>
      <w:r w:rsidR="00E24D4A">
        <w:rPr>
          <w:rFonts w:ascii="Bookman Old Style" w:hAnsi="Bookman Old Style"/>
        </w:rPr>
        <w:t>herefore agree with Mr. Simeza</w:t>
      </w:r>
      <w:r w:rsidR="00210572">
        <w:rPr>
          <w:rFonts w:ascii="Bookman Old Style" w:hAnsi="Bookman Old Style"/>
        </w:rPr>
        <w:t xml:space="preserve"> and </w:t>
      </w:r>
      <w:r w:rsidR="00E24D4A">
        <w:rPr>
          <w:rFonts w:ascii="Bookman Old Style" w:hAnsi="Bookman Old Style"/>
        </w:rPr>
        <w:t>Mr. Che</w:t>
      </w:r>
      <w:r w:rsidR="00210572">
        <w:rPr>
          <w:rFonts w:ascii="Bookman Old Style" w:hAnsi="Bookman Old Style"/>
        </w:rPr>
        <w:t xml:space="preserve">nda’s submission </w:t>
      </w:r>
      <w:r w:rsidR="00E24D4A">
        <w:rPr>
          <w:rFonts w:ascii="Bookman Old Style" w:hAnsi="Bookman Old Style"/>
        </w:rPr>
        <w:t>that A</w:t>
      </w:r>
      <w:r w:rsidR="00210572">
        <w:rPr>
          <w:rFonts w:ascii="Bookman Old Style" w:hAnsi="Bookman Old Style"/>
        </w:rPr>
        <w:t>rticle 18 (2) (e) does not extend to civil proceedings.</w:t>
      </w:r>
    </w:p>
    <w:p w:rsidR="004D46C8" w:rsidRDefault="004D46C8" w:rsidP="007E13CF">
      <w:pPr>
        <w:spacing w:line="360" w:lineRule="auto"/>
        <w:jc w:val="both"/>
        <w:rPr>
          <w:rFonts w:ascii="Bookman Old Style" w:hAnsi="Bookman Old Style"/>
        </w:rPr>
      </w:pPr>
    </w:p>
    <w:p w:rsidR="004D46C8" w:rsidRDefault="007101C4" w:rsidP="007E13CF">
      <w:pPr>
        <w:spacing w:line="360" w:lineRule="auto"/>
        <w:jc w:val="both"/>
        <w:rPr>
          <w:rFonts w:ascii="Bookman Old Style" w:hAnsi="Bookman Old Style"/>
        </w:rPr>
      </w:pPr>
      <w:r>
        <w:rPr>
          <w:rFonts w:ascii="Bookman Old Style" w:hAnsi="Bookman Old Style"/>
        </w:rPr>
        <w:t>Mr. H</w:t>
      </w:r>
      <w:r w:rsidR="00E24D4A">
        <w:rPr>
          <w:rFonts w:ascii="Bookman Old Style" w:hAnsi="Bookman Old Style"/>
        </w:rPr>
        <w:t>angan</w:t>
      </w:r>
      <w:r w:rsidR="00F473C6">
        <w:rPr>
          <w:rFonts w:ascii="Bookman Old Style" w:hAnsi="Bookman Old Style"/>
        </w:rPr>
        <w:t>d</w:t>
      </w:r>
      <w:r w:rsidR="00E24D4A">
        <w:rPr>
          <w:rFonts w:ascii="Bookman Old Style" w:hAnsi="Bookman Old Style"/>
        </w:rPr>
        <w:t>u drew my attention to O</w:t>
      </w:r>
      <w:r w:rsidR="004D46C8">
        <w:rPr>
          <w:rFonts w:ascii="Bookman Old Style" w:hAnsi="Bookman Old Style"/>
        </w:rPr>
        <w:t xml:space="preserve">rder 5 </w:t>
      </w:r>
      <w:r>
        <w:rPr>
          <w:rFonts w:ascii="Bookman Old Style" w:hAnsi="Bookman Old Style"/>
        </w:rPr>
        <w:t xml:space="preserve">of the High Court Rules. Order 5 </w:t>
      </w:r>
      <w:r w:rsidR="004D46C8">
        <w:rPr>
          <w:rFonts w:ascii="Bookman Old Style" w:hAnsi="Bookman Old Style"/>
        </w:rPr>
        <w:t>provide</w:t>
      </w:r>
      <w:r>
        <w:rPr>
          <w:rFonts w:ascii="Bookman Old Style" w:hAnsi="Bookman Old Style"/>
        </w:rPr>
        <w:t>s</w:t>
      </w:r>
      <w:r w:rsidR="004D46C8">
        <w:rPr>
          <w:rFonts w:ascii="Bookman Old Style" w:hAnsi="Bookman Old Style"/>
        </w:rPr>
        <w:t xml:space="preserve"> for various </w:t>
      </w:r>
      <w:r w:rsidR="00E24D4A">
        <w:rPr>
          <w:rFonts w:ascii="Bookman Old Style" w:hAnsi="Bookman Old Style"/>
        </w:rPr>
        <w:t xml:space="preserve">evidential </w:t>
      </w:r>
      <w:r w:rsidR="004D46C8">
        <w:rPr>
          <w:rFonts w:ascii="Bookman Old Style" w:hAnsi="Bookman Old Style"/>
        </w:rPr>
        <w:t>matter</w:t>
      </w:r>
      <w:r w:rsidR="00E24D4A">
        <w:rPr>
          <w:rFonts w:ascii="Bookman Old Style" w:hAnsi="Bookman Old Style"/>
        </w:rPr>
        <w:t>s</w:t>
      </w:r>
      <w:r w:rsidR="004D46C8">
        <w:rPr>
          <w:rFonts w:ascii="Bookman Old Style" w:hAnsi="Bookman Old Style"/>
        </w:rPr>
        <w:t xml:space="preserve"> under the rubric “Evidence.” In the instant case</w:t>
      </w:r>
      <w:r w:rsidR="00E24D4A">
        <w:rPr>
          <w:rFonts w:ascii="Bookman Old Style" w:hAnsi="Bookman Old Style"/>
        </w:rPr>
        <w:t>,</w:t>
      </w:r>
      <w:r w:rsidR="004D46C8">
        <w:rPr>
          <w:rFonts w:ascii="Bookman Old Style" w:hAnsi="Bookman Old Style"/>
        </w:rPr>
        <w:t xml:space="preserve"> Mr. Hangandu </w:t>
      </w:r>
      <w:r>
        <w:rPr>
          <w:rFonts w:ascii="Bookman Old Style" w:hAnsi="Bookman Old Style"/>
        </w:rPr>
        <w:t>drew my attention to R</w:t>
      </w:r>
      <w:r w:rsidR="00E24D4A">
        <w:rPr>
          <w:rFonts w:ascii="Bookman Old Style" w:hAnsi="Bookman Old Style"/>
        </w:rPr>
        <w:t>ule 24 of O</w:t>
      </w:r>
      <w:r w:rsidR="004D46C8">
        <w:rPr>
          <w:rFonts w:ascii="Bookman Old Style" w:hAnsi="Bookman Old Style"/>
        </w:rPr>
        <w:t xml:space="preserve">rder </w:t>
      </w:r>
      <w:r w:rsidR="00E24D4A">
        <w:rPr>
          <w:rFonts w:ascii="Bookman Old Style" w:hAnsi="Bookman Old Style"/>
        </w:rPr>
        <w:t xml:space="preserve">5. </w:t>
      </w:r>
      <w:r w:rsidR="004D46C8">
        <w:rPr>
          <w:rFonts w:ascii="Bookman Old Style" w:hAnsi="Bookman Old Style"/>
        </w:rPr>
        <w:t>Rule 24 is expressed in the following terms:</w:t>
      </w:r>
    </w:p>
    <w:p w:rsidR="00E24D4A" w:rsidRPr="00E24D4A" w:rsidRDefault="007101C4" w:rsidP="007E13CF">
      <w:pPr>
        <w:spacing w:line="360" w:lineRule="auto"/>
        <w:jc w:val="both"/>
        <w:rPr>
          <w:rFonts w:ascii="Bookman Old Style" w:hAnsi="Bookman Old Style"/>
          <w:i/>
        </w:rPr>
      </w:pPr>
      <w:r>
        <w:rPr>
          <w:rFonts w:ascii="Bookman Old Style" w:hAnsi="Bookman Old Style"/>
          <w:i/>
        </w:rPr>
        <w:t>“24 I</w:t>
      </w:r>
      <w:r w:rsidR="004D46C8" w:rsidRPr="00E24D4A">
        <w:rPr>
          <w:rFonts w:ascii="Bookman Old Style" w:hAnsi="Bookman Old Style"/>
          <w:i/>
        </w:rPr>
        <w:t xml:space="preserve">n the absence of any agreement between the parties, and subject to these Rules, </w:t>
      </w:r>
      <w:r w:rsidR="004D46C8" w:rsidRPr="00E24D4A">
        <w:rPr>
          <w:rFonts w:ascii="Bookman Old Style" w:hAnsi="Bookman Old Style"/>
          <w:i/>
          <w:u w:val="single"/>
        </w:rPr>
        <w:t xml:space="preserve">the witnesses at the trial or any suit shall be examined viva voce </w:t>
      </w:r>
      <w:r w:rsidR="004D46C8" w:rsidRPr="00E24D4A">
        <w:rPr>
          <w:rFonts w:ascii="Bookman Old Style" w:hAnsi="Bookman Old Style"/>
          <w:i/>
        </w:rPr>
        <w:t xml:space="preserve">and in open Court; but the Court may at any time for sufficient reason </w:t>
      </w:r>
      <w:r>
        <w:rPr>
          <w:rFonts w:ascii="Bookman Old Style" w:hAnsi="Bookman Old Style"/>
          <w:i/>
        </w:rPr>
        <w:t xml:space="preserve">order that any particular </w:t>
      </w:r>
      <w:r w:rsidR="004D46C8" w:rsidRPr="00E24D4A">
        <w:rPr>
          <w:rFonts w:ascii="Bookman Old Style" w:hAnsi="Bookman Old Style"/>
          <w:i/>
        </w:rPr>
        <w:t>fact</w:t>
      </w:r>
      <w:r w:rsidR="00E24D4A" w:rsidRPr="00E24D4A">
        <w:rPr>
          <w:rFonts w:ascii="Bookman Old Style" w:hAnsi="Bookman Old Style"/>
          <w:i/>
        </w:rPr>
        <w:t>,</w:t>
      </w:r>
      <w:r w:rsidR="004D46C8" w:rsidRPr="00E24D4A">
        <w:rPr>
          <w:rFonts w:ascii="Bookman Old Style" w:hAnsi="Bookman Old Style"/>
          <w:i/>
        </w:rPr>
        <w:t xml:space="preserve"> or</w:t>
      </w:r>
      <w:r w:rsidR="00E24D4A" w:rsidRPr="00E24D4A">
        <w:rPr>
          <w:rFonts w:ascii="Bookman Old Style" w:hAnsi="Bookman Old Style"/>
          <w:i/>
        </w:rPr>
        <w:t xml:space="preserve"> </w:t>
      </w:r>
      <w:r w:rsidR="004D46C8" w:rsidRPr="00E24D4A">
        <w:rPr>
          <w:rFonts w:ascii="Bookman Old Style" w:hAnsi="Bookman Old Style"/>
          <w:i/>
        </w:rPr>
        <w:t xml:space="preserve">facts may be proved by affidavit or that the affidavit of any witness may be read at the hearing or trial, on </w:t>
      </w:r>
      <w:r w:rsidR="000A7C7A" w:rsidRPr="00E24D4A">
        <w:rPr>
          <w:rFonts w:ascii="Bookman Old Style" w:hAnsi="Bookman Old Style"/>
          <w:i/>
        </w:rPr>
        <w:t>such</w:t>
      </w:r>
      <w:r w:rsidR="004D46C8" w:rsidRPr="00E24D4A">
        <w:rPr>
          <w:rFonts w:ascii="Bookman Old Style" w:hAnsi="Bookman Old Style"/>
          <w:i/>
        </w:rPr>
        <w:t xml:space="preserve"> conditions as the Court may think reasonable; or that any witness whose attendance in Court </w:t>
      </w:r>
      <w:r w:rsidR="000A7C7A" w:rsidRPr="00E24D4A">
        <w:rPr>
          <w:rFonts w:ascii="Bookman Old Style" w:hAnsi="Bookman Old Style"/>
          <w:i/>
        </w:rPr>
        <w:t>ought</w:t>
      </w:r>
      <w:r w:rsidR="004D46C8" w:rsidRPr="00E24D4A">
        <w:rPr>
          <w:rFonts w:ascii="Bookman Old Style" w:hAnsi="Bookman Old Style"/>
          <w:i/>
        </w:rPr>
        <w:t>, for some sufficient cause, to be d</w:t>
      </w:r>
      <w:r w:rsidR="000A7C7A" w:rsidRPr="00E24D4A">
        <w:rPr>
          <w:rFonts w:ascii="Bookman Old Style" w:hAnsi="Bookman Old Style"/>
          <w:i/>
        </w:rPr>
        <w:t xml:space="preserve">ispensed with be examined by interrogatories or otherwise before an officer of the Court or other person. </w:t>
      </w:r>
    </w:p>
    <w:p w:rsidR="000A7C7A" w:rsidRPr="007101C4" w:rsidRDefault="000A7C7A" w:rsidP="007E13CF">
      <w:pPr>
        <w:spacing w:line="360" w:lineRule="auto"/>
        <w:jc w:val="both"/>
        <w:rPr>
          <w:rFonts w:ascii="Bookman Old Style" w:hAnsi="Bookman Old Style"/>
          <w:i/>
        </w:rPr>
      </w:pPr>
      <w:r w:rsidRPr="007101C4">
        <w:rPr>
          <w:rFonts w:ascii="Bookman Old Style" w:hAnsi="Bookman Old Style"/>
          <w:i/>
        </w:rPr>
        <w:t>Provided that, where it appears to the Court that the other party bona fide desires the production of a witness for cross-</w:t>
      </w:r>
      <w:r w:rsidR="00DD5F8E" w:rsidRPr="007101C4">
        <w:rPr>
          <w:rFonts w:ascii="Bookman Old Style" w:hAnsi="Bookman Old Style"/>
          <w:i/>
        </w:rPr>
        <w:t>examination</w:t>
      </w:r>
      <w:r w:rsidR="007101C4" w:rsidRPr="007101C4">
        <w:rPr>
          <w:rFonts w:ascii="Bookman Old Style" w:hAnsi="Bookman Old Style"/>
          <w:i/>
        </w:rPr>
        <w:t>,</w:t>
      </w:r>
      <w:r w:rsidR="00DD5F8E" w:rsidRPr="007101C4">
        <w:rPr>
          <w:rFonts w:ascii="Bookman Old Style" w:hAnsi="Bookman Old Style"/>
          <w:i/>
        </w:rPr>
        <w:t xml:space="preserve"> and that such </w:t>
      </w:r>
      <w:r w:rsidRPr="007101C4">
        <w:rPr>
          <w:rFonts w:ascii="Bookman Old Style" w:hAnsi="Bookman Old Style"/>
          <w:i/>
        </w:rPr>
        <w:t>witnesses can be produced, an order shall not be made authorizing the evidence of such witness to be given by affidavit.”</w:t>
      </w:r>
    </w:p>
    <w:p w:rsidR="000A7C7A" w:rsidRDefault="000A7C7A" w:rsidP="007E13CF">
      <w:pPr>
        <w:spacing w:line="360" w:lineRule="auto"/>
        <w:jc w:val="both"/>
        <w:rPr>
          <w:rFonts w:ascii="Bookman Old Style" w:hAnsi="Bookman Old Style"/>
        </w:rPr>
      </w:pPr>
    </w:p>
    <w:p w:rsidR="00755CD9" w:rsidRDefault="000A7C7A" w:rsidP="007E13CF">
      <w:pPr>
        <w:spacing w:line="360" w:lineRule="auto"/>
        <w:jc w:val="both"/>
        <w:rPr>
          <w:rFonts w:ascii="Bookman Old Style" w:hAnsi="Bookman Old Style"/>
        </w:rPr>
      </w:pPr>
      <w:r>
        <w:rPr>
          <w:rFonts w:ascii="Bookman Old Style" w:hAnsi="Bookman Old Style"/>
        </w:rPr>
        <w:t xml:space="preserve">On the basis of Rule 24, Mr. Hangandu argued that there is no </w:t>
      </w:r>
      <w:r w:rsidR="007101C4">
        <w:rPr>
          <w:rFonts w:ascii="Bookman Old Style" w:hAnsi="Bookman Old Style"/>
        </w:rPr>
        <w:t xml:space="preserve">provision </w:t>
      </w:r>
      <w:r>
        <w:rPr>
          <w:rFonts w:ascii="Bookman Old Style" w:hAnsi="Bookman Old Style"/>
        </w:rPr>
        <w:t xml:space="preserve">barring </w:t>
      </w:r>
      <w:r w:rsidR="00E24D4A">
        <w:rPr>
          <w:rFonts w:ascii="Bookman Old Style" w:hAnsi="Bookman Old Style"/>
        </w:rPr>
        <w:t xml:space="preserve">an </w:t>
      </w:r>
      <w:r w:rsidR="007101C4">
        <w:rPr>
          <w:rFonts w:ascii="Bookman Old Style" w:hAnsi="Bookman Old Style"/>
        </w:rPr>
        <w:t xml:space="preserve">unrepresented </w:t>
      </w:r>
      <w:r w:rsidR="00E24D4A">
        <w:rPr>
          <w:rFonts w:ascii="Bookman Old Style" w:hAnsi="Bookman Old Style"/>
        </w:rPr>
        <w:t xml:space="preserve">litigant </w:t>
      </w:r>
      <w:r w:rsidR="007101C4">
        <w:rPr>
          <w:rFonts w:ascii="Bookman Old Style" w:hAnsi="Bookman Old Style"/>
        </w:rPr>
        <w:t>from examining in c</w:t>
      </w:r>
      <w:r>
        <w:rPr>
          <w:rFonts w:ascii="Bookman Old Style" w:hAnsi="Bookman Old Style"/>
        </w:rPr>
        <w:t xml:space="preserve">hief his own witness during a trial. On </w:t>
      </w:r>
      <w:r w:rsidR="00E24D4A">
        <w:rPr>
          <w:rFonts w:ascii="Bookman Old Style" w:hAnsi="Bookman Old Style"/>
        </w:rPr>
        <w:t>the contrary</w:t>
      </w:r>
      <w:r w:rsidR="00F473C6">
        <w:rPr>
          <w:rFonts w:ascii="Bookman Old Style" w:hAnsi="Bookman Old Style"/>
        </w:rPr>
        <w:t xml:space="preserve">, </w:t>
      </w:r>
      <w:r w:rsidR="00E24D4A">
        <w:rPr>
          <w:rFonts w:ascii="Bookman Old Style" w:hAnsi="Bookman Old Style"/>
        </w:rPr>
        <w:t xml:space="preserve"> Mr. Hangandu contends that R</w:t>
      </w:r>
      <w:r>
        <w:rPr>
          <w:rFonts w:ascii="Bookman Old Style" w:hAnsi="Bookman Old Style"/>
        </w:rPr>
        <w:t>ule 24 provides in part that</w:t>
      </w:r>
      <w:r w:rsidR="00DD5F8E">
        <w:rPr>
          <w:rFonts w:ascii="Bookman Old Style" w:hAnsi="Bookman Old Style"/>
        </w:rPr>
        <w:t>; “</w:t>
      </w:r>
      <w:r w:rsidR="00DD5F8E" w:rsidRPr="00DD5F8E">
        <w:rPr>
          <w:rFonts w:ascii="Bookman Old Style" w:hAnsi="Bookman Old Style"/>
          <w:i/>
        </w:rPr>
        <w:t>the witnesses at the trial or any suit shall be examined viva voce</w:t>
      </w:r>
      <w:r w:rsidR="00DD5F8E">
        <w:rPr>
          <w:rFonts w:ascii="Bookman Old Style" w:hAnsi="Bookman Old Style"/>
        </w:rPr>
        <w:t xml:space="preserve">.” Mr. Hangandu submitted that the </w:t>
      </w:r>
      <w:r w:rsidR="00E24D4A">
        <w:rPr>
          <w:rFonts w:ascii="Bookman Old Style" w:hAnsi="Bookman Old Style"/>
        </w:rPr>
        <w:t>“</w:t>
      </w:r>
      <w:r w:rsidR="00DD5F8E" w:rsidRPr="00E24D4A">
        <w:rPr>
          <w:rFonts w:ascii="Bookman Old Style" w:hAnsi="Bookman Old Style"/>
          <w:i/>
        </w:rPr>
        <w:t>examination”</w:t>
      </w:r>
      <w:r w:rsidR="00DD5F8E">
        <w:rPr>
          <w:rFonts w:ascii="Bookman Old Style" w:hAnsi="Bookman Old Style"/>
        </w:rPr>
        <w:t xml:space="preserve"> envisaged by Rule 24</w:t>
      </w:r>
      <w:r w:rsidR="004D00D8">
        <w:rPr>
          <w:rFonts w:ascii="Bookman Old Style" w:hAnsi="Bookman Old Style"/>
        </w:rPr>
        <w:t>,</w:t>
      </w:r>
      <w:r w:rsidR="007101C4">
        <w:rPr>
          <w:rFonts w:ascii="Bookman Old Style" w:hAnsi="Bookman Old Style"/>
        </w:rPr>
        <w:t xml:space="preserve"> includes examination in c</w:t>
      </w:r>
      <w:r w:rsidR="00DD5F8E">
        <w:rPr>
          <w:rFonts w:ascii="Bookman Old Style" w:hAnsi="Bookman Old Style"/>
        </w:rPr>
        <w:t>hief; cross-examination, and re-examination. Mr. Hangandu argued strenuously that if it was intended that the examination should be understood in another sense</w:t>
      </w:r>
      <w:r w:rsidR="004D00D8">
        <w:rPr>
          <w:rFonts w:ascii="Bookman Old Style" w:hAnsi="Bookman Old Style"/>
        </w:rPr>
        <w:t>,</w:t>
      </w:r>
      <w:r w:rsidR="00DD5F8E">
        <w:rPr>
          <w:rFonts w:ascii="Bookman Old Style" w:hAnsi="Bookman Old Style"/>
        </w:rPr>
        <w:t xml:space="preserve"> then the rule would have expressly stated so. I endorse Mr</w:t>
      </w:r>
      <w:r w:rsidR="004D00D8">
        <w:rPr>
          <w:rFonts w:ascii="Bookman Old Style" w:hAnsi="Bookman Old Style"/>
        </w:rPr>
        <w:t xml:space="preserve">. Hangandu’s contention that under Rule 24 the parties are at liberty to examine witnesses </w:t>
      </w:r>
      <w:r w:rsidR="007101C4" w:rsidRPr="00F473C6">
        <w:rPr>
          <w:rFonts w:ascii="Bookman Old Style" w:hAnsi="Bookman Old Style"/>
          <w:i/>
        </w:rPr>
        <w:t>viva voce</w:t>
      </w:r>
      <w:r w:rsidR="007101C4">
        <w:rPr>
          <w:rFonts w:ascii="Bookman Old Style" w:hAnsi="Bookman Old Style"/>
        </w:rPr>
        <w:t xml:space="preserve">. The right to examine witness </w:t>
      </w:r>
      <w:r w:rsidR="00F473C6">
        <w:rPr>
          <w:rFonts w:ascii="Bookman Old Style" w:hAnsi="Bookman Old Style"/>
        </w:rPr>
        <w:t xml:space="preserve">under Rule 24 </w:t>
      </w:r>
      <w:r w:rsidR="004D00D8">
        <w:rPr>
          <w:rFonts w:ascii="Bookman Old Style" w:hAnsi="Bookman Old Style"/>
        </w:rPr>
        <w:t>is not qualified</w:t>
      </w:r>
      <w:r w:rsidR="00F473C6">
        <w:rPr>
          <w:rFonts w:ascii="Bookman Old Style" w:hAnsi="Bookman Old Style"/>
        </w:rPr>
        <w:t>. I</w:t>
      </w:r>
      <w:r w:rsidR="004D00D8">
        <w:rPr>
          <w:rFonts w:ascii="Bookman Old Style" w:hAnsi="Bookman Old Style"/>
        </w:rPr>
        <w:t>n my opinion</w:t>
      </w:r>
      <w:r w:rsidR="00F473C6">
        <w:rPr>
          <w:rFonts w:ascii="Bookman Old Style" w:hAnsi="Bookman Old Style"/>
        </w:rPr>
        <w:t>,</w:t>
      </w:r>
      <w:r w:rsidR="004D00D8">
        <w:rPr>
          <w:rFonts w:ascii="Bookman Old Style" w:hAnsi="Bookman Old Style"/>
        </w:rPr>
        <w:t xml:space="preserve"> the examination can be done either in person or through counsel. I further opine that the term “examination” in the context</w:t>
      </w:r>
      <w:r w:rsidR="006B0E84">
        <w:rPr>
          <w:rFonts w:ascii="Bookman Old Style" w:hAnsi="Bookman Old Style"/>
        </w:rPr>
        <w:t xml:space="preserve"> of</w:t>
      </w:r>
      <w:r w:rsidR="00F473C6">
        <w:rPr>
          <w:rFonts w:ascii="Bookman Old Style" w:hAnsi="Bookman Old Style"/>
        </w:rPr>
        <w:t xml:space="preserve"> Rule 24</w:t>
      </w:r>
      <w:r w:rsidR="004D00D8">
        <w:rPr>
          <w:rFonts w:ascii="Bookman Old Style" w:hAnsi="Bookman Old Style"/>
        </w:rPr>
        <w:t xml:space="preserve"> includes examination in chief; cross examination and re-examination. </w:t>
      </w:r>
      <w:r w:rsidR="00DD5F8E">
        <w:rPr>
          <w:rFonts w:ascii="Bookman Old Style" w:hAnsi="Bookman Old Style"/>
        </w:rPr>
        <w:t xml:space="preserve"> </w:t>
      </w:r>
    </w:p>
    <w:p w:rsidR="00755CD9" w:rsidRDefault="00755CD9" w:rsidP="007E13CF">
      <w:pPr>
        <w:spacing w:line="360" w:lineRule="auto"/>
        <w:jc w:val="both"/>
        <w:rPr>
          <w:rFonts w:ascii="Bookman Old Style" w:hAnsi="Bookman Old Style"/>
        </w:rPr>
      </w:pPr>
    </w:p>
    <w:p w:rsidR="009C6DB8" w:rsidRDefault="009C6DB8" w:rsidP="007E13CF">
      <w:pPr>
        <w:spacing w:line="360" w:lineRule="auto"/>
        <w:jc w:val="both"/>
        <w:rPr>
          <w:rFonts w:ascii="Bookman Old Style" w:hAnsi="Bookman Old Style"/>
        </w:rPr>
      </w:pPr>
      <w:r>
        <w:rPr>
          <w:rFonts w:ascii="Bookman Old Style" w:hAnsi="Bookman Old Style"/>
        </w:rPr>
        <w:t xml:space="preserve">As earlier on noted, Mr. Hangandu drew my attention to the </w:t>
      </w:r>
      <w:r w:rsidRPr="00581D70">
        <w:rPr>
          <w:rFonts w:ascii="Bookman Old Style" w:hAnsi="Bookman Old Style"/>
          <w:i/>
        </w:rPr>
        <w:t>Mullane case</w:t>
      </w:r>
      <w:r>
        <w:rPr>
          <w:rFonts w:ascii="Bookman Old Style" w:hAnsi="Bookman Old Style"/>
        </w:rPr>
        <w:t xml:space="preserve">. In the </w:t>
      </w:r>
      <w:r w:rsidRPr="00581D70">
        <w:rPr>
          <w:rFonts w:ascii="Bookman Old Style" w:hAnsi="Bookman Old Style"/>
          <w:i/>
        </w:rPr>
        <w:t>Mullane case</w:t>
      </w:r>
      <w:r>
        <w:rPr>
          <w:rFonts w:ascii="Bookman Old Style" w:hAnsi="Bookman Old Style"/>
        </w:rPr>
        <w:t xml:space="preserve"> it was held </w:t>
      </w:r>
      <w:r w:rsidR="006B0E84" w:rsidRPr="003900A9">
        <w:rPr>
          <w:rFonts w:ascii="Bookman Old Style" w:hAnsi="Bookman Old Style"/>
          <w:i/>
        </w:rPr>
        <w:t>inter alia</w:t>
      </w:r>
      <w:r w:rsidR="006B0E84">
        <w:rPr>
          <w:rFonts w:ascii="Bookman Old Style" w:hAnsi="Bookman Old Style"/>
        </w:rPr>
        <w:t xml:space="preserve"> </w:t>
      </w:r>
      <w:r>
        <w:rPr>
          <w:rFonts w:ascii="Bookman Old Style" w:hAnsi="Bookman Old Style"/>
        </w:rPr>
        <w:t>that:</w:t>
      </w:r>
    </w:p>
    <w:p w:rsidR="00AB3ADA" w:rsidRDefault="009C6DB8" w:rsidP="00581D70">
      <w:pPr>
        <w:spacing w:line="240" w:lineRule="auto"/>
        <w:jc w:val="both"/>
        <w:rPr>
          <w:rFonts w:ascii="Bookman Old Style" w:hAnsi="Bookman Old Style"/>
        </w:rPr>
      </w:pPr>
      <w:r>
        <w:rPr>
          <w:rFonts w:ascii="Bookman Old Style" w:hAnsi="Bookman Old Style"/>
        </w:rPr>
        <w:t>“</w:t>
      </w:r>
      <w:r w:rsidRPr="00AB3ADA">
        <w:rPr>
          <w:rFonts w:ascii="Bookman Old Style" w:hAnsi="Bookman Old Style"/>
          <w:i/>
        </w:rPr>
        <w:t xml:space="preserve">An elementary and fundamental requirement of due process in any proceeding which is to be accorded finality is notice reasonably calculated, under all circumstances, to apprise </w:t>
      </w:r>
      <w:r w:rsidR="00992A5F" w:rsidRPr="00AB3ADA">
        <w:rPr>
          <w:rFonts w:ascii="Bookman Old Style" w:hAnsi="Bookman Old Style"/>
          <w:i/>
        </w:rPr>
        <w:t>interest</w:t>
      </w:r>
      <w:r w:rsidR="00992A5F">
        <w:rPr>
          <w:rFonts w:ascii="Bookman Old Style" w:hAnsi="Bookman Old Style"/>
          <w:i/>
        </w:rPr>
        <w:t xml:space="preserve">ed </w:t>
      </w:r>
      <w:r w:rsidR="00992A5F" w:rsidRPr="00AB3ADA">
        <w:rPr>
          <w:rFonts w:ascii="Bookman Old Style" w:hAnsi="Bookman Old Style"/>
          <w:i/>
        </w:rPr>
        <w:t>parties</w:t>
      </w:r>
      <w:r w:rsidRPr="00AB3ADA">
        <w:rPr>
          <w:rFonts w:ascii="Bookman Old Style" w:hAnsi="Bookman Old Style"/>
          <w:i/>
        </w:rPr>
        <w:t xml:space="preserve"> on the penden</w:t>
      </w:r>
      <w:r w:rsidR="00581D70">
        <w:rPr>
          <w:rFonts w:ascii="Bookman Old Style" w:hAnsi="Bookman Old Style"/>
          <w:i/>
        </w:rPr>
        <w:t>cy of the action and afford the</w:t>
      </w:r>
      <w:r w:rsidRPr="00AB3ADA">
        <w:rPr>
          <w:rFonts w:ascii="Bookman Old Style" w:hAnsi="Bookman Old Style"/>
          <w:i/>
        </w:rPr>
        <w:t>m</w:t>
      </w:r>
      <w:r w:rsidR="00581D70">
        <w:rPr>
          <w:rFonts w:ascii="Bookman Old Style" w:hAnsi="Bookman Old Style"/>
          <w:i/>
        </w:rPr>
        <w:t xml:space="preserve"> </w:t>
      </w:r>
      <w:r w:rsidRPr="00AB3ADA">
        <w:rPr>
          <w:rFonts w:ascii="Bookman Old Style" w:hAnsi="Bookman Old Style"/>
          <w:i/>
        </w:rPr>
        <w:t>an opportunity to present their objections... the notice must be</w:t>
      </w:r>
      <w:r w:rsidR="00992A5F">
        <w:rPr>
          <w:rFonts w:ascii="Bookman Old Style" w:hAnsi="Bookman Old Style"/>
          <w:i/>
        </w:rPr>
        <w:t xml:space="preserve"> of such</w:t>
      </w:r>
      <w:r w:rsidRPr="00AB3ADA">
        <w:rPr>
          <w:rFonts w:ascii="Bookman Old Style" w:hAnsi="Bookman Old Style"/>
          <w:i/>
        </w:rPr>
        <w:t xml:space="preserve"> nature as reasonably to convey the require</w:t>
      </w:r>
      <w:r w:rsidR="00AB3ADA" w:rsidRPr="00AB3ADA">
        <w:rPr>
          <w:rFonts w:ascii="Bookman Old Style" w:hAnsi="Bookman Old Style"/>
          <w:i/>
        </w:rPr>
        <w:t>d information”</w:t>
      </w:r>
    </w:p>
    <w:p w:rsidR="004D00D8" w:rsidRDefault="00AB3ADA" w:rsidP="007E13CF">
      <w:pPr>
        <w:spacing w:line="360" w:lineRule="auto"/>
        <w:jc w:val="both"/>
        <w:rPr>
          <w:rFonts w:ascii="Bookman Old Style" w:hAnsi="Bookman Old Style"/>
        </w:rPr>
      </w:pPr>
      <w:r>
        <w:rPr>
          <w:rFonts w:ascii="Bookman Old Style" w:hAnsi="Bookman Old Style"/>
        </w:rPr>
        <w:t xml:space="preserve">The </w:t>
      </w:r>
      <w:r w:rsidRPr="00581D70">
        <w:rPr>
          <w:rFonts w:ascii="Bookman Old Style" w:hAnsi="Bookman Old Style"/>
          <w:i/>
        </w:rPr>
        <w:t>Mullane case</w:t>
      </w:r>
      <w:r w:rsidR="00581D70">
        <w:rPr>
          <w:rFonts w:ascii="Bookman Old Style" w:hAnsi="Bookman Old Style"/>
        </w:rPr>
        <w:t xml:space="preserve"> in my opinion lays down</w:t>
      </w:r>
      <w:r w:rsidR="006B0E84">
        <w:rPr>
          <w:rFonts w:ascii="Bookman Old Style" w:hAnsi="Bookman Old Style"/>
        </w:rPr>
        <w:t>,</w:t>
      </w:r>
      <w:r w:rsidR="00581D70">
        <w:rPr>
          <w:rFonts w:ascii="Bookman Old Style" w:hAnsi="Bookman Old Style"/>
        </w:rPr>
        <w:t xml:space="preserve"> in</w:t>
      </w:r>
      <w:r>
        <w:rPr>
          <w:rFonts w:ascii="Bookman Old Style" w:hAnsi="Bookman Old Style"/>
        </w:rPr>
        <w:t xml:space="preserve"> essence</w:t>
      </w:r>
      <w:r w:rsidR="006B0E84">
        <w:rPr>
          <w:rFonts w:ascii="Bookman Old Style" w:hAnsi="Bookman Old Style"/>
        </w:rPr>
        <w:t>,</w:t>
      </w:r>
      <w:r>
        <w:rPr>
          <w:rFonts w:ascii="Bookman Old Style" w:hAnsi="Bookman Old Style"/>
        </w:rPr>
        <w:t xml:space="preserve"> that it is a requirement of due process that a party in any proceedings should be accorded notice of the pending</w:t>
      </w:r>
      <w:r w:rsidR="00581D70">
        <w:rPr>
          <w:rFonts w:ascii="Bookman Old Style" w:hAnsi="Bookman Old Style"/>
        </w:rPr>
        <w:t>, action</w:t>
      </w:r>
      <w:r>
        <w:rPr>
          <w:rFonts w:ascii="Bookman Old Style" w:hAnsi="Bookman Old Style"/>
        </w:rPr>
        <w:t xml:space="preserve"> and should also be given</w:t>
      </w:r>
      <w:r w:rsidR="00581D70">
        <w:rPr>
          <w:rFonts w:ascii="Bookman Old Style" w:hAnsi="Bookman Old Style"/>
        </w:rPr>
        <w:t xml:space="preserve"> an opportunity to present </w:t>
      </w:r>
      <w:r w:rsidR="00F55706">
        <w:rPr>
          <w:rFonts w:ascii="Bookman Old Style" w:hAnsi="Bookman Old Style"/>
        </w:rPr>
        <w:t>their</w:t>
      </w:r>
      <w:r>
        <w:rPr>
          <w:rFonts w:ascii="Bookman Old Style" w:hAnsi="Bookman Old Style"/>
        </w:rPr>
        <w:t xml:space="preserve"> case and or objections. Be that as it may, it is in my opinion a fundamental</w:t>
      </w:r>
      <w:r w:rsidR="00992A5F">
        <w:rPr>
          <w:rFonts w:ascii="Bookman Old Style" w:hAnsi="Bookman Old Style"/>
        </w:rPr>
        <w:t xml:space="preserve"> principle of due</w:t>
      </w:r>
      <w:r w:rsidR="00581D70">
        <w:rPr>
          <w:rFonts w:ascii="Bookman Old Style" w:hAnsi="Bookman Old Style"/>
        </w:rPr>
        <w:t xml:space="preserve"> process that a</w:t>
      </w:r>
      <w:r>
        <w:rPr>
          <w:rFonts w:ascii="Bookman Old Style" w:hAnsi="Bookman Old Style"/>
        </w:rPr>
        <w:t xml:space="preserve">n unrepresented litigant should, as </w:t>
      </w:r>
      <w:r w:rsidR="00581D70">
        <w:rPr>
          <w:rFonts w:ascii="Bookman Old Style" w:hAnsi="Bookman Old Style"/>
        </w:rPr>
        <w:t xml:space="preserve">is </w:t>
      </w:r>
      <w:r>
        <w:rPr>
          <w:rFonts w:ascii="Bookman Old Style" w:hAnsi="Bookman Old Style"/>
        </w:rPr>
        <w:t>the case in criminal proceedings, be accorded the opportunity to examine the witnesses called by the adversary</w:t>
      </w:r>
      <w:r w:rsidR="00992A5F">
        <w:rPr>
          <w:rFonts w:ascii="Bookman Old Style" w:hAnsi="Bookman Old Style"/>
        </w:rPr>
        <w:t>,</w:t>
      </w:r>
      <w:r>
        <w:rPr>
          <w:rFonts w:ascii="Bookman Old Style" w:hAnsi="Bookman Old Style"/>
        </w:rPr>
        <w:t xml:space="preserve"> as well as his own. The examination should include examination in chief</w:t>
      </w:r>
      <w:r w:rsidR="000324A7">
        <w:rPr>
          <w:rFonts w:ascii="Bookman Old Style" w:hAnsi="Bookman Old Style"/>
        </w:rPr>
        <w:t xml:space="preserve">; cross-examination and re-examination. </w:t>
      </w:r>
      <w:r w:rsidR="00581D70">
        <w:rPr>
          <w:rFonts w:ascii="Bookman Old Style" w:hAnsi="Bookman Old Style"/>
        </w:rPr>
        <w:t>Surely, what is good for the g</w:t>
      </w:r>
      <w:r w:rsidR="00992A5F">
        <w:rPr>
          <w:rFonts w:ascii="Bookman Old Style" w:hAnsi="Bookman Old Style"/>
        </w:rPr>
        <w:t>a</w:t>
      </w:r>
      <w:r w:rsidR="00581D70">
        <w:rPr>
          <w:rFonts w:ascii="Bookman Old Style" w:hAnsi="Bookman Old Style"/>
        </w:rPr>
        <w:t>nd</w:t>
      </w:r>
      <w:r w:rsidR="000324A7">
        <w:rPr>
          <w:rFonts w:ascii="Bookman Old Style" w:hAnsi="Bookman Old Style"/>
        </w:rPr>
        <w:t xml:space="preserve">er must be good for the goose. </w:t>
      </w:r>
      <w:r>
        <w:rPr>
          <w:rFonts w:ascii="Bookman Old Style" w:hAnsi="Bookman Old Style"/>
        </w:rPr>
        <w:t xml:space="preserve">   </w:t>
      </w:r>
      <w:r w:rsidR="009C6DB8">
        <w:rPr>
          <w:rFonts w:ascii="Bookman Old Style" w:hAnsi="Bookman Old Style"/>
        </w:rPr>
        <w:t xml:space="preserve"> </w:t>
      </w:r>
    </w:p>
    <w:p w:rsidR="0030041C" w:rsidRDefault="0030041C" w:rsidP="007E13CF">
      <w:pPr>
        <w:spacing w:line="360" w:lineRule="auto"/>
        <w:jc w:val="both"/>
        <w:rPr>
          <w:rFonts w:ascii="Bookman Old Style" w:hAnsi="Bookman Old Style"/>
        </w:rPr>
      </w:pPr>
      <w:r>
        <w:rPr>
          <w:rFonts w:ascii="Bookman Old Style" w:hAnsi="Bookman Old Style"/>
        </w:rPr>
        <w:t xml:space="preserve">The objection </w:t>
      </w:r>
      <w:r w:rsidR="004D00D8">
        <w:rPr>
          <w:rFonts w:ascii="Bookman Old Style" w:hAnsi="Bookman Old Style"/>
        </w:rPr>
        <w:t xml:space="preserve">raised </w:t>
      </w:r>
      <w:r>
        <w:rPr>
          <w:rFonts w:ascii="Bookman Old Style" w:hAnsi="Bookman Old Style"/>
        </w:rPr>
        <w:t>by the respondent seems in my opinion to be c</w:t>
      </w:r>
      <w:r w:rsidR="004D00D8">
        <w:rPr>
          <w:rFonts w:ascii="Bookman Old Style" w:hAnsi="Bookman Old Style"/>
        </w:rPr>
        <w:t>hiefly founded i</w:t>
      </w:r>
      <w:r>
        <w:rPr>
          <w:rFonts w:ascii="Bookman Old Style" w:hAnsi="Bookman Old Style"/>
        </w:rPr>
        <w:t xml:space="preserve">n the </w:t>
      </w:r>
      <w:r w:rsidR="004D00D8">
        <w:rPr>
          <w:rFonts w:ascii="Bookman Old Style" w:hAnsi="Bookman Old Style"/>
        </w:rPr>
        <w:t xml:space="preserve">apprehension </w:t>
      </w:r>
      <w:r>
        <w:rPr>
          <w:rFonts w:ascii="Bookman Old Style" w:hAnsi="Bookman Old Style"/>
        </w:rPr>
        <w:t xml:space="preserve">of Mr. Hangandu </w:t>
      </w:r>
      <w:r w:rsidR="00617043">
        <w:rPr>
          <w:rFonts w:ascii="Bookman Old Style" w:hAnsi="Bookman Old Style"/>
        </w:rPr>
        <w:t>seemingly</w:t>
      </w:r>
      <w:r>
        <w:rPr>
          <w:rFonts w:ascii="Bookman Old Style" w:hAnsi="Bookman Old Style"/>
        </w:rPr>
        <w:t xml:space="preserve"> vacil</w:t>
      </w:r>
      <w:r w:rsidR="004D00D8">
        <w:rPr>
          <w:rFonts w:ascii="Bookman Old Style" w:hAnsi="Bookman Old Style"/>
        </w:rPr>
        <w:t xml:space="preserve">lating from the bar to the witness </w:t>
      </w:r>
      <w:r w:rsidR="00617043">
        <w:rPr>
          <w:rFonts w:ascii="Bookman Old Style" w:hAnsi="Bookman Old Style"/>
        </w:rPr>
        <w:t xml:space="preserve">box and vice versa. </w:t>
      </w:r>
      <w:r>
        <w:rPr>
          <w:rFonts w:ascii="Bookman Old Style" w:hAnsi="Bookman Old Style"/>
        </w:rPr>
        <w:t xml:space="preserve">I have already held that </w:t>
      </w:r>
      <w:r w:rsidR="00617043">
        <w:rPr>
          <w:rFonts w:ascii="Bookman Old Style" w:hAnsi="Bookman Old Style"/>
        </w:rPr>
        <w:t xml:space="preserve">in </w:t>
      </w:r>
      <w:r>
        <w:rPr>
          <w:rFonts w:ascii="Bookman Old Style" w:hAnsi="Bookman Old Style"/>
        </w:rPr>
        <w:t>these proceeding</w:t>
      </w:r>
      <w:r w:rsidR="004D00D8">
        <w:rPr>
          <w:rFonts w:ascii="Bookman Old Style" w:hAnsi="Bookman Old Style"/>
        </w:rPr>
        <w:t>s</w:t>
      </w:r>
      <w:r>
        <w:rPr>
          <w:rFonts w:ascii="Bookman Old Style" w:hAnsi="Bookman Old Style"/>
        </w:rPr>
        <w:t xml:space="preserve">. Mr. Hangandu is </w:t>
      </w:r>
      <w:r w:rsidR="004D00D8">
        <w:rPr>
          <w:rFonts w:ascii="Bookman Old Style" w:hAnsi="Bookman Old Style"/>
        </w:rPr>
        <w:t xml:space="preserve">an </w:t>
      </w:r>
      <w:r>
        <w:rPr>
          <w:rFonts w:ascii="Bookman Old Style" w:hAnsi="Bookman Old Style"/>
        </w:rPr>
        <w:t>unrepresented litigant. At any ra</w:t>
      </w:r>
      <w:r w:rsidR="00B0455C">
        <w:rPr>
          <w:rFonts w:ascii="Bookman Old Style" w:hAnsi="Bookman Old Style"/>
        </w:rPr>
        <w:t>te</w:t>
      </w:r>
      <w:r w:rsidR="00F473C6">
        <w:rPr>
          <w:rFonts w:ascii="Bookman Old Style" w:hAnsi="Bookman Old Style"/>
        </w:rPr>
        <w:t>,</w:t>
      </w:r>
      <w:r w:rsidR="00B0455C">
        <w:rPr>
          <w:rFonts w:ascii="Bookman Old Style" w:hAnsi="Bookman Old Style"/>
        </w:rPr>
        <w:t xml:space="preserve"> there is no rule of law that</w:t>
      </w:r>
      <w:r w:rsidR="00617043">
        <w:rPr>
          <w:rFonts w:ascii="Bookman Old Style" w:hAnsi="Bookman Old Style"/>
        </w:rPr>
        <w:t xml:space="preserve"> prohibits a </w:t>
      </w:r>
      <w:r w:rsidR="006B0E84">
        <w:rPr>
          <w:rFonts w:ascii="Bookman Old Style" w:hAnsi="Bookman Old Style"/>
        </w:rPr>
        <w:t>Legal Practitioner f</w:t>
      </w:r>
      <w:r w:rsidR="00F55706">
        <w:rPr>
          <w:rFonts w:ascii="Bookman Old Style" w:hAnsi="Bookman Old Style"/>
        </w:rPr>
        <w:t>r</w:t>
      </w:r>
      <w:r w:rsidR="006B0E84">
        <w:rPr>
          <w:rFonts w:ascii="Bookman Old Style" w:hAnsi="Bookman Old Style"/>
        </w:rPr>
        <w:t>o</w:t>
      </w:r>
      <w:r w:rsidR="00F55706">
        <w:rPr>
          <w:rFonts w:ascii="Bookman Old Style" w:hAnsi="Bookman Old Style"/>
        </w:rPr>
        <w:t>m appearing in person.</w:t>
      </w:r>
      <w:r w:rsidR="00B0455C">
        <w:rPr>
          <w:rFonts w:ascii="Bookman Old Style" w:hAnsi="Bookman Old Style"/>
        </w:rPr>
        <w:t xml:space="preserve"> </w:t>
      </w:r>
      <w:r w:rsidR="004D00D8">
        <w:rPr>
          <w:rFonts w:ascii="Bookman Old Style" w:hAnsi="Bookman Old Style"/>
        </w:rPr>
        <w:t>In</w:t>
      </w:r>
      <w:r>
        <w:rPr>
          <w:rFonts w:ascii="Bookman Old Style" w:hAnsi="Bookman Old Style"/>
        </w:rPr>
        <w:t xml:space="preserve"> view of the foregoing, I have </w:t>
      </w:r>
      <w:r w:rsidR="00B0455C">
        <w:rPr>
          <w:rFonts w:ascii="Bookman Old Style" w:hAnsi="Bookman Old Style"/>
        </w:rPr>
        <w:t xml:space="preserve">come </w:t>
      </w:r>
      <w:r>
        <w:rPr>
          <w:rFonts w:ascii="Bookman Old Style" w:hAnsi="Bookman Old Style"/>
        </w:rPr>
        <w:t xml:space="preserve">to </w:t>
      </w:r>
      <w:r w:rsidR="00B0455C">
        <w:rPr>
          <w:rFonts w:ascii="Bookman Old Style" w:hAnsi="Bookman Old Style"/>
        </w:rPr>
        <w:t>the firm conclusion that it</w:t>
      </w:r>
      <w:r>
        <w:rPr>
          <w:rFonts w:ascii="Bookman Old Style" w:hAnsi="Bookman Old Style"/>
        </w:rPr>
        <w:t xml:space="preserve"> is in the interest of justice and fair adjudication to permit </w:t>
      </w:r>
      <w:r w:rsidR="00B0455C">
        <w:rPr>
          <w:rFonts w:ascii="Bookman Old Style" w:hAnsi="Bookman Old Style"/>
        </w:rPr>
        <w:t xml:space="preserve">Mr. Hangandu </w:t>
      </w:r>
      <w:r>
        <w:rPr>
          <w:rFonts w:ascii="Bookman Old Style" w:hAnsi="Bookman Old Style"/>
        </w:rPr>
        <w:t xml:space="preserve">to examine </w:t>
      </w:r>
      <w:r w:rsidR="00B0455C">
        <w:rPr>
          <w:rFonts w:ascii="Bookman Old Style" w:hAnsi="Bookman Old Style"/>
        </w:rPr>
        <w:t xml:space="preserve">the respondent’s </w:t>
      </w:r>
      <w:r w:rsidR="00F473C6">
        <w:rPr>
          <w:rFonts w:ascii="Bookman Old Style" w:hAnsi="Bookman Old Style"/>
        </w:rPr>
        <w:t xml:space="preserve">and his own </w:t>
      </w:r>
      <w:r w:rsidR="00B0455C">
        <w:rPr>
          <w:rFonts w:ascii="Bookman Old Style" w:hAnsi="Bookman Old Style"/>
        </w:rPr>
        <w:t>witnesses. The examination shall include examination</w:t>
      </w:r>
      <w:r>
        <w:rPr>
          <w:rFonts w:ascii="Bookman Old Style" w:hAnsi="Bookman Old Style"/>
        </w:rPr>
        <w:t xml:space="preserve"> in chief; cross-examination and re-examination. </w:t>
      </w:r>
    </w:p>
    <w:p w:rsidR="0030041C" w:rsidRDefault="0030041C" w:rsidP="007E13CF">
      <w:pPr>
        <w:spacing w:line="360" w:lineRule="auto"/>
        <w:jc w:val="both"/>
        <w:rPr>
          <w:rFonts w:ascii="Bookman Old Style" w:hAnsi="Bookman Old Style"/>
        </w:rPr>
      </w:pPr>
    </w:p>
    <w:p w:rsidR="00B0455C" w:rsidRDefault="00B0455C" w:rsidP="007E13CF">
      <w:pPr>
        <w:spacing w:line="360" w:lineRule="auto"/>
        <w:jc w:val="both"/>
        <w:rPr>
          <w:rFonts w:ascii="Bookman Old Style" w:hAnsi="Bookman Old Style"/>
        </w:rPr>
      </w:pPr>
      <w:r>
        <w:rPr>
          <w:rFonts w:ascii="Bookman Old Style" w:hAnsi="Bookman Old Style"/>
        </w:rPr>
        <w:t>There is no doubt that this ap</w:t>
      </w:r>
      <w:r w:rsidR="00617043">
        <w:rPr>
          <w:rFonts w:ascii="Bookman Old Style" w:hAnsi="Bookman Old Style"/>
        </w:rPr>
        <w:t>plication has raised important c</w:t>
      </w:r>
      <w:r>
        <w:rPr>
          <w:rFonts w:ascii="Bookman Old Style" w:hAnsi="Bookman Old Style"/>
        </w:rPr>
        <w:t>onstitution</w:t>
      </w:r>
      <w:r w:rsidR="00617043">
        <w:rPr>
          <w:rFonts w:ascii="Bookman Old Style" w:hAnsi="Bookman Old Style"/>
        </w:rPr>
        <w:t>al</w:t>
      </w:r>
      <w:r>
        <w:rPr>
          <w:rFonts w:ascii="Bookman Old Style" w:hAnsi="Bookman Old Style"/>
        </w:rPr>
        <w:t xml:space="preserve"> and professional issues. A</w:t>
      </w:r>
      <w:r w:rsidR="00F473C6">
        <w:rPr>
          <w:rFonts w:ascii="Bookman Old Style" w:hAnsi="Bookman Old Style"/>
        </w:rPr>
        <w:t>nd the practice of the C</w:t>
      </w:r>
      <w:r w:rsidR="00617043">
        <w:rPr>
          <w:rFonts w:ascii="Bookman Old Style" w:hAnsi="Bookman Old Style"/>
        </w:rPr>
        <w:t>ourts is</w:t>
      </w:r>
      <w:r>
        <w:rPr>
          <w:rFonts w:ascii="Bookman Old Style" w:hAnsi="Bookman Old Style"/>
        </w:rPr>
        <w:t xml:space="preserve"> to depart from the general rule that costs follow the event. I therefore order that each party bears its own costs. </w:t>
      </w:r>
    </w:p>
    <w:p w:rsidR="0030041C" w:rsidRDefault="0030041C" w:rsidP="007E13CF">
      <w:pPr>
        <w:spacing w:line="360" w:lineRule="auto"/>
        <w:jc w:val="both"/>
        <w:rPr>
          <w:rFonts w:ascii="Bookman Old Style" w:hAnsi="Bookman Old Style"/>
        </w:rPr>
      </w:pPr>
      <w:r>
        <w:rPr>
          <w:rFonts w:ascii="Bookman Old Style" w:hAnsi="Bookman Old Style"/>
        </w:rPr>
        <w:t xml:space="preserve">Leave to appeal is hereby granted.  </w:t>
      </w:r>
      <w:r w:rsidR="00755CD9">
        <w:rPr>
          <w:rFonts w:ascii="Bookman Old Style" w:hAnsi="Bookman Old Style"/>
        </w:rPr>
        <w:t xml:space="preserve"> </w:t>
      </w:r>
      <w:r w:rsidR="00DD5F8E">
        <w:rPr>
          <w:rFonts w:ascii="Bookman Old Style" w:hAnsi="Bookman Old Style"/>
        </w:rPr>
        <w:t xml:space="preserve"> </w:t>
      </w:r>
    </w:p>
    <w:p w:rsidR="0030041C" w:rsidRPr="0030041C" w:rsidRDefault="0030041C" w:rsidP="0030041C">
      <w:pPr>
        <w:spacing w:line="360" w:lineRule="auto"/>
        <w:jc w:val="center"/>
        <w:rPr>
          <w:rFonts w:ascii="Bookman Old Style" w:hAnsi="Bookman Old Style"/>
          <w:sz w:val="24"/>
          <w:szCs w:val="24"/>
        </w:rPr>
      </w:pPr>
      <w:r w:rsidRPr="0030041C">
        <w:rPr>
          <w:rFonts w:ascii="Bookman Old Style" w:hAnsi="Bookman Old Style"/>
          <w:sz w:val="24"/>
          <w:szCs w:val="24"/>
        </w:rPr>
        <w:t>______________________________</w:t>
      </w:r>
    </w:p>
    <w:p w:rsidR="0030041C" w:rsidRPr="0030041C" w:rsidRDefault="0030041C" w:rsidP="0030041C">
      <w:pPr>
        <w:spacing w:line="360" w:lineRule="auto"/>
        <w:jc w:val="center"/>
        <w:rPr>
          <w:rFonts w:ascii="Bookman Old Style" w:hAnsi="Bookman Old Style"/>
          <w:b/>
          <w:sz w:val="24"/>
          <w:szCs w:val="24"/>
        </w:rPr>
      </w:pPr>
      <w:r w:rsidRPr="0030041C">
        <w:rPr>
          <w:rFonts w:ascii="Bookman Old Style" w:hAnsi="Bookman Old Style"/>
          <w:b/>
          <w:sz w:val="24"/>
          <w:szCs w:val="24"/>
        </w:rPr>
        <w:t>Dr. P. Matibini, SC.</w:t>
      </w:r>
    </w:p>
    <w:p w:rsidR="00756BFD" w:rsidRPr="0030041C" w:rsidRDefault="0030041C" w:rsidP="0030041C">
      <w:pPr>
        <w:spacing w:line="360" w:lineRule="auto"/>
        <w:jc w:val="center"/>
        <w:rPr>
          <w:rFonts w:ascii="Bookman Old Style" w:hAnsi="Bookman Old Style"/>
          <w:b/>
          <w:sz w:val="24"/>
          <w:szCs w:val="24"/>
        </w:rPr>
      </w:pPr>
      <w:r w:rsidRPr="0030041C">
        <w:rPr>
          <w:rFonts w:ascii="Bookman Old Style" w:hAnsi="Bookman Old Style"/>
          <w:b/>
          <w:sz w:val="24"/>
          <w:szCs w:val="24"/>
        </w:rPr>
        <w:t>HIGH COURT JUDGE</w:t>
      </w:r>
    </w:p>
    <w:p w:rsidR="00D80F4D" w:rsidRDefault="003208D9" w:rsidP="007E13CF">
      <w:pPr>
        <w:spacing w:line="360" w:lineRule="auto"/>
        <w:jc w:val="both"/>
        <w:rPr>
          <w:rFonts w:ascii="Bookman Old Style" w:hAnsi="Bookman Old Style"/>
        </w:rPr>
      </w:pPr>
      <w:r>
        <w:rPr>
          <w:rFonts w:ascii="Bookman Old Style" w:hAnsi="Bookman Old Style"/>
        </w:rPr>
        <w:tab/>
      </w:r>
      <w:r w:rsidR="00744066">
        <w:rPr>
          <w:rFonts w:ascii="Bookman Old Style" w:hAnsi="Bookman Old Style"/>
        </w:rPr>
        <w:t xml:space="preserve">   </w:t>
      </w:r>
      <w:r w:rsidR="005635B9">
        <w:rPr>
          <w:rFonts w:ascii="Bookman Old Style" w:hAnsi="Bookman Old Style"/>
        </w:rPr>
        <w:t xml:space="preserve">   </w:t>
      </w:r>
      <w:r w:rsidR="00D425D4">
        <w:rPr>
          <w:rFonts w:ascii="Bookman Old Style" w:hAnsi="Bookman Old Style"/>
        </w:rPr>
        <w:t xml:space="preserve"> </w:t>
      </w:r>
      <w:r w:rsidR="005B6883">
        <w:rPr>
          <w:rFonts w:ascii="Bookman Old Style" w:hAnsi="Bookman Old Style"/>
        </w:rPr>
        <w:t xml:space="preserve">  </w:t>
      </w:r>
      <w:r w:rsidR="00F44C5F">
        <w:rPr>
          <w:rFonts w:ascii="Bookman Old Style" w:hAnsi="Bookman Old Style"/>
        </w:rPr>
        <w:t xml:space="preserve">  </w:t>
      </w:r>
      <w:r w:rsidR="00D80F4D">
        <w:rPr>
          <w:rFonts w:ascii="Bookman Old Style" w:hAnsi="Bookman Old Style"/>
        </w:rPr>
        <w:t xml:space="preserve"> </w:t>
      </w:r>
    </w:p>
    <w:p w:rsidR="0087141D" w:rsidRPr="009D4A79" w:rsidRDefault="003067FD" w:rsidP="009D4A79">
      <w:pPr>
        <w:spacing w:line="360" w:lineRule="auto"/>
        <w:jc w:val="both"/>
        <w:rPr>
          <w:rFonts w:ascii="Bookman Old Style" w:hAnsi="Bookman Old Style"/>
        </w:rPr>
      </w:pPr>
      <w:r>
        <w:rPr>
          <w:rFonts w:ascii="Bookman Old Style" w:hAnsi="Bookman Old Style"/>
        </w:rPr>
        <w:tab/>
        <w:t xml:space="preserve"> </w:t>
      </w:r>
      <w:r w:rsidR="009F3387">
        <w:rPr>
          <w:rFonts w:ascii="Bookman Old Style" w:hAnsi="Bookman Old Style"/>
        </w:rPr>
        <w:t xml:space="preserve"> </w:t>
      </w:r>
      <w:r w:rsidR="00994840">
        <w:rPr>
          <w:rFonts w:ascii="Bookman Old Style" w:hAnsi="Bookman Old Style"/>
        </w:rPr>
        <w:t xml:space="preserve"> </w:t>
      </w:r>
      <w:r w:rsidR="00D83FB4">
        <w:rPr>
          <w:rFonts w:ascii="Bookman Old Style" w:hAnsi="Bookman Old Style"/>
        </w:rPr>
        <w:t xml:space="preserve"> </w:t>
      </w:r>
      <w:r w:rsidR="00040717">
        <w:rPr>
          <w:rFonts w:ascii="Bookman Old Style" w:hAnsi="Bookman Old Style"/>
        </w:rPr>
        <w:t xml:space="preserve"> </w:t>
      </w:r>
      <w:r w:rsidR="0078587F">
        <w:rPr>
          <w:rFonts w:ascii="Bookman Old Style" w:hAnsi="Bookman Old Style"/>
        </w:rPr>
        <w:t xml:space="preserve"> </w:t>
      </w:r>
      <w:r w:rsidR="00B75D3E">
        <w:rPr>
          <w:rFonts w:ascii="Bookman Old Style" w:hAnsi="Bookman Old Style"/>
        </w:rPr>
        <w:t xml:space="preserve"> </w:t>
      </w:r>
      <w:r w:rsidR="007E13CF" w:rsidRPr="007E13CF">
        <w:rPr>
          <w:rFonts w:ascii="Bookman Old Style" w:hAnsi="Bookman Old Style"/>
        </w:rPr>
        <w:t xml:space="preserve">  </w:t>
      </w:r>
      <w:r w:rsidR="00423B18" w:rsidRPr="007E13CF">
        <w:rPr>
          <w:rFonts w:ascii="Bookman Old Style" w:hAnsi="Bookman Old Style"/>
        </w:rPr>
        <w:t xml:space="preserve">  </w:t>
      </w:r>
      <w:r w:rsidR="001E2E14" w:rsidRPr="007E13CF">
        <w:rPr>
          <w:rFonts w:ascii="Bookman Old Style" w:hAnsi="Bookman Old Style"/>
        </w:rPr>
        <w:t xml:space="preserve">  </w:t>
      </w:r>
      <w:r w:rsidR="001E2E14" w:rsidRPr="007E13CF">
        <w:rPr>
          <w:rFonts w:ascii="Bookman Old Style" w:hAnsi="Bookman Old Style"/>
          <w:i/>
        </w:rPr>
        <w:t xml:space="preserve"> </w:t>
      </w:r>
      <w:r w:rsidR="00C53A8B" w:rsidRPr="007E13CF">
        <w:rPr>
          <w:rFonts w:ascii="Bookman Old Style" w:hAnsi="Bookman Old Style"/>
          <w:i/>
        </w:rPr>
        <w:t xml:space="preserve"> </w:t>
      </w:r>
    </w:p>
    <w:sectPr w:rsidR="0087141D" w:rsidRPr="009D4A79" w:rsidSect="0087141D">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4633" w:rsidRDefault="001D4633" w:rsidP="00637FB9">
      <w:pPr>
        <w:spacing w:after="0" w:line="240" w:lineRule="auto"/>
      </w:pPr>
      <w:r>
        <w:separator/>
      </w:r>
    </w:p>
  </w:endnote>
  <w:endnote w:type="continuationSeparator" w:id="0">
    <w:p w:rsidR="001D4633" w:rsidRDefault="001D4633" w:rsidP="00637F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886715"/>
      <w:docPartObj>
        <w:docPartGallery w:val="Page Numbers (Bottom of Page)"/>
        <w:docPartUnique/>
      </w:docPartObj>
    </w:sdtPr>
    <w:sdtContent>
      <w:p w:rsidR="004D00D8" w:rsidRDefault="004D00D8">
        <w:pPr>
          <w:pStyle w:val="Footer"/>
          <w:jc w:val="center"/>
        </w:pPr>
        <w:r>
          <w:t>R</w:t>
        </w:r>
        <w:fldSimple w:instr=" PAGE   \* MERGEFORMAT ">
          <w:r w:rsidR="001D4633">
            <w:rPr>
              <w:noProof/>
            </w:rPr>
            <w:t>1</w:t>
          </w:r>
        </w:fldSimple>
      </w:p>
    </w:sdtContent>
  </w:sdt>
  <w:p w:rsidR="004D00D8" w:rsidRDefault="004D00D8" w:rsidP="00637FB9">
    <w:pPr>
      <w:pStyle w:val="Footer"/>
      <w:tabs>
        <w:tab w:val="left" w:pos="2340"/>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4633" w:rsidRDefault="001D4633" w:rsidP="00637FB9">
      <w:pPr>
        <w:spacing w:after="0" w:line="240" w:lineRule="auto"/>
      </w:pPr>
      <w:r>
        <w:separator/>
      </w:r>
    </w:p>
  </w:footnote>
  <w:footnote w:type="continuationSeparator" w:id="0">
    <w:p w:rsidR="001D4633" w:rsidRDefault="001D4633" w:rsidP="00637FB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C53F50"/>
    <w:multiLevelType w:val="hybridMultilevel"/>
    <w:tmpl w:val="0F0CB990"/>
    <w:lvl w:ilvl="0" w:tplc="3650FD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7E1171"/>
    <w:multiLevelType w:val="hybridMultilevel"/>
    <w:tmpl w:val="5F70B1FC"/>
    <w:lvl w:ilvl="0" w:tplc="84E0F6B0">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53F3D64"/>
    <w:multiLevelType w:val="hybridMultilevel"/>
    <w:tmpl w:val="BD0E4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9BF6557"/>
    <w:multiLevelType w:val="hybridMultilevel"/>
    <w:tmpl w:val="F2EE3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15420B"/>
    <w:rsid w:val="00004E0F"/>
    <w:rsid w:val="0002759B"/>
    <w:rsid w:val="000324A7"/>
    <w:rsid w:val="00040717"/>
    <w:rsid w:val="00047EE4"/>
    <w:rsid w:val="000A7C7A"/>
    <w:rsid w:val="000C690A"/>
    <w:rsid w:val="001343EA"/>
    <w:rsid w:val="001540A7"/>
    <w:rsid w:val="0015420B"/>
    <w:rsid w:val="001D4633"/>
    <w:rsid w:val="001E2E14"/>
    <w:rsid w:val="00210572"/>
    <w:rsid w:val="002C3F19"/>
    <w:rsid w:val="0030041C"/>
    <w:rsid w:val="003067FD"/>
    <w:rsid w:val="003208D9"/>
    <w:rsid w:val="00337B32"/>
    <w:rsid w:val="003900A9"/>
    <w:rsid w:val="003C4C3A"/>
    <w:rsid w:val="003E6D78"/>
    <w:rsid w:val="00423B18"/>
    <w:rsid w:val="004D00D8"/>
    <w:rsid w:val="004D46C8"/>
    <w:rsid w:val="00533C83"/>
    <w:rsid w:val="005635B9"/>
    <w:rsid w:val="00566967"/>
    <w:rsid w:val="00581D70"/>
    <w:rsid w:val="0058284E"/>
    <w:rsid w:val="005B6883"/>
    <w:rsid w:val="005E4B13"/>
    <w:rsid w:val="00617043"/>
    <w:rsid w:val="00637FB9"/>
    <w:rsid w:val="006B0E84"/>
    <w:rsid w:val="006E356C"/>
    <w:rsid w:val="006F2F10"/>
    <w:rsid w:val="007067EF"/>
    <w:rsid w:val="007101C4"/>
    <w:rsid w:val="00744066"/>
    <w:rsid w:val="00755CD9"/>
    <w:rsid w:val="00756BFD"/>
    <w:rsid w:val="00773DF3"/>
    <w:rsid w:val="0078512F"/>
    <w:rsid w:val="0078587F"/>
    <w:rsid w:val="007B048D"/>
    <w:rsid w:val="007E13CF"/>
    <w:rsid w:val="008134E0"/>
    <w:rsid w:val="00823661"/>
    <w:rsid w:val="0084276F"/>
    <w:rsid w:val="0087141D"/>
    <w:rsid w:val="00892A1D"/>
    <w:rsid w:val="009262F1"/>
    <w:rsid w:val="00992A5F"/>
    <w:rsid w:val="00994840"/>
    <w:rsid w:val="009B76ED"/>
    <w:rsid w:val="009C6DB8"/>
    <w:rsid w:val="009D4A79"/>
    <w:rsid w:val="009E0286"/>
    <w:rsid w:val="009F3387"/>
    <w:rsid w:val="009F6F75"/>
    <w:rsid w:val="00A27977"/>
    <w:rsid w:val="00AB3ADA"/>
    <w:rsid w:val="00AD7E86"/>
    <w:rsid w:val="00B0455C"/>
    <w:rsid w:val="00B75D3E"/>
    <w:rsid w:val="00BA6F02"/>
    <w:rsid w:val="00BD23D3"/>
    <w:rsid w:val="00C22BA1"/>
    <w:rsid w:val="00C4046B"/>
    <w:rsid w:val="00C47B82"/>
    <w:rsid w:val="00C53A8B"/>
    <w:rsid w:val="00C61A23"/>
    <w:rsid w:val="00CE59B6"/>
    <w:rsid w:val="00CF0A8D"/>
    <w:rsid w:val="00D32192"/>
    <w:rsid w:val="00D425D4"/>
    <w:rsid w:val="00D45D3B"/>
    <w:rsid w:val="00D80F4D"/>
    <w:rsid w:val="00D83FB4"/>
    <w:rsid w:val="00DD5F8E"/>
    <w:rsid w:val="00E24D4A"/>
    <w:rsid w:val="00E37CFA"/>
    <w:rsid w:val="00E776D4"/>
    <w:rsid w:val="00E95FEA"/>
    <w:rsid w:val="00EA5C38"/>
    <w:rsid w:val="00F323F5"/>
    <w:rsid w:val="00F32881"/>
    <w:rsid w:val="00F44C5F"/>
    <w:rsid w:val="00F473C6"/>
    <w:rsid w:val="00F55706"/>
    <w:rsid w:val="00FB0107"/>
    <w:rsid w:val="00FB395E"/>
    <w:rsid w:val="00FD72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20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420B"/>
    <w:pPr>
      <w:ind w:left="720"/>
      <w:contextualSpacing/>
    </w:pPr>
  </w:style>
  <w:style w:type="paragraph" w:styleId="Header">
    <w:name w:val="header"/>
    <w:basedOn w:val="Normal"/>
    <w:link w:val="HeaderChar"/>
    <w:uiPriority w:val="99"/>
    <w:semiHidden/>
    <w:unhideWhenUsed/>
    <w:rsid w:val="00637FB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37FB9"/>
  </w:style>
  <w:style w:type="paragraph" w:styleId="Footer">
    <w:name w:val="footer"/>
    <w:basedOn w:val="Normal"/>
    <w:link w:val="FooterChar"/>
    <w:uiPriority w:val="99"/>
    <w:unhideWhenUsed/>
    <w:rsid w:val="00637F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7FB9"/>
  </w:style>
  <w:style w:type="paragraph" w:styleId="BalloonText">
    <w:name w:val="Balloon Text"/>
    <w:basedOn w:val="Normal"/>
    <w:link w:val="BalloonTextChar"/>
    <w:uiPriority w:val="99"/>
    <w:semiHidden/>
    <w:unhideWhenUsed/>
    <w:rsid w:val="00637F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7FB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760</TotalTime>
  <Pages>12</Pages>
  <Words>3325</Words>
  <Characters>18959</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41</cp:revision>
  <cp:lastPrinted>2011-05-14T08:08:00Z</cp:lastPrinted>
  <dcterms:created xsi:type="dcterms:W3CDTF">2011-04-20T06:30:00Z</dcterms:created>
  <dcterms:modified xsi:type="dcterms:W3CDTF">2011-05-14T08:14:00Z</dcterms:modified>
</cp:coreProperties>
</file>