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09" w:rsidRPr="008F7F29" w:rsidRDefault="00153D09" w:rsidP="00A5225D">
      <w:pPr>
        <w:spacing w:after="0" w:line="240" w:lineRule="auto"/>
        <w:rPr>
          <w:rFonts w:ascii="Bookman Old Style" w:eastAsia="Arial Unicode MS" w:hAnsi="Bookman Old Style" w:cs="Arial Unicode MS"/>
          <w:sz w:val="28"/>
          <w:szCs w:val="28"/>
        </w:rPr>
      </w:pPr>
      <w:r w:rsidRPr="008F7F29">
        <w:rPr>
          <w:rFonts w:ascii="Bookman Old Style" w:eastAsia="Arial Unicode MS" w:hAnsi="Bookman Old Style" w:cs="Arial Unicode MS"/>
          <w:b/>
          <w:sz w:val="28"/>
          <w:szCs w:val="28"/>
          <w:u w:val="single"/>
        </w:rPr>
        <w:t>IN THE HIGH COURT OF ZAMBIA</w:t>
      </w:r>
      <w:r>
        <w:rPr>
          <w:rFonts w:ascii="Bookman Old Style" w:eastAsia="Arial Unicode MS" w:hAnsi="Bookman Old Style" w:cs="Arial Unicode MS"/>
          <w:sz w:val="28"/>
          <w:szCs w:val="28"/>
        </w:rPr>
        <w:tab/>
      </w:r>
      <w:r>
        <w:rPr>
          <w:rFonts w:ascii="Bookman Old Style" w:eastAsia="Arial Unicode MS" w:hAnsi="Bookman Old Style" w:cs="Arial Unicode MS"/>
          <w:sz w:val="28"/>
          <w:szCs w:val="28"/>
        </w:rPr>
        <w:tab/>
      </w:r>
      <w:r>
        <w:rPr>
          <w:rFonts w:ascii="Bookman Old Style" w:eastAsia="Arial Unicode MS" w:hAnsi="Bookman Old Style" w:cs="Arial Unicode MS"/>
          <w:sz w:val="28"/>
          <w:szCs w:val="28"/>
        </w:rPr>
        <w:tab/>
      </w:r>
      <w:r w:rsidR="009544FE">
        <w:rPr>
          <w:rFonts w:ascii="Bookman Old Style" w:eastAsia="Arial Unicode MS" w:hAnsi="Bookman Old Style" w:cs="Arial Unicode MS"/>
          <w:b/>
          <w:sz w:val="28"/>
          <w:szCs w:val="28"/>
        </w:rPr>
        <w:t xml:space="preserve">      </w:t>
      </w:r>
      <w:r w:rsidRPr="009544FE">
        <w:rPr>
          <w:rFonts w:ascii="Bookman Old Style" w:eastAsia="Arial Unicode MS" w:hAnsi="Bookman Old Style" w:cs="Arial Unicode MS"/>
          <w:b/>
          <w:sz w:val="28"/>
          <w:szCs w:val="28"/>
        </w:rPr>
        <w:t>2010/HP/1282</w:t>
      </w:r>
      <w:r w:rsidRPr="008F7F29">
        <w:rPr>
          <w:rFonts w:ascii="Bookman Old Style" w:eastAsia="Arial Unicode MS" w:hAnsi="Bookman Old Style" w:cs="Arial Unicode MS"/>
          <w:sz w:val="28"/>
          <w:szCs w:val="28"/>
        </w:rPr>
        <w:t xml:space="preserve">     </w:t>
      </w:r>
    </w:p>
    <w:p w:rsidR="00153D09" w:rsidRPr="008F7F29" w:rsidRDefault="00153D09" w:rsidP="00A5225D">
      <w:pPr>
        <w:spacing w:after="0" w:line="240" w:lineRule="auto"/>
        <w:rPr>
          <w:rFonts w:ascii="Bookman Old Style" w:eastAsia="Arial Unicode MS" w:hAnsi="Bookman Old Style" w:cs="Arial Unicode MS"/>
          <w:b/>
          <w:sz w:val="28"/>
          <w:szCs w:val="28"/>
          <w:u w:val="single"/>
        </w:rPr>
      </w:pPr>
      <w:r w:rsidRPr="008F7F29">
        <w:rPr>
          <w:rFonts w:ascii="Bookman Old Style" w:eastAsia="Arial Unicode MS" w:hAnsi="Bookman Old Style" w:cs="Arial Unicode MS"/>
          <w:b/>
          <w:sz w:val="28"/>
          <w:szCs w:val="28"/>
          <w:u w:val="single"/>
        </w:rPr>
        <w:t>AT THE PRINCIPAL REGISTRY</w:t>
      </w:r>
    </w:p>
    <w:p w:rsidR="00153D09" w:rsidRPr="008F7F29" w:rsidRDefault="00153D09" w:rsidP="00A5225D">
      <w:pPr>
        <w:spacing w:after="0" w:line="240" w:lineRule="auto"/>
        <w:rPr>
          <w:rFonts w:ascii="Bookman Old Style" w:eastAsia="Arial Unicode MS" w:hAnsi="Bookman Old Style" w:cs="Arial Unicode MS"/>
          <w:b/>
          <w:sz w:val="28"/>
          <w:szCs w:val="28"/>
          <w:u w:val="single"/>
        </w:rPr>
      </w:pPr>
      <w:r w:rsidRPr="008F7F29">
        <w:rPr>
          <w:rFonts w:ascii="Bookman Old Style" w:eastAsia="Arial Unicode MS" w:hAnsi="Bookman Old Style" w:cs="Arial Unicode MS"/>
          <w:b/>
          <w:sz w:val="28"/>
          <w:szCs w:val="28"/>
          <w:u w:val="single"/>
        </w:rPr>
        <w:t>HOLDEN AT LUSAKA</w:t>
      </w:r>
    </w:p>
    <w:p w:rsidR="00153D09" w:rsidRPr="008F7F29" w:rsidRDefault="00153D09" w:rsidP="00153D09">
      <w:pPr>
        <w:spacing w:after="0" w:line="360" w:lineRule="auto"/>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 xml:space="preserve">(Civil Jurisdiction) </w:t>
      </w:r>
    </w:p>
    <w:p w:rsidR="00153D09" w:rsidRPr="008F7F29" w:rsidRDefault="00153D09" w:rsidP="00153D09">
      <w:pPr>
        <w:spacing w:after="0" w:line="360" w:lineRule="auto"/>
        <w:rPr>
          <w:rFonts w:ascii="Bookman Old Style" w:eastAsia="Arial Unicode MS" w:hAnsi="Bookman Old Style" w:cs="Arial Unicode MS"/>
          <w:b/>
          <w:sz w:val="24"/>
          <w:szCs w:val="24"/>
        </w:rPr>
      </w:pPr>
    </w:p>
    <w:p w:rsidR="00153D09" w:rsidRPr="008F7F29" w:rsidRDefault="00153D09" w:rsidP="00153D09">
      <w:pPr>
        <w:spacing w:after="0" w:line="360" w:lineRule="auto"/>
        <w:rPr>
          <w:rFonts w:ascii="Bookman Old Style" w:eastAsia="Arial Unicode MS" w:hAnsi="Bookman Old Style" w:cs="Arial Unicode MS"/>
          <w:sz w:val="28"/>
          <w:szCs w:val="28"/>
        </w:rPr>
      </w:pPr>
      <w:r w:rsidRPr="008F7F29">
        <w:rPr>
          <w:rFonts w:ascii="Bookman Old Style" w:eastAsia="Arial Unicode MS" w:hAnsi="Bookman Old Style" w:cs="Arial Unicode MS"/>
          <w:sz w:val="28"/>
          <w:szCs w:val="28"/>
        </w:rPr>
        <w:t>BETWEEN:</w:t>
      </w:r>
    </w:p>
    <w:p w:rsidR="00153D09" w:rsidRPr="008F7F29" w:rsidRDefault="00153D09" w:rsidP="00153D09">
      <w:pPr>
        <w:spacing w:after="0" w:line="360" w:lineRule="auto"/>
        <w:rPr>
          <w:rFonts w:ascii="Bookman Old Style" w:eastAsia="Arial Unicode MS" w:hAnsi="Bookman Old Style" w:cs="Arial Unicode MS"/>
          <w:sz w:val="28"/>
          <w:szCs w:val="28"/>
        </w:rPr>
      </w:pPr>
    </w:p>
    <w:p w:rsidR="00153D09" w:rsidRPr="008F7F29" w:rsidRDefault="001626BE" w:rsidP="00A5225D">
      <w:pPr>
        <w:spacing w:after="0" w:line="360" w:lineRule="auto"/>
        <w:rPr>
          <w:rFonts w:ascii="Bookman Old Style" w:eastAsia="Arial Unicode MS" w:hAnsi="Bookman Old Style" w:cs="Arial Unicode MS"/>
          <w:b/>
          <w:sz w:val="28"/>
          <w:szCs w:val="28"/>
        </w:rPr>
      </w:pPr>
      <w:r>
        <w:rPr>
          <w:rFonts w:ascii="Bookman Old Style" w:eastAsia="Arial Unicode MS" w:hAnsi="Bookman Old Style" w:cs="Arial Unicode MS"/>
          <w:b/>
          <w:sz w:val="28"/>
          <w:szCs w:val="28"/>
        </w:rPr>
        <w:t>MICHA</w:t>
      </w:r>
      <w:r w:rsidR="00153D09" w:rsidRPr="008F7F29">
        <w:rPr>
          <w:rFonts w:ascii="Bookman Old Style" w:eastAsia="Arial Unicode MS" w:hAnsi="Bookman Old Style" w:cs="Arial Unicode MS"/>
          <w:b/>
          <w:sz w:val="28"/>
          <w:szCs w:val="28"/>
        </w:rPr>
        <w:t>E</w:t>
      </w:r>
      <w:r>
        <w:rPr>
          <w:rFonts w:ascii="Bookman Old Style" w:eastAsia="Arial Unicode MS" w:hAnsi="Bookman Old Style" w:cs="Arial Unicode MS"/>
          <w:b/>
          <w:sz w:val="28"/>
          <w:szCs w:val="28"/>
        </w:rPr>
        <w:t>L</w:t>
      </w:r>
      <w:r w:rsidR="00153D09" w:rsidRPr="008F7F29">
        <w:rPr>
          <w:rFonts w:ascii="Bookman Old Style" w:eastAsia="Arial Unicode MS" w:hAnsi="Bookman Old Style" w:cs="Arial Unicode MS"/>
          <w:b/>
          <w:sz w:val="28"/>
          <w:szCs w:val="28"/>
        </w:rPr>
        <w:t xml:space="preserve"> CHILUFYA SATA</w:t>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t xml:space="preserve">     PLAINTIFF </w:t>
      </w:r>
    </w:p>
    <w:p w:rsidR="00153D09" w:rsidRPr="008F7F29" w:rsidRDefault="00153D09" w:rsidP="00153D09">
      <w:pPr>
        <w:spacing w:after="0" w:line="360" w:lineRule="auto"/>
        <w:jc w:val="center"/>
        <w:rPr>
          <w:rFonts w:ascii="Bookman Old Style" w:eastAsia="Arial Unicode MS" w:hAnsi="Bookman Old Style" w:cs="Arial Unicode MS"/>
          <w:b/>
          <w:sz w:val="28"/>
          <w:szCs w:val="28"/>
        </w:rPr>
      </w:pPr>
    </w:p>
    <w:p w:rsidR="00153D09" w:rsidRPr="008F7F29" w:rsidRDefault="00153D09" w:rsidP="00A5225D">
      <w:pPr>
        <w:spacing w:after="0" w:line="360" w:lineRule="auto"/>
        <w:ind w:left="720" w:firstLine="720"/>
        <w:rPr>
          <w:rFonts w:ascii="Bookman Old Style" w:eastAsia="Arial Unicode MS" w:hAnsi="Bookman Old Style" w:cs="Arial Unicode MS"/>
          <w:b/>
          <w:sz w:val="28"/>
          <w:szCs w:val="28"/>
        </w:rPr>
      </w:pPr>
      <w:r w:rsidRPr="008F7F29">
        <w:rPr>
          <w:rFonts w:ascii="Bookman Old Style" w:eastAsia="Arial Unicode MS" w:hAnsi="Bookman Old Style" w:cs="Arial Unicode MS"/>
          <w:b/>
          <w:sz w:val="28"/>
          <w:szCs w:val="28"/>
        </w:rPr>
        <w:t>AND</w:t>
      </w:r>
    </w:p>
    <w:p w:rsidR="00153D09" w:rsidRPr="008F7F29" w:rsidRDefault="00153D09" w:rsidP="00153D09">
      <w:pPr>
        <w:spacing w:after="0" w:line="360" w:lineRule="auto"/>
        <w:jc w:val="center"/>
        <w:rPr>
          <w:rFonts w:ascii="Bookman Old Style" w:eastAsia="Arial Unicode MS" w:hAnsi="Bookman Old Style" w:cs="Arial Unicode MS"/>
          <w:b/>
          <w:sz w:val="28"/>
          <w:szCs w:val="28"/>
        </w:rPr>
      </w:pPr>
    </w:p>
    <w:p w:rsidR="00153D09" w:rsidRPr="008F7F29" w:rsidRDefault="00153D09" w:rsidP="00A5225D">
      <w:pPr>
        <w:spacing w:after="0" w:line="360" w:lineRule="auto"/>
        <w:rPr>
          <w:rFonts w:ascii="Bookman Old Style" w:eastAsia="Arial Unicode MS" w:hAnsi="Bookman Old Style" w:cs="Arial Unicode MS"/>
          <w:b/>
          <w:sz w:val="28"/>
          <w:szCs w:val="28"/>
        </w:rPr>
      </w:pPr>
      <w:r w:rsidRPr="008F7F29">
        <w:rPr>
          <w:rFonts w:ascii="Bookman Old Style" w:eastAsia="Arial Unicode MS" w:hAnsi="Bookman Old Style" w:cs="Arial Unicode MS"/>
          <w:b/>
          <w:sz w:val="28"/>
          <w:szCs w:val="28"/>
        </w:rPr>
        <w:t>CHANDA CHIMBA III</w:t>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t xml:space="preserve">     1</w:t>
      </w:r>
      <w:r w:rsidR="00A5225D" w:rsidRPr="00A5225D">
        <w:rPr>
          <w:rFonts w:ascii="Bookman Old Style" w:eastAsia="Arial Unicode MS" w:hAnsi="Bookman Old Style" w:cs="Arial Unicode MS"/>
          <w:b/>
          <w:sz w:val="28"/>
          <w:szCs w:val="28"/>
          <w:vertAlign w:val="superscript"/>
        </w:rPr>
        <w:t>ST</w:t>
      </w:r>
      <w:r w:rsidR="00A5225D">
        <w:rPr>
          <w:rFonts w:ascii="Bookman Old Style" w:eastAsia="Arial Unicode MS" w:hAnsi="Bookman Old Style" w:cs="Arial Unicode MS"/>
          <w:b/>
          <w:sz w:val="28"/>
          <w:szCs w:val="28"/>
        </w:rPr>
        <w:t xml:space="preserve"> DEFENDANT </w:t>
      </w:r>
    </w:p>
    <w:p w:rsidR="00A5225D" w:rsidRDefault="00153D09" w:rsidP="00A5225D">
      <w:pPr>
        <w:spacing w:after="0" w:line="360" w:lineRule="auto"/>
        <w:rPr>
          <w:rFonts w:ascii="Bookman Old Style" w:eastAsia="Arial Unicode MS" w:hAnsi="Bookman Old Style" w:cs="Arial Unicode MS"/>
          <w:b/>
          <w:sz w:val="28"/>
          <w:szCs w:val="28"/>
        </w:rPr>
      </w:pPr>
      <w:r w:rsidRPr="008F7F29">
        <w:rPr>
          <w:rFonts w:ascii="Bookman Old Style" w:eastAsia="Arial Unicode MS" w:hAnsi="Bookman Old Style" w:cs="Arial Unicode MS"/>
          <w:b/>
          <w:sz w:val="28"/>
          <w:szCs w:val="28"/>
        </w:rPr>
        <w:t>ZAMBIA NATIONAL BROADCASTING</w:t>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t xml:space="preserve">     2</w:t>
      </w:r>
      <w:r w:rsidR="00A5225D" w:rsidRPr="00A5225D">
        <w:rPr>
          <w:rFonts w:ascii="Bookman Old Style" w:eastAsia="Arial Unicode MS" w:hAnsi="Bookman Old Style" w:cs="Arial Unicode MS"/>
          <w:b/>
          <w:sz w:val="28"/>
          <w:szCs w:val="28"/>
          <w:vertAlign w:val="superscript"/>
        </w:rPr>
        <w:t>ND</w:t>
      </w:r>
      <w:r w:rsidR="00A5225D">
        <w:rPr>
          <w:rFonts w:ascii="Bookman Old Style" w:eastAsia="Arial Unicode MS" w:hAnsi="Bookman Old Style" w:cs="Arial Unicode MS"/>
          <w:b/>
          <w:sz w:val="28"/>
          <w:szCs w:val="28"/>
        </w:rPr>
        <w:t xml:space="preserve"> DEFENDANT</w:t>
      </w:r>
    </w:p>
    <w:p w:rsidR="00153D09" w:rsidRPr="008F7F29" w:rsidRDefault="00153D09" w:rsidP="00A5225D">
      <w:pPr>
        <w:spacing w:after="0" w:line="360" w:lineRule="auto"/>
        <w:rPr>
          <w:rFonts w:ascii="Bookman Old Style" w:eastAsia="Arial Unicode MS" w:hAnsi="Bookman Old Style" w:cs="Arial Unicode MS"/>
          <w:b/>
          <w:sz w:val="28"/>
          <w:szCs w:val="28"/>
        </w:rPr>
      </w:pPr>
      <w:r w:rsidRPr="008F7F29">
        <w:rPr>
          <w:rFonts w:ascii="Bookman Old Style" w:eastAsia="Arial Unicode MS" w:hAnsi="Bookman Old Style" w:cs="Arial Unicode MS"/>
          <w:b/>
          <w:sz w:val="28"/>
          <w:szCs w:val="28"/>
        </w:rPr>
        <w:t>CORPORATION</w:t>
      </w:r>
    </w:p>
    <w:p w:rsidR="00153D09" w:rsidRPr="008F7F29" w:rsidRDefault="00153D09" w:rsidP="00A5225D">
      <w:pPr>
        <w:spacing w:after="0" w:line="360" w:lineRule="auto"/>
        <w:rPr>
          <w:rFonts w:ascii="Bookman Old Style" w:eastAsia="Arial Unicode MS" w:hAnsi="Bookman Old Style" w:cs="Arial Unicode MS"/>
          <w:b/>
          <w:sz w:val="28"/>
          <w:szCs w:val="28"/>
        </w:rPr>
      </w:pPr>
      <w:r w:rsidRPr="008F7F29">
        <w:rPr>
          <w:rFonts w:ascii="Bookman Old Style" w:eastAsia="Arial Unicode MS" w:hAnsi="Bookman Old Style" w:cs="Arial Unicode MS"/>
          <w:b/>
          <w:sz w:val="28"/>
          <w:szCs w:val="28"/>
        </w:rPr>
        <w:t>MUVI TV LIMITED</w:t>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t xml:space="preserve">     3</w:t>
      </w:r>
      <w:r w:rsidR="00A5225D" w:rsidRPr="00A5225D">
        <w:rPr>
          <w:rFonts w:ascii="Bookman Old Style" w:eastAsia="Arial Unicode MS" w:hAnsi="Bookman Old Style" w:cs="Arial Unicode MS"/>
          <w:b/>
          <w:sz w:val="28"/>
          <w:szCs w:val="28"/>
          <w:vertAlign w:val="superscript"/>
        </w:rPr>
        <w:t>RD</w:t>
      </w:r>
      <w:r w:rsidR="00A5225D">
        <w:rPr>
          <w:rFonts w:ascii="Bookman Old Style" w:eastAsia="Arial Unicode MS" w:hAnsi="Bookman Old Style" w:cs="Arial Unicode MS"/>
          <w:b/>
          <w:sz w:val="28"/>
          <w:szCs w:val="28"/>
        </w:rPr>
        <w:t xml:space="preserve"> DEFENDANT</w:t>
      </w:r>
    </w:p>
    <w:p w:rsidR="00153D09" w:rsidRPr="008F7F29" w:rsidRDefault="00153D09" w:rsidP="00A5225D">
      <w:pPr>
        <w:spacing w:after="0" w:line="360" w:lineRule="auto"/>
        <w:rPr>
          <w:rFonts w:ascii="Bookman Old Style" w:eastAsia="Arial Unicode MS" w:hAnsi="Bookman Old Style" w:cs="Arial Unicode MS"/>
          <w:b/>
          <w:sz w:val="28"/>
          <w:szCs w:val="28"/>
        </w:rPr>
      </w:pPr>
      <w:r w:rsidRPr="008F7F29">
        <w:rPr>
          <w:rFonts w:ascii="Bookman Old Style" w:eastAsia="Arial Unicode MS" w:hAnsi="Bookman Old Style" w:cs="Arial Unicode MS"/>
          <w:b/>
          <w:sz w:val="28"/>
          <w:szCs w:val="28"/>
        </w:rPr>
        <w:t xml:space="preserve">MOBI TV </w:t>
      </w:r>
      <w:r w:rsidR="00DC6DBE">
        <w:rPr>
          <w:rFonts w:ascii="Bookman Old Style" w:eastAsia="Arial Unicode MS" w:hAnsi="Bookman Old Style" w:cs="Arial Unicode MS"/>
          <w:b/>
          <w:sz w:val="28"/>
          <w:szCs w:val="28"/>
        </w:rPr>
        <w:t>I</w:t>
      </w:r>
      <w:r w:rsidRPr="008F7F29">
        <w:rPr>
          <w:rFonts w:ascii="Bookman Old Style" w:eastAsia="Arial Unicode MS" w:hAnsi="Bookman Old Style" w:cs="Arial Unicode MS"/>
          <w:b/>
          <w:sz w:val="28"/>
          <w:szCs w:val="28"/>
        </w:rPr>
        <w:t>NTERNATIONAL LIMITED</w:t>
      </w:r>
      <w:r w:rsidR="00A5225D">
        <w:rPr>
          <w:rFonts w:ascii="Bookman Old Style" w:eastAsia="Arial Unicode MS" w:hAnsi="Bookman Old Style" w:cs="Arial Unicode MS"/>
          <w:b/>
          <w:sz w:val="28"/>
          <w:szCs w:val="28"/>
        </w:rPr>
        <w:tab/>
      </w:r>
      <w:r w:rsidR="00A5225D">
        <w:rPr>
          <w:rFonts w:ascii="Bookman Old Style" w:eastAsia="Arial Unicode MS" w:hAnsi="Bookman Old Style" w:cs="Arial Unicode MS"/>
          <w:b/>
          <w:sz w:val="28"/>
          <w:szCs w:val="28"/>
        </w:rPr>
        <w:tab/>
        <w:t xml:space="preserve">      4</w:t>
      </w:r>
      <w:r w:rsidR="00A5225D" w:rsidRPr="00A5225D">
        <w:rPr>
          <w:rFonts w:ascii="Bookman Old Style" w:eastAsia="Arial Unicode MS" w:hAnsi="Bookman Old Style" w:cs="Arial Unicode MS"/>
          <w:b/>
          <w:sz w:val="28"/>
          <w:szCs w:val="28"/>
          <w:vertAlign w:val="superscript"/>
        </w:rPr>
        <w:t>TH</w:t>
      </w:r>
      <w:r w:rsidR="00A5225D">
        <w:rPr>
          <w:rFonts w:ascii="Bookman Old Style" w:eastAsia="Arial Unicode MS" w:hAnsi="Bookman Old Style" w:cs="Arial Unicode MS"/>
          <w:b/>
          <w:sz w:val="28"/>
          <w:szCs w:val="28"/>
        </w:rPr>
        <w:t>DEFENDANT</w:t>
      </w:r>
    </w:p>
    <w:p w:rsidR="00153D09" w:rsidRPr="008F7F29" w:rsidRDefault="00153D09" w:rsidP="00153D09">
      <w:pPr>
        <w:spacing w:after="0" w:line="360" w:lineRule="auto"/>
        <w:ind w:left="720" w:firstLine="720"/>
        <w:jc w:val="center"/>
        <w:rPr>
          <w:rFonts w:ascii="Bookman Old Style" w:eastAsia="Arial Unicode MS" w:hAnsi="Bookman Old Style" w:cs="Arial Unicode MS"/>
          <w:b/>
          <w:sz w:val="28"/>
          <w:szCs w:val="28"/>
          <w:u w:val="single"/>
        </w:rPr>
      </w:pPr>
    </w:p>
    <w:p w:rsidR="00153D09" w:rsidRPr="008F7F29" w:rsidRDefault="00153D09" w:rsidP="00153D09">
      <w:pPr>
        <w:spacing w:after="0" w:line="360" w:lineRule="auto"/>
        <w:rPr>
          <w:rFonts w:ascii="Bookman Old Style" w:eastAsia="Arial Unicode MS" w:hAnsi="Bookman Old Style" w:cs="Arial Unicode MS"/>
          <w:i/>
          <w:sz w:val="20"/>
          <w:szCs w:val="20"/>
        </w:rPr>
      </w:pPr>
      <w:r w:rsidRPr="008F7F29">
        <w:rPr>
          <w:rFonts w:ascii="Bookman Old Style" w:eastAsia="Arial Unicode MS" w:hAnsi="Bookman Old Style" w:cs="Arial Unicode MS"/>
          <w:i/>
          <w:sz w:val="20"/>
          <w:szCs w:val="20"/>
        </w:rPr>
        <w:t>Before the Hon. Mr. Justi</w:t>
      </w:r>
      <w:r w:rsidR="009B241F">
        <w:rPr>
          <w:rFonts w:ascii="Bookman Old Style" w:eastAsia="Arial Unicode MS" w:hAnsi="Bookman Old Style" w:cs="Arial Unicode MS"/>
          <w:i/>
          <w:sz w:val="20"/>
          <w:szCs w:val="20"/>
        </w:rPr>
        <w:t>ce Dr. P. Matibini, SC, this 2</w:t>
      </w:r>
      <w:r w:rsidR="009B241F" w:rsidRPr="009B241F">
        <w:rPr>
          <w:rFonts w:ascii="Bookman Old Style" w:eastAsia="Arial Unicode MS" w:hAnsi="Bookman Old Style" w:cs="Arial Unicode MS"/>
          <w:i/>
          <w:sz w:val="20"/>
          <w:szCs w:val="20"/>
          <w:vertAlign w:val="superscript"/>
        </w:rPr>
        <w:t>nd</w:t>
      </w:r>
      <w:r w:rsidR="009B241F">
        <w:rPr>
          <w:rFonts w:ascii="Bookman Old Style" w:eastAsia="Arial Unicode MS" w:hAnsi="Bookman Old Style" w:cs="Arial Unicode MS"/>
          <w:i/>
          <w:sz w:val="20"/>
          <w:szCs w:val="20"/>
        </w:rPr>
        <w:t xml:space="preserve"> day of August</w:t>
      </w:r>
      <w:r w:rsidRPr="008F7F29">
        <w:rPr>
          <w:rFonts w:ascii="Bookman Old Style" w:eastAsia="Arial Unicode MS" w:hAnsi="Bookman Old Style" w:cs="Arial Unicode MS"/>
          <w:i/>
          <w:sz w:val="20"/>
          <w:szCs w:val="20"/>
        </w:rPr>
        <w:t>, 2011.</w:t>
      </w:r>
    </w:p>
    <w:p w:rsidR="00153D09" w:rsidRPr="008F7F29" w:rsidRDefault="00153D09" w:rsidP="00153D09">
      <w:pPr>
        <w:spacing w:after="0" w:line="360" w:lineRule="auto"/>
        <w:rPr>
          <w:rFonts w:ascii="Bookman Old Style" w:eastAsia="Arial Unicode MS" w:hAnsi="Bookman Old Style" w:cs="Arial Unicode MS"/>
          <w:i/>
          <w:sz w:val="20"/>
          <w:szCs w:val="20"/>
        </w:rPr>
      </w:pPr>
      <w:r w:rsidRPr="008F7F29">
        <w:rPr>
          <w:rFonts w:ascii="Bookman Old Style" w:eastAsia="Arial Unicode MS" w:hAnsi="Bookman Old Style" w:cs="Arial Unicode MS"/>
          <w:i/>
          <w:sz w:val="20"/>
          <w:szCs w:val="20"/>
        </w:rPr>
        <w:t xml:space="preserve"> </w:t>
      </w:r>
    </w:p>
    <w:p w:rsidR="00153D09" w:rsidRPr="008F7F29" w:rsidRDefault="00153D09" w:rsidP="00153D09">
      <w:pPr>
        <w:spacing w:after="0" w:line="360" w:lineRule="auto"/>
        <w:rPr>
          <w:rFonts w:ascii="Bookman Old Style" w:eastAsia="Arial Unicode MS" w:hAnsi="Bookman Old Style" w:cs="Arial Unicode MS"/>
          <w:i/>
          <w:sz w:val="20"/>
          <w:szCs w:val="20"/>
        </w:rPr>
      </w:pPr>
      <w:r w:rsidRPr="008F7F29">
        <w:rPr>
          <w:rFonts w:ascii="Bookman Old Style" w:eastAsia="Arial Unicode MS" w:hAnsi="Bookman Old Style" w:cs="Arial Unicode MS"/>
          <w:i/>
          <w:sz w:val="20"/>
          <w:szCs w:val="20"/>
        </w:rPr>
        <w:t>For the plaintiff:</w:t>
      </w:r>
      <w:r w:rsidRPr="008F7F29">
        <w:rPr>
          <w:rFonts w:ascii="Bookman Old Style" w:eastAsia="Arial Unicode MS" w:hAnsi="Bookman Old Style" w:cs="Arial Unicode MS"/>
          <w:i/>
          <w:sz w:val="20"/>
          <w:szCs w:val="20"/>
        </w:rPr>
        <w:tab/>
      </w:r>
      <w:r w:rsidRPr="008F7F29">
        <w:rPr>
          <w:rFonts w:ascii="Bookman Old Style" w:eastAsia="Arial Unicode MS" w:hAnsi="Bookman Old Style" w:cs="Arial Unicode MS"/>
          <w:i/>
          <w:sz w:val="20"/>
          <w:szCs w:val="20"/>
        </w:rPr>
        <w:tab/>
      </w:r>
      <w:r w:rsidRPr="008F7F29">
        <w:rPr>
          <w:rFonts w:ascii="Bookman Old Style" w:eastAsia="Arial Unicode MS" w:hAnsi="Bookman Old Style" w:cs="Arial Unicode MS"/>
          <w:i/>
          <w:sz w:val="20"/>
          <w:szCs w:val="20"/>
        </w:rPr>
        <w:tab/>
        <w:t xml:space="preserve">Mr. B.C. Mutale SC. Of Messrs Ellis and Company.  </w:t>
      </w:r>
    </w:p>
    <w:p w:rsidR="00153D09" w:rsidRPr="008F7F29" w:rsidRDefault="00153D09" w:rsidP="00153D09">
      <w:pPr>
        <w:spacing w:after="0" w:line="360" w:lineRule="auto"/>
        <w:ind w:left="3600" w:hanging="3600"/>
        <w:rPr>
          <w:rFonts w:ascii="Bookman Old Style" w:eastAsia="Arial Unicode MS" w:hAnsi="Bookman Old Style" w:cs="Arial Unicode MS"/>
          <w:i/>
          <w:sz w:val="20"/>
          <w:szCs w:val="20"/>
        </w:rPr>
      </w:pPr>
      <w:r w:rsidRPr="008F7F29">
        <w:rPr>
          <w:rFonts w:ascii="Bookman Old Style" w:eastAsia="Arial Unicode MS" w:hAnsi="Bookman Old Style" w:cs="Arial Unicode MS"/>
          <w:i/>
          <w:sz w:val="20"/>
          <w:szCs w:val="20"/>
        </w:rPr>
        <w:t>For the 1</w:t>
      </w:r>
      <w:r w:rsidRPr="008F7F29">
        <w:rPr>
          <w:rFonts w:ascii="Bookman Old Style" w:eastAsia="Arial Unicode MS" w:hAnsi="Bookman Old Style" w:cs="Arial Unicode MS"/>
          <w:i/>
          <w:sz w:val="20"/>
          <w:szCs w:val="20"/>
          <w:vertAlign w:val="superscript"/>
        </w:rPr>
        <w:t>st</w:t>
      </w:r>
      <w:r w:rsidRPr="008F7F29">
        <w:rPr>
          <w:rFonts w:ascii="Bookman Old Style" w:eastAsia="Arial Unicode MS" w:hAnsi="Bookman Old Style" w:cs="Arial Unicode MS"/>
          <w:i/>
          <w:sz w:val="20"/>
          <w:szCs w:val="20"/>
        </w:rPr>
        <w:t xml:space="preserve"> and 2</w:t>
      </w:r>
      <w:r w:rsidRPr="008F7F29">
        <w:rPr>
          <w:rFonts w:ascii="Bookman Old Style" w:eastAsia="Arial Unicode MS" w:hAnsi="Bookman Old Style" w:cs="Arial Unicode MS"/>
          <w:i/>
          <w:sz w:val="20"/>
          <w:szCs w:val="20"/>
          <w:vertAlign w:val="superscript"/>
        </w:rPr>
        <w:t>nd</w:t>
      </w:r>
      <w:r w:rsidRPr="008F7F29">
        <w:rPr>
          <w:rFonts w:ascii="Bookman Old Style" w:eastAsia="Arial Unicode MS" w:hAnsi="Bookman Old Style" w:cs="Arial Unicode MS"/>
          <w:i/>
          <w:sz w:val="20"/>
          <w:szCs w:val="20"/>
        </w:rPr>
        <w:t xml:space="preserve"> defendants:</w:t>
      </w:r>
      <w:r w:rsidRPr="008F7F29">
        <w:rPr>
          <w:rFonts w:ascii="Bookman Old Style" w:eastAsia="Arial Unicode MS" w:hAnsi="Bookman Old Style" w:cs="Arial Unicode MS"/>
          <w:i/>
          <w:sz w:val="20"/>
          <w:szCs w:val="20"/>
        </w:rPr>
        <w:tab/>
        <w:t>Mr. S.B. Nkonde, SC of Messrs SBN Legal Practitioners, with Mr. R. Malipenga of Messrs Robson Malipenga and Company.</w:t>
      </w:r>
    </w:p>
    <w:p w:rsidR="00153D09" w:rsidRPr="008F7F29" w:rsidRDefault="00153D09" w:rsidP="00153D09">
      <w:pPr>
        <w:spacing w:after="0" w:line="360" w:lineRule="auto"/>
        <w:ind w:left="2880" w:hanging="2880"/>
        <w:rPr>
          <w:rFonts w:ascii="Bookman Old Style" w:eastAsia="Arial Unicode MS" w:hAnsi="Bookman Old Style" w:cs="Arial Unicode MS"/>
          <w:i/>
          <w:sz w:val="20"/>
          <w:szCs w:val="20"/>
        </w:rPr>
      </w:pPr>
      <w:r w:rsidRPr="008F7F29">
        <w:rPr>
          <w:rFonts w:ascii="Bookman Old Style" w:eastAsia="Arial Unicode MS" w:hAnsi="Bookman Old Style" w:cs="Arial Unicode MS"/>
          <w:i/>
          <w:sz w:val="20"/>
          <w:szCs w:val="20"/>
        </w:rPr>
        <w:t>For the 3td defendant:</w:t>
      </w:r>
      <w:r w:rsidRPr="008F7F29">
        <w:rPr>
          <w:rFonts w:ascii="Bookman Old Style" w:eastAsia="Arial Unicode MS" w:hAnsi="Bookman Old Style" w:cs="Arial Unicode MS"/>
          <w:i/>
          <w:sz w:val="20"/>
          <w:szCs w:val="20"/>
        </w:rPr>
        <w:tab/>
      </w:r>
      <w:r>
        <w:rPr>
          <w:rFonts w:ascii="Bookman Old Style" w:eastAsia="Arial Unicode MS" w:hAnsi="Bookman Old Style" w:cs="Arial Unicode MS"/>
          <w:i/>
          <w:sz w:val="20"/>
          <w:szCs w:val="20"/>
        </w:rPr>
        <w:tab/>
      </w:r>
      <w:r w:rsidRPr="008F7F29">
        <w:rPr>
          <w:rFonts w:ascii="Bookman Old Style" w:eastAsia="Arial Unicode MS" w:hAnsi="Bookman Old Style" w:cs="Arial Unicode MS"/>
          <w:i/>
          <w:sz w:val="20"/>
          <w:szCs w:val="20"/>
        </w:rPr>
        <w:t>Professor M. P. Mvunga, SC, of Messrs Mvunga Associates.</w:t>
      </w:r>
    </w:p>
    <w:p w:rsidR="00153D09" w:rsidRPr="008F7F29" w:rsidRDefault="00153D09" w:rsidP="00153D09">
      <w:pPr>
        <w:spacing w:after="0" w:line="360" w:lineRule="auto"/>
        <w:ind w:left="2880" w:hanging="2880"/>
        <w:rPr>
          <w:rFonts w:ascii="Bookman Old Style" w:eastAsia="Arial Unicode MS" w:hAnsi="Bookman Old Style" w:cs="Arial Unicode MS"/>
          <w:i/>
          <w:sz w:val="20"/>
          <w:szCs w:val="20"/>
        </w:rPr>
      </w:pPr>
      <w:r w:rsidRPr="008F7F29">
        <w:rPr>
          <w:rFonts w:ascii="Bookman Old Style" w:eastAsia="Arial Unicode MS" w:hAnsi="Bookman Old Style" w:cs="Arial Unicode MS"/>
          <w:i/>
          <w:sz w:val="20"/>
          <w:szCs w:val="20"/>
        </w:rPr>
        <w:t>For the 4</w:t>
      </w:r>
      <w:r w:rsidRPr="008F7F29">
        <w:rPr>
          <w:rFonts w:ascii="Bookman Old Style" w:eastAsia="Arial Unicode MS" w:hAnsi="Bookman Old Style" w:cs="Arial Unicode MS"/>
          <w:i/>
          <w:sz w:val="20"/>
          <w:szCs w:val="20"/>
          <w:vertAlign w:val="superscript"/>
        </w:rPr>
        <w:t>th</w:t>
      </w:r>
      <w:r w:rsidRPr="008F7F29">
        <w:rPr>
          <w:rFonts w:ascii="Bookman Old Style" w:eastAsia="Arial Unicode MS" w:hAnsi="Bookman Old Style" w:cs="Arial Unicode MS"/>
          <w:i/>
          <w:sz w:val="20"/>
          <w:szCs w:val="20"/>
        </w:rPr>
        <w:t xml:space="preserve"> defendant: </w:t>
      </w:r>
      <w:r w:rsidRPr="008F7F29">
        <w:rPr>
          <w:rFonts w:ascii="Bookman Old Style" w:eastAsia="Arial Unicode MS" w:hAnsi="Bookman Old Style" w:cs="Arial Unicode MS"/>
          <w:i/>
          <w:sz w:val="20"/>
          <w:szCs w:val="20"/>
        </w:rPr>
        <w:tab/>
      </w:r>
      <w:r>
        <w:rPr>
          <w:rFonts w:ascii="Bookman Old Style" w:eastAsia="Arial Unicode MS" w:hAnsi="Bookman Old Style" w:cs="Arial Unicode MS"/>
          <w:i/>
          <w:sz w:val="20"/>
          <w:szCs w:val="20"/>
        </w:rPr>
        <w:tab/>
      </w:r>
      <w:r w:rsidRPr="008F7F29">
        <w:rPr>
          <w:rFonts w:ascii="Bookman Old Style" w:eastAsia="Arial Unicode MS" w:hAnsi="Bookman Old Style" w:cs="Arial Unicode MS"/>
          <w:i/>
          <w:sz w:val="20"/>
          <w:szCs w:val="20"/>
        </w:rPr>
        <w:t xml:space="preserve">Mr. C. Sinkamba of Messrs Sinkamba Legal Practitioners.  </w:t>
      </w:r>
      <w:r w:rsidRPr="008F7F29">
        <w:rPr>
          <w:rFonts w:ascii="Bookman Old Style" w:eastAsia="Arial Unicode MS" w:hAnsi="Bookman Old Style" w:cs="Arial Unicode MS"/>
          <w:i/>
          <w:sz w:val="20"/>
          <w:szCs w:val="20"/>
        </w:rPr>
        <w:tab/>
        <w:t xml:space="preserve"> </w:t>
      </w:r>
      <w:r w:rsidRPr="008F7F29">
        <w:rPr>
          <w:rFonts w:ascii="Bookman Old Style" w:eastAsia="Arial Unicode MS" w:hAnsi="Bookman Old Style" w:cs="Arial Unicode MS"/>
          <w:i/>
          <w:sz w:val="20"/>
          <w:szCs w:val="20"/>
        </w:rPr>
        <w:tab/>
      </w:r>
      <w:r w:rsidRPr="008F7F29">
        <w:rPr>
          <w:rFonts w:ascii="Bookman Old Style" w:eastAsia="Arial Unicode MS" w:hAnsi="Bookman Old Style" w:cs="Arial Unicode MS"/>
          <w:i/>
          <w:sz w:val="20"/>
          <w:szCs w:val="20"/>
        </w:rPr>
        <w:tab/>
        <w:t xml:space="preserve">        </w:t>
      </w:r>
    </w:p>
    <w:p w:rsidR="00153D09" w:rsidRPr="008F7F29" w:rsidRDefault="00153D09" w:rsidP="00153D09">
      <w:pPr>
        <w:pBdr>
          <w:bottom w:val="single" w:sz="12" w:space="1" w:color="auto"/>
        </w:pBdr>
        <w:spacing w:after="0" w:line="360" w:lineRule="auto"/>
        <w:rPr>
          <w:rFonts w:ascii="Bookman Old Style" w:eastAsia="Arial Unicode MS" w:hAnsi="Bookman Old Style" w:cs="Arial Unicode MS"/>
        </w:rPr>
      </w:pPr>
    </w:p>
    <w:p w:rsidR="00153D09" w:rsidRPr="008F7F29" w:rsidRDefault="00153D09" w:rsidP="00153D09">
      <w:pPr>
        <w:spacing w:after="0" w:line="360" w:lineRule="auto"/>
        <w:rPr>
          <w:rFonts w:ascii="Bookman Old Style" w:eastAsia="Arial Unicode MS" w:hAnsi="Bookman Old Style" w:cs="Arial Unicode MS"/>
          <w:sz w:val="28"/>
          <w:szCs w:val="28"/>
        </w:rPr>
      </w:pPr>
    </w:p>
    <w:p w:rsidR="00153D09" w:rsidRPr="008F7F29" w:rsidRDefault="00153D09" w:rsidP="00153D09">
      <w:pPr>
        <w:pBdr>
          <w:bottom w:val="single" w:sz="12" w:space="1" w:color="auto"/>
        </w:pBdr>
        <w:spacing w:after="0" w:line="360" w:lineRule="auto"/>
        <w:jc w:val="center"/>
        <w:rPr>
          <w:rFonts w:ascii="Bookman Old Style" w:eastAsia="Arial Unicode MS" w:hAnsi="Bookman Old Style" w:cs="Arial Unicode MS"/>
          <w:b/>
          <w:sz w:val="36"/>
          <w:szCs w:val="36"/>
        </w:rPr>
      </w:pPr>
      <w:r w:rsidRPr="008F7F29">
        <w:rPr>
          <w:rFonts w:ascii="Bookman Old Style" w:eastAsia="Arial Unicode MS" w:hAnsi="Bookman Old Style" w:cs="Arial Unicode MS"/>
          <w:b/>
          <w:sz w:val="36"/>
          <w:szCs w:val="36"/>
        </w:rPr>
        <w:t xml:space="preserve">RULING </w:t>
      </w:r>
    </w:p>
    <w:p w:rsidR="00153D09" w:rsidRDefault="00153D09" w:rsidP="00153D09">
      <w:pPr>
        <w:spacing w:after="0" w:line="360" w:lineRule="auto"/>
        <w:rPr>
          <w:rFonts w:ascii="Bookman Old Style" w:eastAsia="Arial Unicode MS" w:hAnsi="Bookman Old Style" w:cs="Arial Unicode MS"/>
          <w:sz w:val="24"/>
          <w:szCs w:val="24"/>
        </w:rPr>
      </w:pPr>
    </w:p>
    <w:p w:rsidR="009E6EB6" w:rsidRDefault="00A5225D" w:rsidP="00153D09">
      <w:pPr>
        <w:spacing w:after="0" w:line="360" w:lineRule="auto"/>
        <w:rPr>
          <w:rFonts w:ascii="Bookman Old Style" w:eastAsia="Arial Unicode MS" w:hAnsi="Bookman Old Style" w:cs="Arial Unicode MS"/>
          <w:b/>
          <w:sz w:val="24"/>
          <w:szCs w:val="24"/>
        </w:rPr>
      </w:pPr>
      <w:r>
        <w:rPr>
          <w:rFonts w:ascii="Bookman Old Style" w:eastAsia="Arial Unicode MS" w:hAnsi="Bookman Old Style" w:cs="Arial Unicode MS"/>
          <w:b/>
          <w:sz w:val="24"/>
          <w:szCs w:val="24"/>
        </w:rPr>
        <w:lastRenderedPageBreak/>
        <w:t>American case</w:t>
      </w:r>
    </w:p>
    <w:p w:rsidR="009E6EB6" w:rsidRDefault="009E6EB6" w:rsidP="009E6EB6">
      <w:pPr>
        <w:pStyle w:val="ListParagraph"/>
        <w:numPr>
          <w:ilvl w:val="0"/>
          <w:numId w:val="26"/>
        </w:numPr>
        <w:spacing w:after="0" w:line="360" w:lineRule="auto"/>
        <w:rPr>
          <w:rFonts w:ascii="Bookman Old Style" w:eastAsia="Arial Unicode MS" w:hAnsi="Bookman Old Style" w:cs="Arial Unicode MS"/>
          <w:i/>
        </w:rPr>
      </w:pPr>
      <w:r w:rsidRPr="009E6EB6">
        <w:rPr>
          <w:rFonts w:ascii="Bookman Old Style" w:eastAsia="Arial Unicode MS" w:hAnsi="Bookman Old Style" w:cs="Arial Unicode MS"/>
          <w:i/>
        </w:rPr>
        <w:t>New York Times v Sullivan 376 US 254 1964.</w:t>
      </w:r>
    </w:p>
    <w:p w:rsidR="009E6EB6" w:rsidRDefault="009E6EB6" w:rsidP="009E6EB6">
      <w:pPr>
        <w:spacing w:after="0" w:line="360" w:lineRule="auto"/>
        <w:rPr>
          <w:rFonts w:ascii="Bookman Old Style" w:eastAsia="Arial Unicode MS" w:hAnsi="Bookman Old Style" w:cs="Arial Unicode MS"/>
          <w:i/>
        </w:rPr>
      </w:pPr>
    </w:p>
    <w:p w:rsidR="009E6EB6" w:rsidRPr="009E6EB6" w:rsidRDefault="0090662B" w:rsidP="009E6EB6">
      <w:pPr>
        <w:spacing w:after="0" w:line="360" w:lineRule="auto"/>
        <w:rPr>
          <w:rFonts w:ascii="Bookman Old Style" w:eastAsia="Arial Unicode MS" w:hAnsi="Bookman Old Style" w:cs="Arial Unicode MS"/>
          <w:b/>
          <w:sz w:val="24"/>
          <w:szCs w:val="24"/>
        </w:rPr>
      </w:pPr>
      <w:r>
        <w:rPr>
          <w:rFonts w:ascii="Bookman Old Style" w:eastAsia="Arial Unicode MS" w:hAnsi="Bookman Old Style" w:cs="Arial Unicode MS"/>
          <w:b/>
          <w:sz w:val="24"/>
          <w:szCs w:val="24"/>
        </w:rPr>
        <w:t>Australian case</w:t>
      </w:r>
    </w:p>
    <w:p w:rsidR="009E6EB6" w:rsidRDefault="00A5225D" w:rsidP="009E6EB6">
      <w:pPr>
        <w:pStyle w:val="ListParagraph"/>
        <w:numPr>
          <w:ilvl w:val="0"/>
          <w:numId w:val="27"/>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The O</w:t>
      </w:r>
      <w:r w:rsidR="009E6EB6">
        <w:rPr>
          <w:rFonts w:ascii="Bookman Old Style" w:eastAsia="Arial Unicode MS" w:hAnsi="Bookman Old Style" w:cs="Arial Unicode MS"/>
          <w:i/>
        </w:rPr>
        <w:t>phanus v The Herald and Weekly Limited and Another FC/94/041, 12</w:t>
      </w:r>
      <w:r w:rsidR="009E6EB6" w:rsidRPr="009E6EB6">
        <w:rPr>
          <w:rFonts w:ascii="Bookman Old Style" w:eastAsia="Arial Unicode MS" w:hAnsi="Bookman Old Style" w:cs="Arial Unicode MS"/>
          <w:i/>
          <w:vertAlign w:val="superscript"/>
        </w:rPr>
        <w:t>th</w:t>
      </w:r>
      <w:r w:rsidR="009E6EB6">
        <w:rPr>
          <w:rFonts w:ascii="Bookman Old Style" w:eastAsia="Arial Unicode MS" w:hAnsi="Bookman Old Style" w:cs="Arial Unicode MS"/>
          <w:i/>
        </w:rPr>
        <w:t xml:space="preserve"> October, 1994.</w:t>
      </w:r>
    </w:p>
    <w:p w:rsidR="009E6EB6" w:rsidRPr="009E6EB6" w:rsidRDefault="009E6EB6" w:rsidP="009E6EB6">
      <w:pPr>
        <w:pStyle w:val="ListParagraph"/>
        <w:spacing w:after="0" w:line="360" w:lineRule="auto"/>
        <w:rPr>
          <w:rFonts w:ascii="Bookman Old Style" w:eastAsia="Arial Unicode MS" w:hAnsi="Bookman Old Style" w:cs="Arial Unicode MS"/>
          <w:i/>
        </w:rPr>
      </w:pPr>
    </w:p>
    <w:p w:rsidR="00153D09" w:rsidRPr="00982660" w:rsidRDefault="00153D09" w:rsidP="00153D09">
      <w:pPr>
        <w:spacing w:after="0" w:line="360" w:lineRule="auto"/>
        <w:rPr>
          <w:rFonts w:ascii="Bookman Old Style" w:eastAsia="Arial Unicode MS" w:hAnsi="Bookman Old Style" w:cs="Arial Unicode MS"/>
          <w:b/>
          <w:sz w:val="24"/>
          <w:szCs w:val="24"/>
        </w:rPr>
      </w:pPr>
      <w:r w:rsidRPr="00982660">
        <w:rPr>
          <w:rFonts w:ascii="Bookman Old Style" w:eastAsia="Arial Unicode MS" w:hAnsi="Bookman Old Style" w:cs="Arial Unicode MS"/>
          <w:b/>
          <w:sz w:val="24"/>
          <w:szCs w:val="24"/>
        </w:rPr>
        <w:t>English cases</w:t>
      </w:r>
    </w:p>
    <w:p w:rsidR="00A83370" w:rsidRDefault="00A83370"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M’Pherson v Daniel (1829) 10 B and C 263 at 272.</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Quart Consolidated Mining company v Beal [1882] 20 Ch. D 501.</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Spill v Maule [1869] L.R. 4 Ex, 232.</w:t>
      </w:r>
    </w:p>
    <w:p w:rsidR="00140307" w:rsidRDefault="00140307"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Ediginton v Fitzmaurice [1885] 29 Ch. D. 459.</w:t>
      </w:r>
    </w:p>
    <w:p w:rsidR="00153D09" w:rsidRDefault="00585B57"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William Coulson and Sons v James Cou</w:t>
      </w:r>
      <w:r w:rsidR="00153D09" w:rsidRPr="008F7F29">
        <w:rPr>
          <w:rFonts w:ascii="Bookman Old Style" w:eastAsia="Arial Unicode MS" w:hAnsi="Bookman Old Style" w:cs="Arial Unicode MS"/>
          <w:i/>
        </w:rPr>
        <w:t>lson and Company [1887] 3 T.L.R. 846.</w:t>
      </w:r>
    </w:p>
    <w:p w:rsidR="00C560CB" w:rsidRDefault="00C560CB"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Merivate v Carson [1887] 20 Q.B.D. 275.</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sidRPr="008F7F29">
        <w:rPr>
          <w:rFonts w:ascii="Bookman Old Style" w:eastAsia="Arial Unicode MS" w:hAnsi="Bookman Old Style" w:cs="Arial Unicode MS"/>
          <w:i/>
        </w:rPr>
        <w:t>Bonnard v Perryman [1891] 2 Ch 269.</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R v Tolson [1898] 23 Q.B. D 168 at 187.</w:t>
      </w:r>
    </w:p>
    <w:p w:rsidR="00A83370" w:rsidRDefault="00A83370"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 xml:space="preserve">Clarke v Norton [1910] V.L.R. 494. </w:t>
      </w:r>
    </w:p>
    <w:p w:rsidR="00140307" w:rsidRDefault="00140307"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Adam v Ward [1917] A.C. 309.</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Attorney General for Canada v Ritchie [1919] A.C.909 at 1005.</w:t>
      </w:r>
    </w:p>
    <w:p w:rsidR="004C6BB4" w:rsidRDefault="00A83370"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 xml:space="preserve">Broadway Approvals Limited v Odhams Press Limited </w:t>
      </w:r>
      <w:r w:rsidR="00C560CB">
        <w:rPr>
          <w:rFonts w:ascii="Bookman Old Style" w:eastAsia="Arial Unicode MS" w:hAnsi="Bookman Old Style" w:cs="Arial Unicode MS"/>
          <w:i/>
        </w:rPr>
        <w:t>[</w:t>
      </w:r>
      <w:r>
        <w:rPr>
          <w:rFonts w:ascii="Bookman Old Style" w:eastAsia="Arial Unicode MS" w:hAnsi="Bookman Old Style" w:cs="Arial Unicode MS"/>
          <w:i/>
        </w:rPr>
        <w:t>1964</w:t>
      </w:r>
      <w:r w:rsidR="00C560CB">
        <w:rPr>
          <w:rFonts w:ascii="Bookman Old Style" w:eastAsia="Arial Unicode MS" w:hAnsi="Bookman Old Style" w:cs="Arial Unicode MS"/>
          <w:i/>
        </w:rPr>
        <w:t>]</w:t>
      </w:r>
      <w:r>
        <w:rPr>
          <w:rFonts w:ascii="Bookman Old Style" w:eastAsia="Arial Unicode MS" w:hAnsi="Bookman Old Style" w:cs="Arial Unicode MS"/>
          <w:i/>
        </w:rPr>
        <w:t xml:space="preserve"> 2 Q.B.</w:t>
      </w:r>
      <w:r w:rsidR="00C560CB">
        <w:rPr>
          <w:rFonts w:ascii="Bookman Old Style" w:eastAsia="Arial Unicode MS" w:hAnsi="Bookman Old Style" w:cs="Arial Unicode MS"/>
          <w:i/>
        </w:rPr>
        <w:t xml:space="preserve"> 683</w:t>
      </w:r>
      <w:r w:rsidR="004C6BB4">
        <w:rPr>
          <w:rFonts w:ascii="Bookman Old Style" w:eastAsia="Arial Unicode MS" w:hAnsi="Bookman Old Style" w:cs="Arial Unicode MS"/>
          <w:i/>
        </w:rPr>
        <w:t>.</w:t>
      </w:r>
    </w:p>
    <w:p w:rsidR="00A83370" w:rsidRDefault="004C6BB4"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 xml:space="preserve">Lewis v Daily Telegraph Limited [1964] A.C. 234. </w:t>
      </w:r>
      <w:r w:rsidR="00A83370">
        <w:rPr>
          <w:rFonts w:ascii="Bookman Old Style" w:eastAsia="Arial Unicode MS" w:hAnsi="Bookman Old Style" w:cs="Arial Unicode MS"/>
          <w:i/>
        </w:rPr>
        <w:t xml:space="preserve"> </w:t>
      </w:r>
    </w:p>
    <w:p w:rsidR="00153D09" w:rsidRPr="008F7F2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 xml:space="preserve">Harmon Pictures N.K.V. </w:t>
      </w:r>
      <w:r w:rsidR="0090662B">
        <w:rPr>
          <w:rFonts w:ascii="Bookman Old Style" w:eastAsia="Arial Unicode MS" w:hAnsi="Bookman Old Style" w:cs="Arial Unicode MS"/>
          <w:i/>
        </w:rPr>
        <w:t xml:space="preserve">v </w:t>
      </w:r>
      <w:r>
        <w:rPr>
          <w:rFonts w:ascii="Bookman Old Style" w:eastAsia="Arial Unicode MS" w:hAnsi="Bookman Old Style" w:cs="Arial Unicode MS"/>
          <w:i/>
        </w:rPr>
        <w:t>Osborne [1967] 1 W.L.R. 723.</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sidRPr="008F7F29">
        <w:rPr>
          <w:rFonts w:ascii="Bookman Old Style" w:eastAsia="Arial Unicode MS" w:hAnsi="Bookman Old Style" w:cs="Arial Unicode MS"/>
          <w:i/>
        </w:rPr>
        <w:t>Fraser v Evans [1969] 1 Q.B. 349.</w:t>
      </w:r>
    </w:p>
    <w:p w:rsidR="000222A7" w:rsidRDefault="000222A7"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London Artists v Litter [1969] 2 Q.B.D. 375.</w:t>
      </w:r>
    </w:p>
    <w:p w:rsidR="00153D09" w:rsidRPr="008F7F2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 xml:space="preserve">Habbard v Vosper [1972] 2 Q.B. 84. </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sidRPr="008F7F29">
        <w:rPr>
          <w:rFonts w:ascii="Bookman Old Style" w:eastAsia="Arial Unicode MS" w:hAnsi="Bookman Old Style" w:cs="Arial Unicode MS"/>
          <w:i/>
        </w:rPr>
        <w:t>American Cynamid Company v Ethicon Limited [1975] A.C. 396.</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Bestobell Paints Limited v Bigg [1975] F.S.R. 421.</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 xml:space="preserve">Harrocks v Lowe [1975] A.C. 135. </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Fellowes and Sons v Fisher [1976] Q.B. 122.</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 xml:space="preserve">Duport Steels Limited and Others v Sirs [1980] 1 W.L.R. 142.  </w:t>
      </w:r>
    </w:p>
    <w:p w:rsidR="00153D09" w:rsidRPr="008F7F2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Harakas v Baltic Mercantile and Shipping Exchange [1982] 1 W.L.R. 958</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Herbage v Pressdram [1984] 1 W.L.R. 1160.</w:t>
      </w:r>
    </w:p>
    <w:p w:rsidR="0090662B" w:rsidRPr="0090662B" w:rsidRDefault="0090662B" w:rsidP="0090662B">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lastRenderedPageBreak/>
        <w:t>Munson v Tussauds Limited [1984] 1 Q.B. 671.</w:t>
      </w:r>
    </w:p>
    <w:p w:rsidR="00153D09" w:rsidRPr="008F7F2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Kashoggi v IPC Magazine Limited [1986] 3 AlL E.R. 577.</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sidRPr="008F7F29">
        <w:rPr>
          <w:rFonts w:ascii="Bookman Old Style" w:eastAsia="Arial Unicode MS" w:hAnsi="Bookman Old Style" w:cs="Arial Unicode MS"/>
          <w:i/>
        </w:rPr>
        <w:t xml:space="preserve">Gulf Oil </w:t>
      </w:r>
      <w:r>
        <w:rPr>
          <w:rFonts w:ascii="Bookman Old Style" w:eastAsia="Arial Unicode MS" w:hAnsi="Bookman Old Style" w:cs="Arial Unicode MS"/>
          <w:i/>
        </w:rPr>
        <w:t>(</w:t>
      </w:r>
      <w:r w:rsidRPr="008F7F29">
        <w:rPr>
          <w:rFonts w:ascii="Bookman Old Style" w:eastAsia="Arial Unicode MS" w:hAnsi="Bookman Old Style" w:cs="Arial Unicode MS"/>
          <w:i/>
        </w:rPr>
        <w:t>GB</w:t>
      </w:r>
      <w:r>
        <w:rPr>
          <w:rFonts w:ascii="Bookman Old Style" w:eastAsia="Arial Unicode MS" w:hAnsi="Bookman Old Style" w:cs="Arial Unicode MS"/>
          <w:i/>
        </w:rPr>
        <w:t>)</w:t>
      </w:r>
      <w:r w:rsidRPr="008F7F29">
        <w:rPr>
          <w:rFonts w:ascii="Bookman Old Style" w:eastAsia="Arial Unicode MS" w:hAnsi="Bookman Old Style" w:cs="Arial Unicode MS"/>
          <w:i/>
        </w:rPr>
        <w:t xml:space="preserve"> Limited v Page and Others [1987] 3 ALL E.R. 14.</w:t>
      </w:r>
    </w:p>
    <w:p w:rsidR="00153D09" w:rsidRPr="008F7F2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 xml:space="preserve">Cambridge Nutrition Limited v BBC [1990] 3 ALL E.R. 523. </w:t>
      </w:r>
    </w:p>
    <w:p w:rsidR="00153D09" w:rsidRPr="00FE040D"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Femis Bank (An</w:t>
      </w:r>
      <w:r w:rsidRPr="008F7F29">
        <w:rPr>
          <w:rFonts w:ascii="Bookman Old Style" w:eastAsia="Arial Unicode MS" w:hAnsi="Bookman Old Style" w:cs="Arial Unicode MS"/>
          <w:i/>
        </w:rPr>
        <w:t>guilla) Limited and Others v Lazar and Another [1991] 2 ALL E.R. 864.</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sidRPr="00FE040D">
        <w:rPr>
          <w:rFonts w:ascii="Bookman Old Style" w:eastAsia="Arial Unicode MS" w:hAnsi="Bookman Old Style" w:cs="Arial Unicode MS"/>
          <w:i/>
        </w:rPr>
        <w:t>R v Secretary of State for Transport Ex parte Factor fame Limited [No.2] [</w:t>
      </w:r>
      <w:r>
        <w:rPr>
          <w:rFonts w:ascii="Bookman Old Style" w:eastAsia="Arial Unicode MS" w:hAnsi="Bookman Old Style" w:cs="Arial Unicode MS"/>
          <w:i/>
        </w:rPr>
        <w:t>1991] A.C. 603.</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Joyce v Senguptya [1993] 1 W.L.R. 337</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Halley v Smith [1998] W.M.L.R. 133.</w:t>
      </w:r>
    </w:p>
    <w:p w:rsidR="00A83370" w:rsidRDefault="0090662B"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Bronson v Bow</w:t>
      </w:r>
      <w:r w:rsidR="00A83370">
        <w:rPr>
          <w:rFonts w:ascii="Bookman Old Style" w:eastAsia="Arial Unicode MS" w:hAnsi="Bookman Old Style" w:cs="Arial Unicode MS"/>
          <w:i/>
        </w:rPr>
        <w:t>er [2001</w:t>
      </w:r>
      <w:r w:rsidR="00B55DF7">
        <w:rPr>
          <w:rFonts w:ascii="Bookman Old Style" w:eastAsia="Arial Unicode MS" w:hAnsi="Bookman Old Style" w:cs="Arial Unicode MS"/>
          <w:i/>
        </w:rPr>
        <w:t>]</w:t>
      </w:r>
      <w:r>
        <w:rPr>
          <w:rFonts w:ascii="Bookman Old Style" w:eastAsia="Arial Unicode MS" w:hAnsi="Bookman Old Style" w:cs="Arial Unicode MS"/>
          <w:i/>
        </w:rPr>
        <w:t xml:space="preserve"> [2002] 2 W.L.R. 452</w:t>
      </w:r>
    </w:p>
    <w:p w:rsidR="009459D8" w:rsidRDefault="009459D8"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Reynolds v Times Newspapers Limited, and Others [2001] 2 A.C. 127.</w:t>
      </w:r>
    </w:p>
    <w:p w:rsidR="00B55DF7" w:rsidRDefault="00B55DF7"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Branson v Bower [No. 2] [2002] 2 W.L.R. 452.</w:t>
      </w:r>
    </w:p>
    <w:p w:rsidR="00153D09" w:rsidRDefault="00153D09" w:rsidP="00153D09">
      <w:pPr>
        <w:pStyle w:val="ListParagraph"/>
        <w:numPr>
          <w:ilvl w:val="0"/>
          <w:numId w:val="1"/>
        </w:numPr>
        <w:spacing w:after="0" w:line="360" w:lineRule="auto"/>
        <w:rPr>
          <w:rFonts w:ascii="Bookman Old Style" w:eastAsia="Arial Unicode MS" w:hAnsi="Bookman Old Style" w:cs="Arial Unicode MS"/>
          <w:i/>
        </w:rPr>
      </w:pPr>
      <w:r w:rsidRPr="00FE040D">
        <w:rPr>
          <w:rFonts w:ascii="Bookman Old Style" w:eastAsia="Arial Unicode MS" w:hAnsi="Bookman Old Style" w:cs="Arial Unicode MS"/>
          <w:i/>
        </w:rPr>
        <w:t>Smithline Beecham P.K.V. Opotex Europe Limited [2003] E.W.C.A. Civ 137.</w:t>
      </w:r>
    </w:p>
    <w:p w:rsidR="00E840DD" w:rsidRDefault="00E840DD"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Bonnick v Morris [2003] 1 A.C. 300.</w:t>
      </w:r>
    </w:p>
    <w:p w:rsidR="004C6BB4" w:rsidRDefault="004C6BB4" w:rsidP="00153D09">
      <w:pPr>
        <w:pStyle w:val="ListParagraph"/>
        <w:numPr>
          <w:ilvl w:val="0"/>
          <w:numId w:val="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 xml:space="preserve">Jameel v Wall Street Journal Europe [2006] 3 W.L.R. 642. </w:t>
      </w:r>
    </w:p>
    <w:p w:rsidR="00F6253D" w:rsidRPr="00605011" w:rsidRDefault="00F6253D" w:rsidP="00605011">
      <w:pPr>
        <w:spacing w:after="0" w:line="360" w:lineRule="auto"/>
        <w:rPr>
          <w:rFonts w:ascii="Bookman Old Style" w:eastAsia="Arial Unicode MS" w:hAnsi="Bookman Old Style" w:cs="Arial Unicode MS"/>
          <w:i/>
        </w:rPr>
      </w:pPr>
    </w:p>
    <w:p w:rsidR="00153D09" w:rsidRPr="00982660" w:rsidRDefault="00153D09" w:rsidP="00153D09">
      <w:pPr>
        <w:spacing w:after="0" w:line="360" w:lineRule="auto"/>
        <w:rPr>
          <w:rFonts w:ascii="Bookman Old Style" w:eastAsia="Arial Unicode MS" w:hAnsi="Bookman Old Style" w:cs="Arial Unicode MS"/>
          <w:b/>
          <w:i/>
        </w:rPr>
      </w:pPr>
      <w:r w:rsidRPr="00982660">
        <w:rPr>
          <w:rFonts w:ascii="Bookman Old Style" w:eastAsia="Arial Unicode MS" w:hAnsi="Bookman Old Style" w:cs="Arial Unicode MS"/>
          <w:b/>
          <w:i/>
        </w:rPr>
        <w:t>Zambian cases</w:t>
      </w:r>
    </w:p>
    <w:p w:rsidR="00153D09" w:rsidRPr="007C4C1B" w:rsidRDefault="00153D09" w:rsidP="00153D09">
      <w:pPr>
        <w:pStyle w:val="ListParagraph"/>
        <w:numPr>
          <w:ilvl w:val="0"/>
          <w:numId w:val="15"/>
        </w:numPr>
        <w:spacing w:after="0" w:line="360" w:lineRule="auto"/>
        <w:rPr>
          <w:rFonts w:ascii="Bookman Old Style" w:eastAsia="Arial Unicode MS" w:hAnsi="Bookman Old Style" w:cs="Arial Unicode MS"/>
          <w:i/>
        </w:rPr>
      </w:pPr>
      <w:r w:rsidRPr="008F7F29">
        <w:rPr>
          <w:rFonts w:ascii="Bookman Old Style" w:eastAsia="Arial Unicode MS" w:hAnsi="Bookman Old Style" w:cs="Arial Unicode MS"/>
          <w:i/>
        </w:rPr>
        <w:t>Shell and BP Zambia Limited v Conidaris and Others (1975) 174.</w:t>
      </w:r>
    </w:p>
    <w:p w:rsidR="00153D09" w:rsidRDefault="00153D09" w:rsidP="00153D09">
      <w:pPr>
        <w:pStyle w:val="ListParagraph"/>
        <w:numPr>
          <w:ilvl w:val="0"/>
          <w:numId w:val="15"/>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Ndove v Natural Educational Company Limited [1980] Z.R. 184.</w:t>
      </w:r>
    </w:p>
    <w:p w:rsidR="00153D09" w:rsidRDefault="00153D09" w:rsidP="00153D09">
      <w:pPr>
        <w:pStyle w:val="ListParagraph"/>
        <w:numPr>
          <w:ilvl w:val="0"/>
          <w:numId w:val="15"/>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Zimco Properties v PAPCP Limited (1988-1989) Z.R. 92.</w:t>
      </w:r>
    </w:p>
    <w:p w:rsidR="00153D09" w:rsidRDefault="00153D09" w:rsidP="00153D09">
      <w:pPr>
        <w:pStyle w:val="ListParagraph"/>
        <w:numPr>
          <w:ilvl w:val="0"/>
          <w:numId w:val="15"/>
        </w:numPr>
        <w:spacing w:after="0" w:line="360" w:lineRule="auto"/>
        <w:rPr>
          <w:rFonts w:ascii="Bookman Old Style" w:eastAsia="Arial Unicode MS" w:hAnsi="Bookman Old Style" w:cs="Arial Unicode MS"/>
          <w:i/>
        </w:rPr>
      </w:pPr>
      <w:r w:rsidRPr="008F7F29">
        <w:rPr>
          <w:rFonts w:ascii="Bookman Old Style" w:eastAsia="Arial Unicode MS" w:hAnsi="Bookman Old Style" w:cs="Arial Unicode MS"/>
          <w:i/>
        </w:rPr>
        <w:t xml:space="preserve">Shamwana v Mwanawasa (1993-1994) Z.R. 149. </w:t>
      </w:r>
    </w:p>
    <w:p w:rsidR="0090662B" w:rsidRDefault="0090662B" w:rsidP="0090662B">
      <w:pPr>
        <w:pStyle w:val="ListParagraph"/>
        <w:numPr>
          <w:ilvl w:val="0"/>
          <w:numId w:val="15"/>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Sata v Post Newspapers Limited and Another 1993/HP/1395, and 1804, and HP/1823 (unreported).</w:t>
      </w:r>
    </w:p>
    <w:p w:rsidR="00605011" w:rsidRPr="0090662B" w:rsidRDefault="00605011" w:rsidP="0090662B">
      <w:pPr>
        <w:pStyle w:val="ListParagraph"/>
        <w:numPr>
          <w:ilvl w:val="0"/>
          <w:numId w:val="15"/>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Admark Limited v Zambia Revenue Authority (2006) Z.R. 43.</w:t>
      </w:r>
    </w:p>
    <w:p w:rsidR="009E6EB6" w:rsidRDefault="009E6EB6" w:rsidP="00153D09">
      <w:pPr>
        <w:pStyle w:val="ListParagraph"/>
        <w:numPr>
          <w:ilvl w:val="0"/>
          <w:numId w:val="15"/>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Attorney General v Clarke (2008), Volume 1, Z.R. 38.</w:t>
      </w:r>
    </w:p>
    <w:p w:rsidR="00153D09" w:rsidRDefault="00153D09" w:rsidP="00153D09">
      <w:pPr>
        <w:pStyle w:val="ListParagraph"/>
        <w:numPr>
          <w:ilvl w:val="0"/>
          <w:numId w:val="15"/>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Lwali and Others v Mumbi and Others (2009) Z.R. 64.</w:t>
      </w:r>
    </w:p>
    <w:p w:rsidR="008D7A18" w:rsidRDefault="00153D09" w:rsidP="008D7A18">
      <w:pPr>
        <w:pStyle w:val="ListParagraph"/>
        <w:numPr>
          <w:ilvl w:val="0"/>
          <w:numId w:val="15"/>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Mapiko and Another v Chande 2010/HP/</w:t>
      </w:r>
      <w:r w:rsidR="00F6253D">
        <w:rPr>
          <w:rFonts w:ascii="Bookman Old Style" w:eastAsia="Arial Unicode MS" w:hAnsi="Bookman Old Style" w:cs="Arial Unicode MS"/>
          <w:i/>
        </w:rPr>
        <w:t>690 (to be reported in the 2010</w:t>
      </w:r>
      <w:r>
        <w:rPr>
          <w:rFonts w:ascii="Bookman Old Style" w:eastAsia="Arial Unicode MS" w:hAnsi="Bookman Old Style" w:cs="Arial Unicode MS"/>
          <w:i/>
        </w:rPr>
        <w:t xml:space="preserve"> Zambia Law Reports)</w:t>
      </w:r>
      <w:r w:rsidR="00F6253D">
        <w:rPr>
          <w:rFonts w:ascii="Bookman Old Style" w:eastAsia="Arial Unicode MS" w:hAnsi="Bookman Old Style" w:cs="Arial Unicode MS"/>
          <w:i/>
        </w:rPr>
        <w:t>.</w:t>
      </w:r>
    </w:p>
    <w:p w:rsidR="00153D09" w:rsidRDefault="00153D09" w:rsidP="00153D09">
      <w:pPr>
        <w:spacing w:after="0" w:line="360" w:lineRule="auto"/>
        <w:rPr>
          <w:rFonts w:ascii="Bookman Old Style" w:eastAsia="Arial Unicode MS" w:hAnsi="Bookman Old Style" w:cs="Arial Unicode MS"/>
          <w:i/>
        </w:rPr>
      </w:pPr>
    </w:p>
    <w:p w:rsidR="00E30311" w:rsidRDefault="00E30311" w:rsidP="00153D09">
      <w:pPr>
        <w:spacing w:after="0" w:line="360" w:lineRule="auto"/>
        <w:rPr>
          <w:rFonts w:ascii="Bookman Old Style" w:eastAsia="Arial Unicode MS" w:hAnsi="Bookman Old Style" w:cs="Arial Unicode MS"/>
          <w:i/>
        </w:rPr>
      </w:pPr>
    </w:p>
    <w:p w:rsidR="00E30311" w:rsidRDefault="00E30311" w:rsidP="00153D09">
      <w:pPr>
        <w:spacing w:after="0" w:line="360" w:lineRule="auto"/>
        <w:rPr>
          <w:rFonts w:ascii="Bookman Old Style" w:eastAsia="Arial Unicode MS" w:hAnsi="Bookman Old Style" w:cs="Arial Unicode MS"/>
          <w:i/>
        </w:rPr>
      </w:pPr>
    </w:p>
    <w:p w:rsidR="00E30311" w:rsidRPr="008F7F29" w:rsidRDefault="00E30311" w:rsidP="00153D09">
      <w:pPr>
        <w:spacing w:after="0" w:line="360" w:lineRule="auto"/>
        <w:rPr>
          <w:rFonts w:ascii="Bookman Old Style" w:eastAsia="Arial Unicode MS" w:hAnsi="Bookman Old Style" w:cs="Arial Unicode MS"/>
          <w:i/>
        </w:rPr>
      </w:pPr>
    </w:p>
    <w:p w:rsidR="00153D09" w:rsidRPr="008F7F29" w:rsidRDefault="00153D09" w:rsidP="00153D09">
      <w:pPr>
        <w:spacing w:after="0" w:line="360" w:lineRule="auto"/>
        <w:rPr>
          <w:rFonts w:ascii="Bookman Old Style" w:eastAsia="Arial Unicode MS" w:hAnsi="Bookman Old Style" w:cs="Arial Unicode MS"/>
          <w:b/>
          <w:i/>
          <w:u w:val="single"/>
        </w:rPr>
      </w:pPr>
      <w:r w:rsidRPr="008F7F29">
        <w:rPr>
          <w:rFonts w:ascii="Bookman Old Style" w:eastAsia="Arial Unicode MS" w:hAnsi="Bookman Old Style" w:cs="Arial Unicode MS"/>
          <w:b/>
          <w:i/>
          <w:u w:val="single"/>
        </w:rPr>
        <w:lastRenderedPageBreak/>
        <w:t>Legislation referred to:</w:t>
      </w:r>
    </w:p>
    <w:p w:rsidR="00153D09" w:rsidRDefault="00153D09" w:rsidP="00153D09">
      <w:pPr>
        <w:pStyle w:val="ListParagraph"/>
        <w:numPr>
          <w:ilvl w:val="0"/>
          <w:numId w:val="14"/>
        </w:numPr>
        <w:spacing w:after="0" w:line="360" w:lineRule="auto"/>
        <w:rPr>
          <w:rFonts w:ascii="Bookman Old Style" w:eastAsia="Arial Unicode MS" w:hAnsi="Bookman Old Style" w:cs="Arial Unicode MS"/>
          <w:i/>
        </w:rPr>
      </w:pPr>
      <w:r w:rsidRPr="008F7F29">
        <w:rPr>
          <w:rFonts w:ascii="Bookman Old Style" w:eastAsia="Arial Unicode MS" w:hAnsi="Bookman Old Style" w:cs="Arial Unicode MS"/>
          <w:i/>
        </w:rPr>
        <w:t>Zambia National Broa</w:t>
      </w:r>
      <w:r>
        <w:rPr>
          <w:rFonts w:ascii="Bookman Old Style" w:eastAsia="Arial Unicode MS" w:hAnsi="Bookman Old Style" w:cs="Arial Unicode MS"/>
          <w:i/>
        </w:rPr>
        <w:t>dc</w:t>
      </w:r>
      <w:r w:rsidR="0090662B">
        <w:rPr>
          <w:rFonts w:ascii="Bookman Old Style" w:eastAsia="Arial Unicode MS" w:hAnsi="Bookman Old Style" w:cs="Arial Unicode MS"/>
          <w:i/>
        </w:rPr>
        <w:t xml:space="preserve">asting Corporation Act Number 20 </w:t>
      </w:r>
      <w:r w:rsidRPr="008F7F29">
        <w:rPr>
          <w:rFonts w:ascii="Bookman Old Style" w:eastAsia="Arial Unicode MS" w:hAnsi="Bookman Old Style" w:cs="Arial Unicode MS"/>
          <w:i/>
        </w:rPr>
        <w:t>of 2002</w:t>
      </w:r>
      <w:r w:rsidR="00AE1459">
        <w:rPr>
          <w:rFonts w:ascii="Bookman Old Style" w:eastAsia="Arial Unicode MS" w:hAnsi="Bookman Old Style" w:cs="Arial Unicode MS"/>
          <w:i/>
        </w:rPr>
        <w:t>, s. 7 (b) (c) (b), and (m)</w:t>
      </w:r>
      <w:r w:rsidRPr="008F7F29">
        <w:rPr>
          <w:rFonts w:ascii="Bookman Old Style" w:eastAsia="Arial Unicode MS" w:hAnsi="Bookman Old Style" w:cs="Arial Unicode MS"/>
          <w:i/>
        </w:rPr>
        <w:t>.</w:t>
      </w:r>
    </w:p>
    <w:p w:rsidR="006D0304" w:rsidRDefault="006D0304" w:rsidP="00153D09">
      <w:pPr>
        <w:pStyle w:val="ListParagraph"/>
        <w:numPr>
          <w:ilvl w:val="0"/>
          <w:numId w:val="14"/>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Independence Broadcasting Authority Act Number 71 of 2002, ss. (2), (f) (g), (h), and (i).</w:t>
      </w:r>
    </w:p>
    <w:p w:rsidR="00E30311" w:rsidRPr="00E30311" w:rsidRDefault="00E30311" w:rsidP="00E30311">
      <w:pPr>
        <w:pStyle w:val="ListParagraph"/>
        <w:numPr>
          <w:ilvl w:val="0"/>
          <w:numId w:val="14"/>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Defamation Act, cap 68, ss. 6, and 7.</w:t>
      </w:r>
    </w:p>
    <w:p w:rsidR="00153D09" w:rsidRDefault="00153D09" w:rsidP="00153D09">
      <w:pPr>
        <w:pStyle w:val="ListParagraph"/>
        <w:numPr>
          <w:ilvl w:val="0"/>
          <w:numId w:val="14"/>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High Court Act c</w:t>
      </w:r>
      <w:r w:rsidRPr="008F7F29">
        <w:rPr>
          <w:rFonts w:ascii="Bookman Old Style" w:eastAsia="Arial Unicode MS" w:hAnsi="Bookman Old Style" w:cs="Arial Unicode MS"/>
          <w:i/>
        </w:rPr>
        <w:t>ap 27, Order 12, Rule 1.</w:t>
      </w:r>
    </w:p>
    <w:p w:rsidR="00E30311" w:rsidRPr="00E30311" w:rsidRDefault="00E30311" w:rsidP="00E30311">
      <w:pPr>
        <w:pStyle w:val="ListParagraph"/>
        <w:numPr>
          <w:ilvl w:val="0"/>
          <w:numId w:val="14"/>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Rules of the Supreme Court (White Book) Order 18.</w:t>
      </w:r>
    </w:p>
    <w:p w:rsidR="00E30311" w:rsidRPr="00E30311" w:rsidRDefault="00E840DD" w:rsidP="00E30311">
      <w:pPr>
        <w:pStyle w:val="ListParagraph"/>
        <w:numPr>
          <w:ilvl w:val="0"/>
          <w:numId w:val="14"/>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Statutory Instrument Number 69 of 1998</w:t>
      </w:r>
      <w:r w:rsidR="005F2592">
        <w:rPr>
          <w:rFonts w:ascii="Bookman Old Style" w:eastAsia="Arial Unicode MS" w:hAnsi="Bookman Old Style" w:cs="Arial Unicode MS"/>
          <w:i/>
        </w:rPr>
        <w:t>, T</w:t>
      </w:r>
      <w:r w:rsidR="00AE1459">
        <w:rPr>
          <w:rFonts w:ascii="Bookman Old Style" w:eastAsia="Arial Unicode MS" w:hAnsi="Bookman Old Style" w:cs="Arial Unicode MS"/>
          <w:i/>
        </w:rPr>
        <w:t>he High Court (Amendment) Rules of 1998.</w:t>
      </w:r>
    </w:p>
    <w:p w:rsidR="00DC605A" w:rsidRDefault="00DC605A" w:rsidP="00153D09">
      <w:pPr>
        <w:pStyle w:val="ListParagraph"/>
        <w:numPr>
          <w:ilvl w:val="0"/>
          <w:numId w:val="14"/>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Statutory Instrument No. 52 of 2011, The Electoral Act, 2006 (Act No. 12 of 2006</w:t>
      </w:r>
      <w:r w:rsidR="00E30311">
        <w:rPr>
          <w:rFonts w:ascii="Bookman Old Style" w:eastAsia="Arial Unicode MS" w:hAnsi="Bookman Old Style" w:cs="Arial Unicode MS"/>
          <w:i/>
        </w:rPr>
        <w:t>)</w:t>
      </w:r>
      <w:r>
        <w:rPr>
          <w:rFonts w:ascii="Bookman Old Style" w:eastAsia="Arial Unicode MS" w:hAnsi="Bookman Old Style" w:cs="Arial Unicode MS"/>
          <w:i/>
        </w:rPr>
        <w:t>, The Electoral (Code of Conduct) Regulations, 2011.</w:t>
      </w:r>
    </w:p>
    <w:p w:rsidR="00973F4B" w:rsidRPr="003C11F6" w:rsidRDefault="00973F4B" w:rsidP="00973F4B">
      <w:pPr>
        <w:pStyle w:val="ListParagraph"/>
        <w:spacing w:after="0" w:line="360" w:lineRule="auto"/>
        <w:rPr>
          <w:rFonts w:ascii="Bookman Old Style" w:eastAsia="Arial Unicode MS" w:hAnsi="Bookman Old Style" w:cs="Arial Unicode MS"/>
          <w:i/>
        </w:rPr>
      </w:pPr>
    </w:p>
    <w:p w:rsidR="00153D09" w:rsidRPr="008F7F29" w:rsidRDefault="00153D09" w:rsidP="00153D09">
      <w:pPr>
        <w:spacing w:after="0" w:line="360" w:lineRule="auto"/>
        <w:rPr>
          <w:rFonts w:ascii="Bookman Old Style" w:eastAsia="Arial Unicode MS" w:hAnsi="Bookman Old Style" w:cs="Arial Unicode MS"/>
          <w:b/>
          <w:i/>
          <w:u w:val="single"/>
        </w:rPr>
      </w:pPr>
      <w:r w:rsidRPr="008F7F29">
        <w:rPr>
          <w:rFonts w:ascii="Bookman Old Style" w:eastAsia="Arial Unicode MS" w:hAnsi="Bookman Old Style" w:cs="Arial Unicode MS"/>
          <w:b/>
          <w:i/>
          <w:u w:val="single"/>
        </w:rPr>
        <w:t>Works referred to:</w:t>
      </w:r>
    </w:p>
    <w:p w:rsidR="00153D09" w:rsidRDefault="00153D09" w:rsidP="00153D09">
      <w:pPr>
        <w:pStyle w:val="ListParagraph"/>
        <w:numPr>
          <w:ilvl w:val="0"/>
          <w:numId w:val="11"/>
        </w:numPr>
        <w:spacing w:line="360" w:lineRule="auto"/>
        <w:rPr>
          <w:rFonts w:ascii="Bookman Old Style" w:eastAsia="Arial Unicode MS" w:hAnsi="Bookman Old Style" w:cs="Arial Unicode MS"/>
          <w:i/>
        </w:rPr>
      </w:pPr>
      <w:r>
        <w:rPr>
          <w:rFonts w:ascii="Bookman Old Style" w:eastAsia="Arial Unicode MS" w:hAnsi="Bookman Old Style" w:cs="Arial Unicode MS"/>
          <w:i/>
        </w:rPr>
        <w:t>Patrick Milmo</w:t>
      </w:r>
      <w:r w:rsidRPr="008F7F29">
        <w:rPr>
          <w:rFonts w:ascii="Bookman Old Style" w:eastAsia="Arial Unicode MS" w:hAnsi="Bookman Old Style" w:cs="Arial Unicode MS"/>
          <w:i/>
        </w:rPr>
        <w:t xml:space="preserve">, and W.V.H. Rogers </w:t>
      </w:r>
      <w:r w:rsidRPr="008F7F29">
        <w:rPr>
          <w:rFonts w:ascii="Bookman Old Style" w:eastAsia="Arial Unicode MS" w:hAnsi="Bookman Old Style" w:cs="Arial Unicode MS"/>
          <w:i/>
          <w:u w:val="single"/>
        </w:rPr>
        <w:t>Gatley on Libel and Slander</w:t>
      </w:r>
      <w:r w:rsidRPr="008F7F29">
        <w:rPr>
          <w:rFonts w:ascii="Bookman Old Style" w:eastAsia="Arial Unicode MS" w:hAnsi="Bookman Old Style" w:cs="Arial Unicode MS"/>
          <w:i/>
        </w:rPr>
        <w:t>, Eleventh Edition, (Thomson Reuters, Legal Limited, London</w:t>
      </w:r>
      <w:r>
        <w:rPr>
          <w:rFonts w:ascii="Bookman Old Style" w:eastAsia="Arial Unicode MS" w:hAnsi="Bookman Old Style" w:cs="Arial Unicode MS"/>
          <w:i/>
        </w:rPr>
        <w:t>,</w:t>
      </w:r>
      <w:r w:rsidRPr="008F7F29">
        <w:rPr>
          <w:rFonts w:ascii="Bookman Old Style" w:eastAsia="Arial Unicode MS" w:hAnsi="Bookman Old Style" w:cs="Arial Unicode MS"/>
          <w:i/>
        </w:rPr>
        <w:t xml:space="preserve"> 2008).</w:t>
      </w:r>
    </w:p>
    <w:p w:rsidR="00153D09" w:rsidRDefault="00153D09" w:rsidP="00153D09">
      <w:pPr>
        <w:pStyle w:val="ListParagraph"/>
        <w:numPr>
          <w:ilvl w:val="0"/>
          <w:numId w:val="1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 xml:space="preserve">Philip Lewis, </w:t>
      </w:r>
      <w:r w:rsidRPr="005E7F35">
        <w:rPr>
          <w:rFonts w:ascii="Bookman Old Style" w:eastAsia="Arial Unicode MS" w:hAnsi="Bookman Old Style" w:cs="Arial Unicode MS"/>
          <w:i/>
          <w:u w:val="single"/>
        </w:rPr>
        <w:t xml:space="preserve">Gatley on </w:t>
      </w:r>
      <w:r w:rsidRPr="008F7F29">
        <w:rPr>
          <w:rFonts w:ascii="Bookman Old Style" w:eastAsia="Arial Unicode MS" w:hAnsi="Bookman Old Style" w:cs="Arial Unicode MS"/>
          <w:i/>
          <w:u w:val="single"/>
        </w:rPr>
        <w:t>Libel and Slander</w:t>
      </w:r>
      <w:r w:rsidRPr="008F7F29">
        <w:rPr>
          <w:rFonts w:ascii="Bookman Old Style" w:eastAsia="Arial Unicode MS" w:hAnsi="Bookman Old Style" w:cs="Arial Unicode MS"/>
          <w:i/>
        </w:rPr>
        <w:t xml:space="preserve"> 8</w:t>
      </w:r>
      <w:r w:rsidRPr="008F7F29">
        <w:rPr>
          <w:rFonts w:ascii="Bookman Old Style" w:eastAsia="Arial Unicode MS" w:hAnsi="Bookman Old Style" w:cs="Arial Unicode MS"/>
          <w:i/>
          <w:vertAlign w:val="superscript"/>
        </w:rPr>
        <w:t>th</w:t>
      </w:r>
      <w:r w:rsidRPr="008F7F29">
        <w:rPr>
          <w:rFonts w:ascii="Bookman Old Style" w:eastAsia="Arial Unicode MS" w:hAnsi="Bookman Old Style" w:cs="Arial Unicode MS"/>
          <w:i/>
        </w:rPr>
        <w:t xml:space="preserve"> Edition</w:t>
      </w:r>
      <w:r>
        <w:rPr>
          <w:rFonts w:ascii="Bookman Old Style" w:eastAsia="Arial Unicode MS" w:hAnsi="Bookman Old Style" w:cs="Arial Unicode MS"/>
          <w:i/>
        </w:rPr>
        <w:t>,</w:t>
      </w:r>
      <w:r w:rsidRPr="008F7F29">
        <w:rPr>
          <w:rFonts w:ascii="Bookman Old Style" w:eastAsia="Arial Unicode MS" w:hAnsi="Bookman Old Style" w:cs="Arial Unicode MS"/>
          <w:i/>
        </w:rPr>
        <w:t xml:space="preserve"> (Sweet and Maxwell, London</w:t>
      </w:r>
      <w:r>
        <w:rPr>
          <w:rFonts w:ascii="Bookman Old Style" w:eastAsia="Arial Unicode MS" w:hAnsi="Bookman Old Style" w:cs="Arial Unicode MS"/>
          <w:i/>
        </w:rPr>
        <w:t>, 1981</w:t>
      </w:r>
      <w:r w:rsidRPr="008F7F29">
        <w:rPr>
          <w:rFonts w:ascii="Bookman Old Style" w:eastAsia="Arial Unicode MS" w:hAnsi="Bookman Old Style" w:cs="Arial Unicode MS"/>
          <w:i/>
        </w:rPr>
        <w:t>).</w:t>
      </w:r>
    </w:p>
    <w:p w:rsidR="00153D09" w:rsidRDefault="00153D09" w:rsidP="00153D09">
      <w:pPr>
        <w:pStyle w:val="ListParagraph"/>
        <w:numPr>
          <w:ilvl w:val="0"/>
          <w:numId w:val="11"/>
        </w:numPr>
        <w:spacing w:line="360" w:lineRule="auto"/>
        <w:rPr>
          <w:rFonts w:ascii="Bookman Old Style" w:eastAsia="Arial Unicode MS" w:hAnsi="Bookman Old Style" w:cs="Arial Unicode MS"/>
          <w:i/>
        </w:rPr>
      </w:pPr>
      <w:r w:rsidRPr="008F7F29">
        <w:rPr>
          <w:rFonts w:ascii="Bookman Old Style" w:eastAsia="Arial Unicode MS" w:hAnsi="Bookman Old Style" w:cs="Arial Unicode MS"/>
          <w:i/>
        </w:rPr>
        <w:t xml:space="preserve">Michael A. Jones, </w:t>
      </w:r>
      <w:r w:rsidRPr="008F7F29">
        <w:rPr>
          <w:rFonts w:ascii="Bookman Old Style" w:eastAsia="Arial Unicode MS" w:hAnsi="Bookman Old Style" w:cs="Arial Unicode MS"/>
          <w:i/>
          <w:u w:val="single"/>
        </w:rPr>
        <w:t>Clerk &amp; Lindsell on Torts</w:t>
      </w:r>
      <w:r>
        <w:rPr>
          <w:rFonts w:ascii="Bookman Old Style" w:eastAsia="Arial Unicode MS" w:hAnsi="Bookman Old Style" w:cs="Arial Unicode MS"/>
          <w:i/>
        </w:rPr>
        <w:t>, Twentieth</w:t>
      </w:r>
      <w:r w:rsidRPr="008F7F29">
        <w:rPr>
          <w:rFonts w:ascii="Bookman Old Style" w:eastAsia="Arial Unicode MS" w:hAnsi="Bookman Old Style" w:cs="Arial Unicode MS"/>
          <w:i/>
        </w:rPr>
        <w:t xml:space="preserve"> Edition</w:t>
      </w:r>
      <w:r>
        <w:rPr>
          <w:rFonts w:ascii="Bookman Old Style" w:eastAsia="Arial Unicode MS" w:hAnsi="Bookman Old Style" w:cs="Arial Unicode MS"/>
          <w:i/>
        </w:rPr>
        <w:t>,</w:t>
      </w:r>
      <w:r w:rsidRPr="008F7F29">
        <w:rPr>
          <w:rFonts w:ascii="Bookman Old Style" w:eastAsia="Arial Unicode MS" w:hAnsi="Bookman Old Style" w:cs="Arial Unicode MS"/>
          <w:i/>
        </w:rPr>
        <w:t xml:space="preserve"> (Thomson Reuters, Legal Limited, London</w:t>
      </w:r>
      <w:r>
        <w:rPr>
          <w:rFonts w:ascii="Bookman Old Style" w:eastAsia="Arial Unicode MS" w:hAnsi="Bookman Old Style" w:cs="Arial Unicode MS"/>
          <w:i/>
        </w:rPr>
        <w:t>,</w:t>
      </w:r>
      <w:r w:rsidRPr="008F7F29">
        <w:rPr>
          <w:rFonts w:ascii="Bookman Old Style" w:eastAsia="Arial Unicode MS" w:hAnsi="Bookman Old Style" w:cs="Arial Unicode MS"/>
          <w:i/>
        </w:rPr>
        <w:t xml:space="preserve"> 2010).</w:t>
      </w:r>
    </w:p>
    <w:p w:rsidR="005F2592" w:rsidRPr="005F2592" w:rsidRDefault="005F2592" w:rsidP="005F2592">
      <w:pPr>
        <w:pStyle w:val="ListParagraph"/>
        <w:numPr>
          <w:ilvl w:val="0"/>
          <w:numId w:val="11"/>
        </w:numPr>
        <w:spacing w:line="360" w:lineRule="auto"/>
        <w:rPr>
          <w:rFonts w:ascii="Bookman Old Style" w:eastAsia="Arial Unicode MS" w:hAnsi="Bookman Old Style" w:cs="Arial Unicode MS"/>
          <w:i/>
        </w:rPr>
      </w:pPr>
      <w:r w:rsidRPr="008F7F29">
        <w:rPr>
          <w:rFonts w:ascii="Bookman Old Style" w:eastAsia="Arial Unicode MS" w:hAnsi="Bookman Old Style" w:cs="Arial Unicode MS"/>
          <w:i/>
        </w:rPr>
        <w:t xml:space="preserve">Hodge M. Malek, </w:t>
      </w:r>
      <w:r w:rsidRPr="008F7F29">
        <w:rPr>
          <w:rFonts w:ascii="Bookman Old Style" w:eastAsia="Arial Unicode MS" w:hAnsi="Bookman Old Style" w:cs="Arial Unicode MS"/>
          <w:i/>
          <w:u w:val="single"/>
        </w:rPr>
        <w:t>Phipson on Evidence</w:t>
      </w:r>
      <w:r w:rsidRPr="008F7F29">
        <w:rPr>
          <w:rFonts w:ascii="Bookman Old Style" w:eastAsia="Arial Unicode MS" w:hAnsi="Bookman Old Style" w:cs="Arial Unicode MS"/>
          <w:i/>
        </w:rPr>
        <w:t>, S</w:t>
      </w:r>
      <w:r>
        <w:rPr>
          <w:rFonts w:ascii="Bookman Old Style" w:eastAsia="Arial Unicode MS" w:hAnsi="Bookman Old Style" w:cs="Arial Unicode MS"/>
          <w:i/>
        </w:rPr>
        <w:t>eventeenth Edition, (Thomson Reu</w:t>
      </w:r>
      <w:r w:rsidRPr="008F7F29">
        <w:rPr>
          <w:rFonts w:ascii="Bookman Old Style" w:eastAsia="Arial Unicode MS" w:hAnsi="Bookman Old Style" w:cs="Arial Unicode MS"/>
          <w:i/>
        </w:rPr>
        <w:t>ters, Legal Limited, London, 2009)</w:t>
      </w:r>
      <w:r>
        <w:rPr>
          <w:rFonts w:ascii="Bookman Old Style" w:eastAsia="Arial Unicode MS" w:hAnsi="Bookman Old Style" w:cs="Arial Unicode MS"/>
          <w:i/>
        </w:rPr>
        <w:t>.</w:t>
      </w:r>
    </w:p>
    <w:p w:rsidR="00AE1459" w:rsidRDefault="00AE1459" w:rsidP="00AE1459">
      <w:pPr>
        <w:pStyle w:val="ListParagraph"/>
        <w:numPr>
          <w:ilvl w:val="0"/>
          <w:numId w:val="1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 xml:space="preserve">William Blair, Lord Brennan, Lord Jacob, and Justice Langstaff, </w:t>
      </w:r>
      <w:r w:rsidRPr="00AE1459">
        <w:rPr>
          <w:rFonts w:ascii="Bookman Old Style" w:eastAsia="Arial Unicode MS" w:hAnsi="Bookman Old Style" w:cs="Arial Unicode MS"/>
          <w:i/>
          <w:u w:val="single"/>
        </w:rPr>
        <w:t>Bullen and Leake, and Jacobs Precedents of Pleadings</w:t>
      </w:r>
      <w:r>
        <w:rPr>
          <w:rFonts w:ascii="Bookman Old Style" w:eastAsia="Arial Unicode MS" w:hAnsi="Bookman Old Style" w:cs="Arial Unicode MS"/>
          <w:i/>
        </w:rPr>
        <w:t>,</w:t>
      </w:r>
      <w:r w:rsidRPr="009B241F">
        <w:rPr>
          <w:rFonts w:ascii="Bookman Old Style" w:eastAsia="Arial Unicode MS" w:hAnsi="Bookman Old Style" w:cs="Arial Unicode MS"/>
          <w:i/>
        </w:rPr>
        <w:t xml:space="preserve"> sixteenth Edition, Volume 1 (London: Sweet and Maxwell</w:t>
      </w:r>
      <w:r>
        <w:rPr>
          <w:rFonts w:ascii="Bookman Old Style" w:eastAsia="Arial Unicode MS" w:hAnsi="Bookman Old Style" w:cs="Arial Unicode MS"/>
          <w:i/>
        </w:rPr>
        <w:t>,</w:t>
      </w:r>
      <w:r w:rsidRPr="009B241F">
        <w:rPr>
          <w:rFonts w:ascii="Bookman Old Style" w:eastAsia="Arial Unicode MS" w:hAnsi="Bookman Old Style" w:cs="Arial Unicode MS"/>
          <w:i/>
        </w:rPr>
        <w:t xml:space="preserve"> 2008).</w:t>
      </w:r>
    </w:p>
    <w:p w:rsidR="005F2592" w:rsidRPr="005F2592" w:rsidRDefault="005F2592" w:rsidP="005F2592">
      <w:pPr>
        <w:pStyle w:val="ListParagraph"/>
        <w:numPr>
          <w:ilvl w:val="0"/>
          <w:numId w:val="11"/>
        </w:numPr>
        <w:spacing w:line="360" w:lineRule="auto"/>
        <w:rPr>
          <w:rFonts w:ascii="Bookman Old Style" w:eastAsia="Arial Unicode MS" w:hAnsi="Bookman Old Style" w:cs="Arial Unicode MS"/>
          <w:i/>
        </w:rPr>
      </w:pPr>
      <w:r>
        <w:rPr>
          <w:rFonts w:ascii="Bookman Old Style" w:eastAsia="Arial Unicode MS" w:hAnsi="Bookman Old Style" w:cs="Arial Unicode MS"/>
          <w:i/>
        </w:rPr>
        <w:t xml:space="preserve">John Mc Ghee, </w:t>
      </w:r>
      <w:r w:rsidRPr="00105CC5">
        <w:rPr>
          <w:rFonts w:ascii="Bookman Old Style" w:eastAsia="Arial Unicode MS" w:hAnsi="Bookman Old Style" w:cs="Arial Unicode MS"/>
          <w:i/>
          <w:u w:val="single"/>
        </w:rPr>
        <w:t>Snells Equity</w:t>
      </w:r>
      <w:r>
        <w:rPr>
          <w:rFonts w:ascii="Bookman Old Style" w:eastAsia="Arial Unicode MS" w:hAnsi="Bookman Old Style" w:cs="Arial Unicode MS"/>
          <w:i/>
        </w:rPr>
        <w:t>__ Edition (Sweet and Maxwell, London 2008).</w:t>
      </w:r>
    </w:p>
    <w:p w:rsidR="00153D09" w:rsidRDefault="00153D09" w:rsidP="00153D09">
      <w:pPr>
        <w:pStyle w:val="ListParagraph"/>
        <w:numPr>
          <w:ilvl w:val="0"/>
          <w:numId w:val="11"/>
        </w:numPr>
        <w:spacing w:line="360" w:lineRule="auto"/>
        <w:rPr>
          <w:rFonts w:ascii="Bookman Old Style" w:eastAsia="Arial Unicode MS" w:hAnsi="Bookman Old Style" w:cs="Arial Unicode MS"/>
          <w:i/>
        </w:rPr>
      </w:pPr>
      <w:r w:rsidRPr="008F7F29">
        <w:rPr>
          <w:rFonts w:ascii="Bookman Old Style" w:eastAsia="Arial Unicode MS" w:hAnsi="Bookman Old Style" w:cs="Arial Unicode MS"/>
          <w:i/>
        </w:rPr>
        <w:t>David Price,</w:t>
      </w:r>
      <w:r>
        <w:rPr>
          <w:rFonts w:ascii="Bookman Old Style" w:eastAsia="Arial Unicode MS" w:hAnsi="Bookman Old Style" w:cs="Arial Unicode MS"/>
          <w:i/>
        </w:rPr>
        <w:t xml:space="preserve"> Korieh Doudu, and Nicola Cain, </w:t>
      </w:r>
      <w:r w:rsidRPr="008F7F29">
        <w:rPr>
          <w:rFonts w:ascii="Bookman Old Style" w:eastAsia="Arial Unicode MS" w:hAnsi="Bookman Old Style" w:cs="Arial Unicode MS"/>
          <w:i/>
          <w:u w:val="single"/>
        </w:rPr>
        <w:t xml:space="preserve">Defamation Law, Procedure and Practice, </w:t>
      </w:r>
      <w:r w:rsidRPr="008F7F29">
        <w:rPr>
          <w:rFonts w:ascii="Bookman Old Style" w:eastAsia="Arial Unicode MS" w:hAnsi="Bookman Old Style" w:cs="Arial Unicode MS"/>
          <w:i/>
        </w:rPr>
        <w:t>Fourth Edition, (Thomson Reuters, Legal Limited, London</w:t>
      </w:r>
      <w:r>
        <w:rPr>
          <w:rFonts w:ascii="Bookman Old Style" w:eastAsia="Arial Unicode MS" w:hAnsi="Bookman Old Style" w:cs="Arial Unicode MS"/>
          <w:i/>
        </w:rPr>
        <w:t>,</w:t>
      </w:r>
      <w:r w:rsidRPr="008F7F29">
        <w:rPr>
          <w:rFonts w:ascii="Bookman Old Style" w:eastAsia="Arial Unicode MS" w:hAnsi="Bookman Old Style" w:cs="Arial Unicode MS"/>
          <w:i/>
        </w:rPr>
        <w:t xml:space="preserve"> 2010).</w:t>
      </w:r>
    </w:p>
    <w:p w:rsidR="005F2592" w:rsidRDefault="005F2592" w:rsidP="005F2592">
      <w:pPr>
        <w:pStyle w:val="ListParagraph"/>
        <w:numPr>
          <w:ilvl w:val="0"/>
          <w:numId w:val="11"/>
        </w:numPr>
        <w:spacing w:line="360" w:lineRule="auto"/>
        <w:rPr>
          <w:rFonts w:ascii="Bookman Old Style" w:eastAsia="Arial Unicode MS" w:hAnsi="Bookman Old Style" w:cs="Arial Unicode MS"/>
          <w:i/>
        </w:rPr>
      </w:pPr>
      <w:r w:rsidRPr="008F7F29">
        <w:rPr>
          <w:rFonts w:ascii="Bookman Old Style" w:eastAsia="Arial Unicode MS" w:hAnsi="Bookman Old Style" w:cs="Arial Unicode MS"/>
          <w:i/>
        </w:rPr>
        <w:t xml:space="preserve">David Bean, </w:t>
      </w:r>
      <w:r w:rsidRPr="008F7F29">
        <w:rPr>
          <w:rFonts w:ascii="Bookman Old Style" w:eastAsia="Arial Unicode MS" w:hAnsi="Bookman Old Style" w:cs="Arial Unicode MS"/>
          <w:i/>
          <w:u w:val="single"/>
        </w:rPr>
        <w:t>Injunctions</w:t>
      </w:r>
      <w:r>
        <w:rPr>
          <w:rFonts w:ascii="Bookman Old Style" w:eastAsia="Arial Unicode MS" w:hAnsi="Bookman Old Style" w:cs="Arial Unicode MS"/>
          <w:i/>
        </w:rPr>
        <w:t>, Tenth Edition, (Thomson Reu</w:t>
      </w:r>
      <w:r w:rsidRPr="008F7F29">
        <w:rPr>
          <w:rFonts w:ascii="Bookman Old Style" w:eastAsia="Arial Unicode MS" w:hAnsi="Bookman Old Style" w:cs="Arial Unicode MS"/>
          <w:i/>
        </w:rPr>
        <w:t>ters, Legal Limited, London, 2010).</w:t>
      </w:r>
    </w:p>
    <w:p w:rsidR="005F2592" w:rsidRDefault="005F2592" w:rsidP="005F2592">
      <w:pPr>
        <w:pStyle w:val="ListParagraph"/>
        <w:numPr>
          <w:ilvl w:val="0"/>
          <w:numId w:val="11"/>
        </w:numPr>
        <w:spacing w:after="0" w:line="360" w:lineRule="auto"/>
        <w:rPr>
          <w:rFonts w:ascii="Bookman Old Style" w:eastAsia="Arial Unicode MS" w:hAnsi="Bookman Old Style" w:cs="Arial Unicode MS"/>
          <w:i/>
        </w:rPr>
      </w:pPr>
      <w:r w:rsidRPr="008F7F29">
        <w:rPr>
          <w:rFonts w:ascii="Bookman Old Style" w:eastAsia="Arial Unicode MS" w:hAnsi="Bookman Old Style" w:cs="Arial Unicode MS"/>
          <w:i/>
        </w:rPr>
        <w:t xml:space="preserve">Geoffrey Robertson and Andrew G. L. Nicol, </w:t>
      </w:r>
      <w:r w:rsidRPr="00982660">
        <w:rPr>
          <w:rFonts w:ascii="Bookman Old Style" w:eastAsia="Arial Unicode MS" w:hAnsi="Bookman Old Style" w:cs="Arial Unicode MS"/>
          <w:i/>
          <w:u w:val="single"/>
        </w:rPr>
        <w:t>Media Law</w:t>
      </w:r>
      <w:r>
        <w:rPr>
          <w:rFonts w:ascii="Bookman Old Style" w:eastAsia="Arial Unicode MS" w:hAnsi="Bookman Old Style" w:cs="Arial Unicode MS"/>
          <w:i/>
        </w:rPr>
        <w:t>, Second Edition (revised) (Penguin Books, 1992).</w:t>
      </w:r>
    </w:p>
    <w:p w:rsidR="005F2592" w:rsidRPr="005F2592" w:rsidRDefault="005F2592" w:rsidP="005F2592">
      <w:pPr>
        <w:pStyle w:val="ListParagraph"/>
        <w:numPr>
          <w:ilvl w:val="0"/>
          <w:numId w:val="1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Lord Denning, What next in the Law, (Butterworths, 1982).</w:t>
      </w:r>
    </w:p>
    <w:p w:rsidR="005F2592" w:rsidRDefault="005F2592" w:rsidP="005F2592">
      <w:pPr>
        <w:pStyle w:val="ListParagraph"/>
        <w:numPr>
          <w:ilvl w:val="0"/>
          <w:numId w:val="11"/>
        </w:numPr>
        <w:spacing w:line="360" w:lineRule="auto"/>
        <w:rPr>
          <w:rFonts w:ascii="Bookman Old Style" w:eastAsia="Arial Unicode MS" w:hAnsi="Bookman Old Style" w:cs="Arial Unicode MS"/>
          <w:i/>
        </w:rPr>
      </w:pPr>
      <w:r>
        <w:rPr>
          <w:rFonts w:ascii="Bookman Old Style" w:eastAsia="Arial Unicode MS" w:hAnsi="Bookman Old Style" w:cs="Arial Unicode MS"/>
          <w:i/>
        </w:rPr>
        <w:lastRenderedPageBreak/>
        <w:t xml:space="preserve">Stuart Sime, </w:t>
      </w:r>
      <w:r w:rsidRPr="00F03099">
        <w:rPr>
          <w:rFonts w:ascii="Bookman Old Style" w:eastAsia="Arial Unicode MS" w:hAnsi="Bookman Old Style" w:cs="Arial Unicode MS"/>
          <w:i/>
          <w:u w:val="single"/>
        </w:rPr>
        <w:t>A Practical Approach to Civil Procedure, Eighth Edition</w:t>
      </w:r>
      <w:r>
        <w:rPr>
          <w:rFonts w:ascii="Bookman Old Style" w:eastAsia="Arial Unicode MS" w:hAnsi="Bookman Old Style" w:cs="Arial Unicode MS"/>
          <w:i/>
        </w:rPr>
        <w:t>, (Oxford University Press London, 2005).</w:t>
      </w:r>
    </w:p>
    <w:p w:rsidR="005F2592" w:rsidRPr="00BB45B6" w:rsidRDefault="005F2592" w:rsidP="00BB45B6">
      <w:pPr>
        <w:pStyle w:val="ListParagraph"/>
        <w:numPr>
          <w:ilvl w:val="0"/>
          <w:numId w:val="1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Hal</w:t>
      </w:r>
      <w:r w:rsidRPr="008F7F29">
        <w:rPr>
          <w:rFonts w:ascii="Bookman Old Style" w:eastAsia="Arial Unicode MS" w:hAnsi="Bookman Old Style" w:cs="Arial Unicode MS"/>
          <w:i/>
        </w:rPr>
        <w:t>s</w:t>
      </w:r>
      <w:r>
        <w:rPr>
          <w:rFonts w:ascii="Bookman Old Style" w:eastAsia="Arial Unicode MS" w:hAnsi="Bookman Old Style" w:cs="Arial Unicode MS"/>
          <w:i/>
        </w:rPr>
        <w:t>b</w:t>
      </w:r>
      <w:r w:rsidRPr="008F7F29">
        <w:rPr>
          <w:rFonts w:ascii="Bookman Old Style" w:eastAsia="Arial Unicode MS" w:hAnsi="Bookman Old Style" w:cs="Arial Unicode MS"/>
          <w:i/>
        </w:rPr>
        <w:t>ury Laws of England, 4</w:t>
      </w:r>
      <w:r w:rsidRPr="008F7F29">
        <w:rPr>
          <w:rFonts w:ascii="Bookman Old Style" w:eastAsia="Arial Unicode MS" w:hAnsi="Bookman Old Style" w:cs="Arial Unicode MS"/>
          <w:i/>
          <w:vertAlign w:val="superscript"/>
        </w:rPr>
        <w:t>th</w:t>
      </w:r>
      <w:r w:rsidRPr="008F7F29">
        <w:rPr>
          <w:rFonts w:ascii="Bookman Old Style" w:eastAsia="Arial Unicode MS" w:hAnsi="Bookman Old Style" w:cs="Arial Unicode MS"/>
          <w:i/>
        </w:rPr>
        <w:t xml:space="preserve"> Edition, Volumes 24, and 28</w:t>
      </w:r>
      <w:r>
        <w:rPr>
          <w:rFonts w:ascii="Bookman Old Style" w:eastAsia="Arial Unicode MS" w:hAnsi="Bookman Old Style" w:cs="Arial Unicode MS"/>
          <w:i/>
        </w:rPr>
        <w:t xml:space="preserve"> (Butterworths London, 1997)</w:t>
      </w:r>
      <w:r w:rsidRPr="008F7F29">
        <w:rPr>
          <w:rFonts w:ascii="Bookman Old Style" w:eastAsia="Arial Unicode MS" w:hAnsi="Bookman Old Style" w:cs="Arial Unicode MS"/>
          <w:i/>
        </w:rPr>
        <w:t>.</w:t>
      </w:r>
    </w:p>
    <w:p w:rsidR="00AE1459" w:rsidRDefault="00AE1459" w:rsidP="00AE1459">
      <w:pPr>
        <w:pStyle w:val="ListParagraph"/>
        <w:numPr>
          <w:ilvl w:val="0"/>
          <w:numId w:val="11"/>
        </w:numPr>
        <w:spacing w:after="0" w:line="360" w:lineRule="auto"/>
        <w:rPr>
          <w:rFonts w:ascii="Bookman Old Style" w:eastAsia="Arial Unicode MS" w:hAnsi="Bookman Old Style" w:cs="Arial Unicode MS"/>
          <w:i/>
        </w:rPr>
      </w:pPr>
      <w:r w:rsidRPr="008F7F29">
        <w:rPr>
          <w:rFonts w:ascii="Bookman Old Style" w:eastAsia="Arial Unicode MS" w:hAnsi="Bookman Old Style" w:cs="Arial Unicode MS"/>
          <w:i/>
        </w:rPr>
        <w:t xml:space="preserve">Peter F. Carter Ruck, </w:t>
      </w:r>
      <w:r w:rsidRPr="008F7F29">
        <w:rPr>
          <w:rFonts w:ascii="Bookman Old Style" w:eastAsia="Arial Unicode MS" w:hAnsi="Bookman Old Style" w:cs="Arial Unicode MS"/>
          <w:i/>
          <w:u w:val="single"/>
        </w:rPr>
        <w:t>Curter Ruck on Libel and Slander</w:t>
      </w:r>
      <w:r w:rsidRPr="008F7F29">
        <w:rPr>
          <w:rFonts w:ascii="Bookman Old Style" w:eastAsia="Arial Unicode MS" w:hAnsi="Bookman Old Style" w:cs="Arial Unicode MS"/>
          <w:i/>
        </w:rPr>
        <w:t xml:space="preserve"> 5</w:t>
      </w:r>
      <w:r w:rsidRPr="008F7F29">
        <w:rPr>
          <w:rFonts w:ascii="Bookman Old Style" w:eastAsia="Arial Unicode MS" w:hAnsi="Bookman Old Style" w:cs="Arial Unicode MS"/>
          <w:i/>
          <w:vertAlign w:val="superscript"/>
        </w:rPr>
        <w:t>th</w:t>
      </w:r>
      <w:r>
        <w:rPr>
          <w:rFonts w:ascii="Bookman Old Style" w:eastAsia="Arial Unicode MS" w:hAnsi="Bookman Old Style" w:cs="Arial Unicode MS"/>
          <w:i/>
        </w:rPr>
        <w:t xml:space="preserve">, </w:t>
      </w:r>
      <w:r w:rsidRPr="008F7F29">
        <w:rPr>
          <w:rFonts w:ascii="Bookman Old Style" w:eastAsia="Arial Unicode MS" w:hAnsi="Bookman Old Style" w:cs="Arial Unicode MS"/>
          <w:i/>
        </w:rPr>
        <w:t>Edition, (Butterworths London</w:t>
      </w:r>
      <w:r>
        <w:rPr>
          <w:rFonts w:ascii="Bookman Old Style" w:eastAsia="Arial Unicode MS" w:hAnsi="Bookman Old Style" w:cs="Arial Unicode MS"/>
          <w:i/>
        </w:rPr>
        <w:t>,</w:t>
      </w:r>
      <w:r w:rsidRPr="008F7F29">
        <w:rPr>
          <w:rFonts w:ascii="Bookman Old Style" w:eastAsia="Arial Unicode MS" w:hAnsi="Bookman Old Style" w:cs="Arial Unicode MS"/>
          <w:i/>
        </w:rPr>
        <w:t xml:space="preserve"> 1997). </w:t>
      </w:r>
    </w:p>
    <w:p w:rsidR="00AE1459" w:rsidRDefault="00AE1459" w:rsidP="00AE1459">
      <w:pPr>
        <w:pStyle w:val="ListParagraph"/>
        <w:numPr>
          <w:ilvl w:val="0"/>
          <w:numId w:val="11"/>
        </w:numPr>
        <w:spacing w:after="0" w:line="360" w:lineRule="auto"/>
        <w:rPr>
          <w:rFonts w:ascii="Bookman Old Style" w:eastAsia="Arial Unicode MS" w:hAnsi="Bookman Old Style" w:cs="Arial Unicode MS"/>
          <w:i/>
        </w:rPr>
      </w:pPr>
      <w:r w:rsidRPr="008F7F29">
        <w:rPr>
          <w:rFonts w:ascii="Bookman Old Style" w:eastAsia="Arial Unicode MS" w:hAnsi="Bookman Old Style" w:cs="Arial Unicode MS"/>
          <w:i/>
        </w:rPr>
        <w:t xml:space="preserve">Sir Hugh Fraser, </w:t>
      </w:r>
      <w:r w:rsidRPr="008F7F29">
        <w:rPr>
          <w:rFonts w:ascii="Bookman Old Style" w:eastAsia="Arial Unicode MS" w:hAnsi="Bookman Old Style" w:cs="Arial Unicode MS"/>
          <w:i/>
          <w:u w:val="single"/>
        </w:rPr>
        <w:t>Principles, and Practice on the Laws of Libel Slander</w:t>
      </w:r>
      <w:r w:rsidRPr="008F7F29">
        <w:rPr>
          <w:rFonts w:ascii="Bookman Old Style" w:eastAsia="Arial Unicode MS" w:hAnsi="Bookman Old Style" w:cs="Arial Unicode MS"/>
          <w:i/>
        </w:rPr>
        <w:t xml:space="preserve">, </w:t>
      </w:r>
      <w:r>
        <w:rPr>
          <w:rFonts w:ascii="Bookman Old Style" w:eastAsia="Arial Unicode MS" w:hAnsi="Bookman Old Style" w:cs="Arial Unicode MS"/>
          <w:i/>
        </w:rPr>
        <w:t>(</w:t>
      </w:r>
      <w:r w:rsidRPr="008F7F29">
        <w:rPr>
          <w:rFonts w:ascii="Bookman Old Style" w:eastAsia="Arial Unicode MS" w:hAnsi="Bookman Old Style" w:cs="Arial Unicode MS"/>
          <w:i/>
        </w:rPr>
        <w:t>Sixth Edition</w:t>
      </w:r>
      <w:r>
        <w:rPr>
          <w:rFonts w:ascii="Bookman Old Style" w:eastAsia="Arial Unicode MS" w:hAnsi="Bookman Old Style" w:cs="Arial Unicode MS"/>
          <w:i/>
        </w:rPr>
        <w:t>)</w:t>
      </w:r>
      <w:r w:rsidRPr="008F7F29">
        <w:rPr>
          <w:rFonts w:ascii="Bookman Old Style" w:eastAsia="Arial Unicode MS" w:hAnsi="Bookman Old Style" w:cs="Arial Unicode MS"/>
          <w:i/>
        </w:rPr>
        <w:t xml:space="preserve">, </w:t>
      </w:r>
      <w:r>
        <w:rPr>
          <w:rFonts w:ascii="Bookman Old Style" w:eastAsia="Arial Unicode MS" w:hAnsi="Bookman Old Style" w:cs="Arial Unicode MS"/>
          <w:i/>
        </w:rPr>
        <w:t>(</w:t>
      </w:r>
      <w:r w:rsidRPr="008F7F29">
        <w:rPr>
          <w:rFonts w:ascii="Bookman Old Style" w:eastAsia="Arial Unicode MS" w:hAnsi="Bookman Old Style" w:cs="Arial Unicode MS"/>
          <w:i/>
        </w:rPr>
        <w:t>Butterworth, and Company, London 1925)</w:t>
      </w:r>
      <w:r>
        <w:rPr>
          <w:rFonts w:ascii="Bookman Old Style" w:eastAsia="Arial Unicode MS" w:hAnsi="Bookman Old Style" w:cs="Arial Unicode MS"/>
          <w:i/>
        </w:rPr>
        <w:t>.</w:t>
      </w:r>
    </w:p>
    <w:p w:rsidR="00AE1459" w:rsidRPr="009B241F" w:rsidRDefault="00AE1459" w:rsidP="009B241F">
      <w:pPr>
        <w:pStyle w:val="ListParagraph"/>
        <w:numPr>
          <w:ilvl w:val="0"/>
          <w:numId w:val="11"/>
        </w:numPr>
        <w:spacing w:after="0" w:line="360" w:lineRule="auto"/>
        <w:rPr>
          <w:rFonts w:ascii="Bookman Old Style" w:eastAsia="Arial Unicode MS" w:hAnsi="Bookman Old Style" w:cs="Arial Unicode MS"/>
          <w:i/>
        </w:rPr>
      </w:pPr>
      <w:r>
        <w:rPr>
          <w:rFonts w:ascii="Bookman Old Style" w:eastAsia="Arial Unicode MS" w:hAnsi="Bookman Old Style" w:cs="Arial Unicode MS"/>
          <w:i/>
        </w:rPr>
        <w:t xml:space="preserve">Maurice, Waite, </w:t>
      </w:r>
      <w:r w:rsidRPr="00AE1459">
        <w:rPr>
          <w:rFonts w:ascii="Bookman Old Style" w:eastAsia="Arial Unicode MS" w:hAnsi="Bookman Old Style" w:cs="Arial Unicode MS"/>
          <w:i/>
          <w:u w:val="single"/>
        </w:rPr>
        <w:t>Oxford Paterback Thesaurus,</w:t>
      </w:r>
      <w:r>
        <w:rPr>
          <w:rFonts w:ascii="Bookman Old Style" w:eastAsia="Arial Unicode MS" w:hAnsi="Bookman Old Style" w:cs="Arial Unicode MS"/>
          <w:i/>
        </w:rPr>
        <w:t xml:space="preserve"> (London, Oxford University Press, 2006).</w:t>
      </w:r>
    </w:p>
    <w:p w:rsidR="00153D09" w:rsidRPr="008F7F29" w:rsidRDefault="00153D09" w:rsidP="00153D09">
      <w:pPr>
        <w:spacing w:after="0" w:line="360" w:lineRule="auto"/>
        <w:rPr>
          <w:rFonts w:ascii="Bookman Old Style" w:eastAsia="Arial Unicode MS" w:hAnsi="Bookman Old Style" w:cs="Arial Unicode MS"/>
          <w:i/>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The plaintiff on 26</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November, 2010, took out of the principal registry a writ of summons, claiming for the following:</w:t>
      </w:r>
    </w:p>
    <w:p w:rsidR="00153D09" w:rsidRPr="008F7F29" w:rsidRDefault="00153D09" w:rsidP="00153D09">
      <w:pPr>
        <w:pStyle w:val="ListParagraph"/>
        <w:numPr>
          <w:ilvl w:val="0"/>
          <w:numId w:val="3"/>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General and exemplary damages for defamation of character in the broadcast by the defendants of </w:t>
      </w:r>
      <w:r w:rsidR="001626BE">
        <w:rPr>
          <w:rFonts w:ascii="Bookman Old Style" w:eastAsia="Arial Unicode MS" w:hAnsi="Bookman Old Style" w:cs="Arial Unicode MS"/>
          <w:sz w:val="24"/>
          <w:szCs w:val="24"/>
        </w:rPr>
        <w:t xml:space="preserve">the </w:t>
      </w:r>
      <w:r w:rsidRPr="008F7F29">
        <w:rPr>
          <w:rFonts w:ascii="Bookman Old Style" w:eastAsia="Arial Unicode MS" w:hAnsi="Bookman Old Style" w:cs="Arial Unicode MS"/>
          <w:sz w:val="24"/>
          <w:szCs w:val="24"/>
        </w:rPr>
        <w:t>television programme entitled</w:t>
      </w:r>
      <w:r w:rsidR="001626BE">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w:t>
      </w:r>
      <w:r w:rsidRPr="008F7F29">
        <w:rPr>
          <w:rFonts w:ascii="Bookman Old Style" w:eastAsia="Arial Unicode MS" w:hAnsi="Bookman Old Style" w:cs="Arial Unicode MS"/>
          <w:i/>
          <w:sz w:val="24"/>
          <w:szCs w:val="24"/>
        </w:rPr>
        <w:t>Stand up for Zambia</w:t>
      </w:r>
      <w:r w:rsidR="001626BE">
        <w:rPr>
          <w:rFonts w:ascii="Bookman Old Style" w:eastAsia="Arial Unicode MS" w:hAnsi="Bookman Old Style" w:cs="Arial Unicode MS"/>
          <w:i/>
          <w:sz w:val="24"/>
          <w:szCs w:val="24"/>
        </w:rPr>
        <w:t>;</w:t>
      </w:r>
      <w:r w:rsidRPr="008F7F29">
        <w:rPr>
          <w:rFonts w:ascii="Bookman Old Style" w:eastAsia="Arial Unicode MS" w:hAnsi="Bookman Old Style" w:cs="Arial Unicode MS"/>
          <w:sz w:val="24"/>
          <w:szCs w:val="24"/>
        </w:rPr>
        <w:t xml:space="preserve">” “the </w:t>
      </w:r>
      <w:r w:rsidR="001626BE">
        <w:rPr>
          <w:rFonts w:ascii="Bookman Old Style" w:eastAsia="Arial Unicode MS" w:hAnsi="Bookman Old Style" w:cs="Arial Unicode MS"/>
          <w:i/>
          <w:sz w:val="24"/>
          <w:szCs w:val="24"/>
        </w:rPr>
        <w:t>Veno</w:t>
      </w:r>
      <w:r w:rsidRPr="008F7F29">
        <w:rPr>
          <w:rFonts w:ascii="Bookman Old Style" w:eastAsia="Arial Unicode MS" w:hAnsi="Bookman Old Style" w:cs="Arial Unicode MS"/>
          <w:i/>
          <w:sz w:val="24"/>
          <w:szCs w:val="24"/>
        </w:rPr>
        <w:t>m of the Cobra</w:t>
      </w:r>
      <w:r w:rsidR="001626BE">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and “</w:t>
      </w:r>
      <w:r w:rsidR="001626BE">
        <w:rPr>
          <w:rFonts w:ascii="Bookman Old Style" w:eastAsia="Arial Unicode MS" w:hAnsi="Bookman Old Style" w:cs="Arial Unicode MS"/>
          <w:i/>
          <w:sz w:val="24"/>
          <w:szCs w:val="24"/>
        </w:rPr>
        <w:t>Stand up for</w:t>
      </w:r>
      <w:r w:rsidRPr="008F7F29">
        <w:rPr>
          <w:rFonts w:ascii="Bookman Old Style" w:eastAsia="Arial Unicode MS" w:hAnsi="Bookman Old Style" w:cs="Arial Unicode MS"/>
          <w:i/>
          <w:sz w:val="24"/>
          <w:szCs w:val="24"/>
        </w:rPr>
        <w:t xml:space="preserve"> Zambia</w:t>
      </w:r>
      <w:r w:rsidRPr="008F7F29">
        <w:rPr>
          <w:rFonts w:ascii="Bookman Old Style" w:eastAsia="Arial Unicode MS" w:hAnsi="Bookman Old Style" w:cs="Arial Unicode MS"/>
          <w:sz w:val="24"/>
          <w:szCs w:val="24"/>
        </w:rPr>
        <w:t xml:space="preserve"> the </w:t>
      </w:r>
      <w:r w:rsidR="001626BE">
        <w:rPr>
          <w:rFonts w:ascii="Bookman Old Style" w:eastAsia="Arial Unicode MS" w:hAnsi="Bookman Old Style" w:cs="Arial Unicode MS"/>
          <w:i/>
          <w:sz w:val="24"/>
          <w:szCs w:val="24"/>
        </w:rPr>
        <w:t>“Unholy A</w:t>
      </w:r>
      <w:r w:rsidRPr="008F7F29">
        <w:rPr>
          <w:rFonts w:ascii="Bookman Old Style" w:eastAsia="Arial Unicode MS" w:hAnsi="Bookman Old Style" w:cs="Arial Unicode MS"/>
          <w:i/>
          <w:sz w:val="24"/>
          <w:szCs w:val="24"/>
        </w:rPr>
        <w:t>lliance</w:t>
      </w:r>
      <w:r w:rsidRPr="008F7F29">
        <w:rPr>
          <w:rFonts w:ascii="Bookman Old Style" w:eastAsia="Arial Unicode MS" w:hAnsi="Bookman Old Style" w:cs="Arial Unicode MS"/>
          <w:sz w:val="24"/>
          <w:szCs w:val="24"/>
        </w:rPr>
        <w:t>”;</w:t>
      </w:r>
    </w:p>
    <w:p w:rsidR="00153D09" w:rsidRPr="008F7F29" w:rsidRDefault="00153D09" w:rsidP="00153D09">
      <w:pPr>
        <w:pStyle w:val="ListParagraph"/>
        <w:numPr>
          <w:ilvl w:val="0"/>
          <w:numId w:val="3"/>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An injunction to restrain the defendants each of them whether by themselves their servants or agents or otherwise, from further publishing or broadcasting or causing to be published or broadcast, the said words and images defamatory of the plaintiff;   </w:t>
      </w:r>
    </w:p>
    <w:p w:rsidR="00153D09" w:rsidRPr="008F7F29" w:rsidRDefault="00153D09" w:rsidP="00153D09">
      <w:pPr>
        <w:pStyle w:val="ListParagraph"/>
        <w:numPr>
          <w:ilvl w:val="0"/>
          <w:numId w:val="3"/>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An injunction restraining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either by himself, his agents, servants or by whomsoever from producing, distributing or selling CD’s DVD’s or any other form of transmission of the said defamatory programme;</w:t>
      </w:r>
    </w:p>
    <w:p w:rsidR="00153D09" w:rsidRPr="008F7F29" w:rsidRDefault="00153D09" w:rsidP="00153D09">
      <w:pPr>
        <w:pStyle w:val="ListParagraph"/>
        <w:numPr>
          <w:ilvl w:val="0"/>
          <w:numId w:val="3"/>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Any other relief the Court may deem fit; and</w:t>
      </w:r>
    </w:p>
    <w:p w:rsidR="00153D09" w:rsidRDefault="00153D09" w:rsidP="00153D09">
      <w:pPr>
        <w:pStyle w:val="ListParagraph"/>
        <w:numPr>
          <w:ilvl w:val="0"/>
          <w:numId w:val="3"/>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Costs. </w:t>
      </w:r>
    </w:p>
    <w:p w:rsidR="00153D09" w:rsidRPr="008F7F29" w:rsidRDefault="00153D09" w:rsidP="00153D09">
      <w:pPr>
        <w:pStyle w:val="ListParagraph"/>
        <w:spacing w:after="0" w:line="360" w:lineRule="auto"/>
        <w:ind w:left="1080"/>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The writ of summons is supported by a statement of claim. In the statement of claim it is averred that: the plaintiff is a politician</w:t>
      </w:r>
      <w:r w:rsidR="001626BE">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and the president of Zambia’s leading opposition political party known as the Patriotic Front.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A72638"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is a journalist and producer of a series of television programmes entitled “</w:t>
      </w:r>
      <w:r w:rsidRPr="008F7F29">
        <w:rPr>
          <w:rFonts w:ascii="Bookman Old Style" w:eastAsia="Arial Unicode MS" w:hAnsi="Bookman Old Style" w:cs="Arial Unicode MS"/>
          <w:i/>
          <w:sz w:val="24"/>
          <w:szCs w:val="24"/>
        </w:rPr>
        <w:t>Stand up for Zambia</w:t>
      </w:r>
      <w:r w:rsidRPr="008F7F29">
        <w:rPr>
          <w:rFonts w:ascii="Bookman Old Style" w:eastAsia="Arial Unicode MS" w:hAnsi="Bookman Old Style" w:cs="Arial Unicode MS"/>
          <w:sz w:val="24"/>
          <w:szCs w:val="24"/>
        </w:rPr>
        <w:t xml:space="preserve">,” </w:t>
      </w:r>
      <w:r w:rsidR="004E77B9">
        <w:rPr>
          <w:rFonts w:ascii="Bookman Old Style" w:eastAsia="Arial Unicode MS" w:hAnsi="Bookman Old Style" w:cs="Arial Unicode MS"/>
          <w:i/>
          <w:sz w:val="24"/>
          <w:szCs w:val="24"/>
        </w:rPr>
        <w:t>“the Venom of the C</w:t>
      </w:r>
      <w:r w:rsidRPr="008F7F29">
        <w:rPr>
          <w:rFonts w:ascii="Bookman Old Style" w:eastAsia="Arial Unicode MS" w:hAnsi="Bookman Old Style" w:cs="Arial Unicode MS"/>
          <w:i/>
          <w:sz w:val="24"/>
          <w:szCs w:val="24"/>
        </w:rPr>
        <w:t>obra</w:t>
      </w:r>
      <w:r w:rsidRPr="008F7F29">
        <w:rPr>
          <w:rFonts w:ascii="Bookman Old Style" w:eastAsia="Arial Unicode MS" w:hAnsi="Bookman Old Style" w:cs="Arial Unicode MS"/>
          <w:sz w:val="24"/>
          <w:szCs w:val="24"/>
        </w:rPr>
        <w:t>,” and “</w:t>
      </w:r>
      <w:r w:rsidRPr="008F7F29">
        <w:rPr>
          <w:rFonts w:ascii="Bookman Old Style" w:eastAsia="Arial Unicode MS" w:hAnsi="Bookman Old Style" w:cs="Arial Unicode MS"/>
          <w:i/>
          <w:sz w:val="24"/>
          <w:szCs w:val="24"/>
        </w:rPr>
        <w:t>Stand up for Zambia</w:t>
      </w:r>
      <w:r w:rsidRPr="008F7F29">
        <w:rPr>
          <w:rFonts w:ascii="Bookman Old Style" w:eastAsia="Arial Unicode MS" w:hAnsi="Bookman Old Style" w:cs="Arial Unicode MS"/>
          <w:sz w:val="24"/>
          <w:szCs w:val="24"/>
        </w:rPr>
        <w:t>,</w:t>
      </w:r>
      <w:r w:rsidR="004E77B9">
        <w:rPr>
          <w:rFonts w:ascii="Bookman Old Style" w:eastAsia="Arial Unicode MS" w:hAnsi="Bookman Old Style" w:cs="Arial Unicode MS"/>
          <w:sz w:val="24"/>
          <w:szCs w:val="24"/>
        </w:rPr>
        <w:t xml:space="preserve"> </w:t>
      </w:r>
      <w:r w:rsidRPr="008F7F29">
        <w:rPr>
          <w:rFonts w:ascii="Bookman Old Style" w:eastAsia="Arial Unicode MS" w:hAnsi="Bookman Old Style" w:cs="Arial Unicode MS"/>
          <w:i/>
          <w:sz w:val="24"/>
          <w:szCs w:val="24"/>
        </w:rPr>
        <w:t>the Unholy Alliance</w:t>
      </w:r>
      <w:r w:rsidRPr="008F7F29">
        <w:rPr>
          <w:rFonts w:ascii="Bookman Old Style" w:eastAsia="Arial Unicode MS" w:hAnsi="Bookman Old Style" w:cs="Arial Unicode MS"/>
          <w:sz w:val="24"/>
          <w:szCs w:val="24"/>
        </w:rPr>
        <w:t>.”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has further </w:t>
      </w:r>
      <w:r w:rsidR="00AD43C9">
        <w:rPr>
          <w:rFonts w:ascii="Bookman Old Style" w:eastAsia="Arial Unicode MS" w:hAnsi="Bookman Old Style" w:cs="Arial Unicode MS"/>
          <w:sz w:val="24"/>
          <w:szCs w:val="24"/>
        </w:rPr>
        <w:t xml:space="preserve">produced </w:t>
      </w:r>
      <w:r w:rsidRPr="008F7F29">
        <w:rPr>
          <w:rFonts w:ascii="Bookman Old Style" w:eastAsia="Arial Unicode MS" w:hAnsi="Bookman Old Style" w:cs="Arial Unicode MS"/>
          <w:sz w:val="24"/>
          <w:szCs w:val="24"/>
        </w:rPr>
        <w:t xml:space="preserve">for </w:t>
      </w:r>
      <w:r w:rsidR="00AD43C9">
        <w:rPr>
          <w:rFonts w:ascii="Bookman Old Style" w:eastAsia="Arial Unicode MS" w:hAnsi="Bookman Old Style" w:cs="Arial Unicode MS"/>
          <w:sz w:val="24"/>
          <w:szCs w:val="24"/>
        </w:rPr>
        <w:t xml:space="preserve">commercial purposes </w:t>
      </w:r>
      <w:r w:rsidRPr="008F7F29">
        <w:rPr>
          <w:rFonts w:ascii="Bookman Old Style" w:eastAsia="Arial Unicode MS" w:hAnsi="Bookman Old Style" w:cs="Arial Unicode MS"/>
          <w:sz w:val="24"/>
          <w:szCs w:val="24"/>
        </w:rPr>
        <w:t>CD</w:t>
      </w:r>
      <w:r w:rsidR="00AD43C9">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s and DVDs of the programmes referred to above.</w:t>
      </w:r>
      <w:r w:rsidR="00AD43C9">
        <w:rPr>
          <w:rFonts w:ascii="Bookman Old Style" w:eastAsia="Arial Unicode MS" w:hAnsi="Bookman Old Style" w:cs="Arial Unicode MS"/>
          <w:sz w:val="24"/>
          <w:szCs w:val="24"/>
        </w:rPr>
        <w:t xml:space="preserve"> </w:t>
      </w:r>
    </w:p>
    <w:p w:rsidR="00A72638" w:rsidRDefault="00A72638" w:rsidP="00153D09">
      <w:pPr>
        <w:spacing w:after="0" w:line="360" w:lineRule="auto"/>
        <w:jc w:val="both"/>
        <w:rPr>
          <w:rFonts w:ascii="Bookman Old Style" w:eastAsia="Arial Unicode MS" w:hAnsi="Bookman Old Style" w:cs="Arial Unicode MS"/>
          <w:sz w:val="24"/>
          <w:szCs w:val="24"/>
        </w:rPr>
      </w:pPr>
    </w:p>
    <w:p w:rsidR="00A72638"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The 2</w:t>
      </w:r>
      <w:r w:rsidRPr="008F7F29">
        <w:rPr>
          <w:rFonts w:ascii="Bookman Old Style" w:eastAsia="Arial Unicode MS" w:hAnsi="Bookman Old Style" w:cs="Arial Unicode MS"/>
          <w:sz w:val="24"/>
          <w:szCs w:val="24"/>
          <w:vertAlign w:val="superscript"/>
        </w:rPr>
        <w:t>nd</w:t>
      </w:r>
      <w:r w:rsidRPr="008F7F29">
        <w:rPr>
          <w:rFonts w:ascii="Bookman Old Style" w:eastAsia="Arial Unicode MS" w:hAnsi="Bookman Old Style" w:cs="Arial Unicode MS"/>
          <w:sz w:val="24"/>
          <w:szCs w:val="24"/>
        </w:rPr>
        <w:t xml:space="preserve"> defendant is the national radio and televi</w:t>
      </w:r>
      <w:r w:rsidR="00AD43C9">
        <w:rPr>
          <w:rFonts w:ascii="Bookman Old Style" w:eastAsia="Arial Unicode MS" w:hAnsi="Bookman Old Style" w:cs="Arial Unicode MS"/>
          <w:sz w:val="24"/>
          <w:szCs w:val="24"/>
        </w:rPr>
        <w:t>sion broadcaster incorporated under</w:t>
      </w:r>
      <w:r w:rsidRPr="008F7F29">
        <w:rPr>
          <w:rFonts w:ascii="Bookman Old Style" w:eastAsia="Arial Unicode MS" w:hAnsi="Bookman Old Style" w:cs="Arial Unicode MS"/>
          <w:sz w:val="24"/>
          <w:szCs w:val="24"/>
        </w:rPr>
        <w:t xml:space="preserve"> the Zambia National Broadcasting Corporation Act.</w:t>
      </w:r>
      <w:r w:rsidR="00AD43C9">
        <w:rPr>
          <w:rFonts w:ascii="Bookman Old Style" w:eastAsia="Arial Unicode MS" w:hAnsi="Bookman Old Style" w:cs="Arial Unicode MS"/>
          <w:sz w:val="24"/>
          <w:szCs w:val="24"/>
        </w:rPr>
        <w:t xml:space="preserve"> </w:t>
      </w:r>
    </w:p>
    <w:p w:rsidR="00A72638" w:rsidRDefault="00A72638" w:rsidP="00153D09">
      <w:pPr>
        <w:spacing w:after="0" w:line="360" w:lineRule="auto"/>
        <w:jc w:val="both"/>
        <w:rPr>
          <w:rFonts w:ascii="Bookman Old Style" w:eastAsia="Arial Unicode MS" w:hAnsi="Bookman Old Style" w:cs="Arial Unicode MS"/>
          <w:sz w:val="24"/>
          <w:szCs w:val="24"/>
        </w:rPr>
      </w:pPr>
    </w:p>
    <w:p w:rsidR="00153D0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w:t>
      </w:r>
      <w:r w:rsidR="00AD43C9">
        <w:rPr>
          <w:rFonts w:ascii="Bookman Old Style" w:eastAsia="Arial Unicode MS" w:hAnsi="Bookman Old Style" w:cs="Arial Unicode MS"/>
          <w:sz w:val="24"/>
          <w:szCs w:val="24"/>
        </w:rPr>
        <w:t>and 4</w:t>
      </w:r>
      <w:r w:rsidR="00AD43C9" w:rsidRPr="00AD43C9">
        <w:rPr>
          <w:rFonts w:ascii="Bookman Old Style" w:eastAsia="Arial Unicode MS" w:hAnsi="Bookman Old Style" w:cs="Arial Unicode MS"/>
          <w:sz w:val="24"/>
          <w:szCs w:val="24"/>
          <w:vertAlign w:val="superscript"/>
        </w:rPr>
        <w:t>th</w:t>
      </w:r>
      <w:r w:rsidR="00AD43C9">
        <w:rPr>
          <w:rFonts w:ascii="Bookman Old Style" w:eastAsia="Arial Unicode MS" w:hAnsi="Bookman Old Style" w:cs="Arial Unicode MS"/>
          <w:sz w:val="24"/>
          <w:szCs w:val="24"/>
        </w:rPr>
        <w:t xml:space="preserve"> </w:t>
      </w:r>
      <w:r w:rsidRPr="008F7F29">
        <w:rPr>
          <w:rFonts w:ascii="Bookman Old Style" w:eastAsia="Arial Unicode MS" w:hAnsi="Bookman Old Style" w:cs="Arial Unicode MS"/>
          <w:sz w:val="24"/>
          <w:szCs w:val="24"/>
        </w:rPr>
        <w:t>defendant</w:t>
      </w:r>
      <w:r w:rsidR="00A72638">
        <w:rPr>
          <w:rFonts w:ascii="Bookman Old Style" w:eastAsia="Arial Unicode MS" w:hAnsi="Bookman Old Style" w:cs="Arial Unicode MS"/>
          <w:sz w:val="24"/>
          <w:szCs w:val="24"/>
        </w:rPr>
        <w:t xml:space="preserve">s are private limited, companies which trade as </w:t>
      </w:r>
      <w:r w:rsidR="00A72638" w:rsidRPr="00752168">
        <w:rPr>
          <w:rFonts w:ascii="Bookman Old Style" w:eastAsia="Arial Unicode MS" w:hAnsi="Bookman Old Style" w:cs="Arial Unicode MS"/>
          <w:i/>
          <w:sz w:val="24"/>
          <w:szCs w:val="24"/>
        </w:rPr>
        <w:t>“Muvi TV</w:t>
      </w:r>
      <w:r w:rsidR="00AD43C9" w:rsidRPr="00752168">
        <w:rPr>
          <w:rFonts w:ascii="Bookman Old Style" w:eastAsia="Arial Unicode MS" w:hAnsi="Bookman Old Style" w:cs="Arial Unicode MS"/>
          <w:i/>
          <w:sz w:val="24"/>
          <w:szCs w:val="24"/>
        </w:rPr>
        <w:t>”</w:t>
      </w:r>
      <w:r w:rsidR="00A72638">
        <w:rPr>
          <w:rFonts w:ascii="Bookman Old Style" w:eastAsia="Arial Unicode MS" w:hAnsi="Bookman Old Style" w:cs="Arial Unicode MS"/>
          <w:sz w:val="24"/>
          <w:szCs w:val="24"/>
        </w:rPr>
        <w:t xml:space="preserve"> and </w:t>
      </w:r>
      <w:r w:rsidR="00A72638" w:rsidRPr="00752168">
        <w:rPr>
          <w:rFonts w:ascii="Bookman Old Style" w:eastAsia="Arial Unicode MS" w:hAnsi="Bookman Old Style" w:cs="Arial Unicode MS"/>
          <w:i/>
          <w:sz w:val="24"/>
          <w:szCs w:val="24"/>
        </w:rPr>
        <w:t>“Mobi TV”</w:t>
      </w:r>
      <w:r w:rsidR="00A72638">
        <w:rPr>
          <w:rFonts w:ascii="Bookman Old Style" w:eastAsia="Arial Unicode MS" w:hAnsi="Bookman Old Style" w:cs="Arial Unicode MS"/>
          <w:sz w:val="24"/>
          <w:szCs w:val="24"/>
        </w:rPr>
        <w:t xml:space="preserve"> respectively. Both</w:t>
      </w:r>
      <w:r w:rsidR="00AD43C9">
        <w:rPr>
          <w:rFonts w:ascii="Bookman Old Style" w:eastAsia="Arial Unicode MS" w:hAnsi="Bookman Old Style" w:cs="Arial Unicode MS"/>
          <w:sz w:val="24"/>
          <w:szCs w:val="24"/>
        </w:rPr>
        <w:t xml:space="preserve"> carry on telecommunication business in Zambia by way of television broadcasts.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A72638" w:rsidRDefault="00153D09" w:rsidP="00A72638">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The plaintiff avers </w:t>
      </w:r>
      <w:r w:rsidR="00AD43C9">
        <w:rPr>
          <w:rFonts w:ascii="Bookman Old Style" w:eastAsia="Arial Unicode MS" w:hAnsi="Bookman Old Style" w:cs="Arial Unicode MS"/>
          <w:sz w:val="24"/>
          <w:szCs w:val="24"/>
        </w:rPr>
        <w:t xml:space="preserve">in the main </w:t>
      </w:r>
      <w:r w:rsidRPr="008F7F29">
        <w:rPr>
          <w:rFonts w:ascii="Bookman Old Style" w:eastAsia="Arial Unicode MS" w:hAnsi="Bookman Old Style" w:cs="Arial Unicode MS"/>
          <w:sz w:val="24"/>
          <w:szCs w:val="24"/>
        </w:rPr>
        <w:t>that the defendant</w:t>
      </w:r>
      <w:r w:rsidR="00AD43C9">
        <w:rPr>
          <w:rFonts w:ascii="Bookman Old Style" w:eastAsia="Arial Unicode MS" w:hAnsi="Bookman Old Style" w:cs="Arial Unicode MS"/>
          <w:sz w:val="24"/>
          <w:szCs w:val="24"/>
        </w:rPr>
        <w:t>s have collectively</w:t>
      </w:r>
      <w:r w:rsidRPr="008F7F29">
        <w:rPr>
          <w:rFonts w:ascii="Bookman Old Style" w:eastAsia="Arial Unicode MS" w:hAnsi="Bookman Old Style" w:cs="Arial Unicode MS"/>
          <w:sz w:val="24"/>
          <w:szCs w:val="24"/>
        </w:rPr>
        <w:t xml:space="preserve"> caus</w:t>
      </w:r>
      <w:r w:rsidR="00AD43C9">
        <w:rPr>
          <w:rFonts w:ascii="Bookman Old Style" w:eastAsia="Arial Unicode MS" w:hAnsi="Bookman Old Style" w:cs="Arial Unicode MS"/>
          <w:sz w:val="24"/>
          <w:szCs w:val="24"/>
        </w:rPr>
        <w:t>ed to be broadcast</w:t>
      </w:r>
      <w:r w:rsidRPr="008F7F29">
        <w:rPr>
          <w:rFonts w:ascii="Bookman Old Style" w:eastAsia="Arial Unicode MS" w:hAnsi="Bookman Old Style" w:cs="Arial Unicode MS"/>
          <w:sz w:val="24"/>
          <w:szCs w:val="24"/>
        </w:rPr>
        <w:t xml:space="preserve"> and published weekly series of programmes complained of. The plaintiff contends that programmes complained of include words and images which are defamatory of the plaintiff.</w:t>
      </w:r>
      <w:r w:rsidR="00A72638">
        <w:rPr>
          <w:rFonts w:ascii="Bookman Old Style" w:eastAsia="Arial Unicode MS" w:hAnsi="Bookman Old Style" w:cs="Arial Unicode MS"/>
          <w:sz w:val="24"/>
          <w:szCs w:val="24"/>
        </w:rPr>
        <w:t xml:space="preserve"> </w:t>
      </w:r>
      <w:r w:rsidRPr="008F7F29">
        <w:rPr>
          <w:rFonts w:ascii="Bookman Old Style" w:eastAsia="Arial Unicode MS" w:hAnsi="Bookman Old Style" w:cs="Arial Unicode MS"/>
          <w:sz w:val="24"/>
          <w:szCs w:val="24"/>
        </w:rPr>
        <w:t>The words and images complained of having been particularised as follows:</w:t>
      </w:r>
    </w:p>
    <w:p w:rsidR="00A72638" w:rsidRDefault="00A72638" w:rsidP="00A72638">
      <w:pPr>
        <w:spacing w:after="0" w:line="360" w:lineRule="auto"/>
        <w:jc w:val="both"/>
        <w:rPr>
          <w:rFonts w:ascii="Bookman Old Style" w:eastAsia="Arial Unicode MS" w:hAnsi="Bookman Old Style" w:cs="Arial Unicode MS"/>
          <w:sz w:val="24"/>
          <w:szCs w:val="24"/>
        </w:rPr>
      </w:pPr>
    </w:p>
    <w:p w:rsidR="00A72638" w:rsidRPr="00A72638" w:rsidRDefault="00A72638" w:rsidP="00A72638">
      <w:pPr>
        <w:pStyle w:val="ListParagraph"/>
        <w:numPr>
          <w:ilvl w:val="0"/>
          <w:numId w:val="22"/>
        </w:numPr>
        <w:spacing w:after="0" w:line="360" w:lineRule="auto"/>
        <w:jc w:val="both"/>
        <w:rPr>
          <w:rFonts w:ascii="Bookman Old Style" w:eastAsia="Arial Unicode MS" w:hAnsi="Bookman Old Style" w:cs="Arial Unicode MS"/>
          <w:b/>
          <w:sz w:val="24"/>
          <w:szCs w:val="24"/>
        </w:rPr>
      </w:pPr>
      <w:r w:rsidRPr="00A72638">
        <w:rPr>
          <w:rFonts w:ascii="Bookman Old Style" w:eastAsia="Arial Unicode MS" w:hAnsi="Bookman Old Style" w:cs="Arial Unicode MS"/>
          <w:b/>
          <w:sz w:val="24"/>
          <w:szCs w:val="24"/>
        </w:rPr>
        <w:t>Venom of a cobra</w:t>
      </w:r>
    </w:p>
    <w:p w:rsidR="00153D09" w:rsidRPr="00A72638" w:rsidRDefault="00153D09" w:rsidP="00A72638">
      <w:pPr>
        <w:spacing w:after="0" w:line="360" w:lineRule="auto"/>
        <w:jc w:val="both"/>
        <w:rPr>
          <w:rFonts w:ascii="Bookman Old Style" w:eastAsia="Arial Unicode MS" w:hAnsi="Bookman Old Style" w:cs="Arial Unicode MS"/>
          <w:sz w:val="24"/>
          <w:szCs w:val="24"/>
        </w:rPr>
      </w:pPr>
      <w:r w:rsidRPr="00A72638">
        <w:rPr>
          <w:rFonts w:ascii="Bookman Old Style" w:eastAsia="Arial Unicode MS" w:hAnsi="Bookman Old Style" w:cs="Arial Unicode MS"/>
          <w:sz w:val="24"/>
          <w:szCs w:val="24"/>
        </w:rPr>
        <w:t xml:space="preserve">The first programme is styled as </w:t>
      </w:r>
      <w:r w:rsidRPr="00A72638">
        <w:rPr>
          <w:rFonts w:ascii="Bookman Old Style" w:eastAsia="Arial Unicode MS" w:hAnsi="Bookman Old Style" w:cs="Arial Unicode MS"/>
          <w:i/>
          <w:sz w:val="24"/>
          <w:szCs w:val="24"/>
        </w:rPr>
        <w:t>“Venom of Cobra”.</w:t>
      </w:r>
      <w:r w:rsidR="00AD43C9" w:rsidRPr="00A72638">
        <w:rPr>
          <w:rFonts w:ascii="Bookman Old Style" w:eastAsia="Arial Unicode MS" w:hAnsi="Bookman Old Style" w:cs="Arial Unicode MS"/>
          <w:sz w:val="24"/>
          <w:szCs w:val="24"/>
        </w:rPr>
        <w:t xml:space="preserve"> In this regard, t</w:t>
      </w:r>
      <w:r w:rsidRPr="00A72638">
        <w:rPr>
          <w:rFonts w:ascii="Bookman Old Style" w:eastAsia="Arial Unicode MS" w:hAnsi="Bookman Old Style" w:cs="Arial Unicode MS"/>
          <w:sz w:val="24"/>
          <w:szCs w:val="24"/>
        </w:rPr>
        <w:t>he 1</w:t>
      </w:r>
      <w:r w:rsidRPr="00A72638">
        <w:rPr>
          <w:rFonts w:ascii="Bookman Old Style" w:eastAsia="Arial Unicode MS" w:hAnsi="Bookman Old Style" w:cs="Arial Unicode MS"/>
          <w:sz w:val="24"/>
          <w:szCs w:val="24"/>
          <w:vertAlign w:val="superscript"/>
        </w:rPr>
        <w:t>st</w:t>
      </w:r>
      <w:r w:rsidR="00AD43C9" w:rsidRPr="00A72638">
        <w:rPr>
          <w:rFonts w:ascii="Bookman Old Style" w:eastAsia="Arial Unicode MS" w:hAnsi="Bookman Old Style" w:cs="Arial Unicode MS"/>
          <w:sz w:val="24"/>
          <w:szCs w:val="24"/>
        </w:rPr>
        <w:t xml:space="preserve"> defendant is alleged</w:t>
      </w:r>
      <w:r w:rsidRPr="00A72638">
        <w:rPr>
          <w:rFonts w:ascii="Bookman Old Style" w:eastAsia="Arial Unicode MS" w:hAnsi="Bookman Old Style" w:cs="Arial Unicode MS"/>
          <w:sz w:val="24"/>
          <w:szCs w:val="24"/>
        </w:rPr>
        <w:t xml:space="preserve"> to have published the following </w:t>
      </w:r>
      <w:r w:rsidR="00AD43C9" w:rsidRPr="00A72638">
        <w:rPr>
          <w:rFonts w:ascii="Bookman Old Style" w:eastAsia="Arial Unicode MS" w:hAnsi="Bookman Old Style" w:cs="Arial Unicode MS"/>
          <w:sz w:val="24"/>
          <w:szCs w:val="24"/>
        </w:rPr>
        <w:t xml:space="preserve">defamatory </w:t>
      </w:r>
      <w:r w:rsidRPr="00A72638">
        <w:rPr>
          <w:rFonts w:ascii="Bookman Old Style" w:eastAsia="Arial Unicode MS" w:hAnsi="Bookman Old Style" w:cs="Arial Unicode MS"/>
          <w:sz w:val="24"/>
          <w:szCs w:val="24"/>
        </w:rPr>
        <w:t>words:</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A72638" w:rsidRDefault="00153D09" w:rsidP="00752168">
      <w:pPr>
        <w:pStyle w:val="ListParagraph"/>
        <w:numPr>
          <w:ilvl w:val="0"/>
          <w:numId w:val="5"/>
        </w:num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sz w:val="24"/>
          <w:szCs w:val="24"/>
        </w:rPr>
        <w:t>“</w:t>
      </w:r>
      <w:r w:rsidRPr="008F7F29">
        <w:rPr>
          <w:rFonts w:ascii="Bookman Old Style" w:eastAsia="Arial Unicode MS" w:hAnsi="Bookman Old Style" w:cs="Arial Unicode MS"/>
          <w:i/>
          <w:sz w:val="24"/>
          <w:szCs w:val="24"/>
        </w:rPr>
        <w:t>In this edition I am attempting to take a critical look at the undoubted populous leader of the Patriotic Front, Micheal Chilufya Sata, also known as the “King Cobra.”</w:t>
      </w:r>
      <w:r w:rsidR="00A72638">
        <w:rPr>
          <w:rFonts w:ascii="Bookman Old Style" w:eastAsia="Arial Unicode MS" w:hAnsi="Bookman Old Style" w:cs="Arial Unicode MS"/>
          <w:i/>
          <w:sz w:val="24"/>
          <w:szCs w:val="24"/>
        </w:rPr>
        <w:t xml:space="preserve"> </w:t>
      </w:r>
      <w:r w:rsidRPr="00A72638">
        <w:rPr>
          <w:rFonts w:ascii="Bookman Old Style" w:eastAsia="Arial Unicode MS" w:hAnsi="Bookman Old Style" w:cs="Arial Unicode MS"/>
          <w:i/>
          <w:sz w:val="24"/>
          <w:szCs w:val="24"/>
        </w:rPr>
        <w:t>The Anti-Third Term group Sata was refe</w:t>
      </w:r>
      <w:r w:rsidR="00752168">
        <w:rPr>
          <w:rFonts w:ascii="Bookman Old Style" w:eastAsia="Arial Unicode MS" w:hAnsi="Bookman Old Style" w:cs="Arial Unicode MS"/>
          <w:i/>
          <w:sz w:val="24"/>
          <w:szCs w:val="24"/>
        </w:rPr>
        <w:t>rring to, consisted of 22 very s</w:t>
      </w:r>
      <w:r w:rsidRPr="00A72638">
        <w:rPr>
          <w:rFonts w:ascii="Bookman Old Style" w:eastAsia="Arial Unicode MS" w:hAnsi="Bookman Old Style" w:cs="Arial Unicode MS"/>
          <w:i/>
          <w:sz w:val="24"/>
          <w:szCs w:val="24"/>
        </w:rPr>
        <w:t>enior members of the ruling party, who eventually had enough and formed the Forum for Democracy and Development FDD, and the Heritage Party (HP). You agree that the number 22 kind of follows Sata’s like no one’s business. Currently, he has 22 rebel members of Parliam</w:t>
      </w:r>
      <w:r w:rsidR="00AD43C9" w:rsidRPr="00A72638">
        <w:rPr>
          <w:rFonts w:ascii="Bookman Old Style" w:eastAsia="Arial Unicode MS" w:hAnsi="Bookman Old Style" w:cs="Arial Unicode MS"/>
          <w:i/>
          <w:sz w:val="24"/>
          <w:szCs w:val="24"/>
        </w:rPr>
        <w:t>ent to deal with, and it is a th</w:t>
      </w:r>
      <w:r w:rsidRPr="00A72638">
        <w:rPr>
          <w:rFonts w:ascii="Bookman Old Style" w:eastAsia="Arial Unicode MS" w:hAnsi="Bookman Old Style" w:cs="Arial Unicode MS"/>
          <w:i/>
          <w:sz w:val="24"/>
          <w:szCs w:val="24"/>
        </w:rPr>
        <w:t>o</w:t>
      </w:r>
      <w:r w:rsidR="00AD43C9" w:rsidRPr="00A72638">
        <w:rPr>
          <w:rFonts w:ascii="Bookman Old Style" w:eastAsia="Arial Unicode MS" w:hAnsi="Bookman Old Style" w:cs="Arial Unicode MS"/>
          <w:i/>
          <w:sz w:val="24"/>
          <w:szCs w:val="24"/>
        </w:rPr>
        <w:t>r</w:t>
      </w:r>
      <w:r w:rsidRPr="00A72638">
        <w:rPr>
          <w:rFonts w:ascii="Bookman Old Style" w:eastAsia="Arial Unicode MS" w:hAnsi="Bookman Old Style" w:cs="Arial Unicode MS"/>
          <w:i/>
          <w:sz w:val="24"/>
          <w:szCs w:val="24"/>
        </w:rPr>
        <w:t xml:space="preserve">n </w:t>
      </w:r>
      <w:r w:rsidRPr="0090662B">
        <w:rPr>
          <w:rFonts w:ascii="Bookman Old Style" w:eastAsia="Arial Unicode MS" w:hAnsi="Bookman Old Style" w:cs="Arial Unicode MS"/>
          <w:i/>
          <w:sz w:val="24"/>
          <w:szCs w:val="24"/>
        </w:rPr>
        <w:t>in his diminishing flesh.</w:t>
      </w:r>
      <w:r w:rsidRPr="00A72638">
        <w:rPr>
          <w:rFonts w:ascii="Bookman Old Style" w:eastAsia="Arial Unicode MS" w:hAnsi="Bookman Old Style" w:cs="Arial Unicode MS"/>
          <w:i/>
          <w:sz w:val="24"/>
          <w:szCs w:val="24"/>
        </w:rPr>
        <w:t xml:space="preserve"> For most founding members of the ruling MMD, the </w:t>
      </w:r>
      <w:r w:rsidRPr="00A72638">
        <w:rPr>
          <w:rFonts w:ascii="Bookman Old Style" w:eastAsia="Arial Unicode MS" w:hAnsi="Bookman Old Style" w:cs="Arial Unicode MS"/>
          <w:i/>
          <w:sz w:val="24"/>
          <w:szCs w:val="24"/>
        </w:rPr>
        <w:lastRenderedPageBreak/>
        <w:t>biggest mistake that ever happened to the party that toppled Kenneth’s Kaunda’s United National Independent Party (UNIP)</w:t>
      </w:r>
      <w:r w:rsidR="00AD43C9" w:rsidRPr="00A72638">
        <w:rPr>
          <w:rFonts w:ascii="Bookman Old Style" w:eastAsia="Arial Unicode MS" w:hAnsi="Bookman Old Style" w:cs="Arial Unicode MS"/>
          <w:i/>
          <w:sz w:val="24"/>
          <w:szCs w:val="24"/>
        </w:rPr>
        <w:t>,</w:t>
      </w:r>
      <w:r w:rsidRPr="00A72638">
        <w:rPr>
          <w:rFonts w:ascii="Bookman Old Style" w:eastAsia="Arial Unicode MS" w:hAnsi="Bookman Old Style" w:cs="Arial Unicode MS"/>
          <w:i/>
          <w:sz w:val="24"/>
          <w:szCs w:val="24"/>
        </w:rPr>
        <w:t xml:space="preserve"> in the first ever multi-party elections in seventeen years was to elect Sata to the position of National Secretary. Sata was elected Secretary at the 19</w:t>
      </w:r>
      <w:r w:rsidR="00AD43C9" w:rsidRPr="00A72638">
        <w:rPr>
          <w:rFonts w:ascii="Bookman Old Style" w:eastAsia="Arial Unicode MS" w:hAnsi="Bookman Old Style" w:cs="Arial Unicode MS"/>
          <w:i/>
          <w:sz w:val="24"/>
          <w:szCs w:val="24"/>
        </w:rPr>
        <w:t>95 MMD C</w:t>
      </w:r>
      <w:r w:rsidRPr="00A72638">
        <w:rPr>
          <w:rFonts w:ascii="Bookman Old Style" w:eastAsia="Arial Unicode MS" w:hAnsi="Bookman Old Style" w:cs="Arial Unicode MS"/>
          <w:i/>
          <w:sz w:val="24"/>
          <w:szCs w:val="24"/>
        </w:rPr>
        <w:t>onvention taking over from Brigadier General Godfrey Miyanda. Little did people kn</w:t>
      </w:r>
      <w:r w:rsidR="00AD43C9" w:rsidRPr="00A72638">
        <w:rPr>
          <w:rFonts w:ascii="Bookman Old Style" w:eastAsia="Arial Unicode MS" w:hAnsi="Bookman Old Style" w:cs="Arial Unicode MS"/>
          <w:i/>
          <w:sz w:val="24"/>
          <w:szCs w:val="24"/>
        </w:rPr>
        <w:t>ow that the ruling eyes of the C</w:t>
      </w:r>
      <w:r w:rsidRPr="00A72638">
        <w:rPr>
          <w:rFonts w:ascii="Bookman Old Style" w:eastAsia="Arial Unicode MS" w:hAnsi="Bookman Old Style" w:cs="Arial Unicode MS"/>
          <w:i/>
          <w:sz w:val="24"/>
          <w:szCs w:val="24"/>
        </w:rPr>
        <w:t>obra would hypnotise almost the entir</w:t>
      </w:r>
      <w:r w:rsidR="00AD43C9" w:rsidRPr="00A72638">
        <w:rPr>
          <w:rFonts w:ascii="Bookman Old Style" w:eastAsia="Arial Unicode MS" w:hAnsi="Bookman Old Style" w:cs="Arial Unicode MS"/>
          <w:i/>
          <w:sz w:val="24"/>
          <w:szCs w:val="24"/>
        </w:rPr>
        <w:t xml:space="preserve">e rank and file of the MMD. </w:t>
      </w:r>
      <w:r w:rsidR="00AD43C9" w:rsidRPr="0090662B">
        <w:rPr>
          <w:rFonts w:ascii="Bookman Old Style" w:eastAsia="Arial Unicode MS" w:hAnsi="Bookman Old Style" w:cs="Arial Unicode MS"/>
          <w:i/>
          <w:sz w:val="24"/>
          <w:szCs w:val="24"/>
        </w:rPr>
        <w:t>It wa</w:t>
      </w:r>
      <w:r w:rsidRPr="0090662B">
        <w:rPr>
          <w:rFonts w:ascii="Bookman Old Style" w:eastAsia="Arial Unicode MS" w:hAnsi="Bookman Old Style" w:cs="Arial Unicode MS"/>
          <w:i/>
          <w:sz w:val="24"/>
          <w:szCs w:val="24"/>
        </w:rPr>
        <w:t>s indeed the beginning of terror in the way the party was to be administered</w:t>
      </w:r>
      <w:r w:rsidRPr="00A72638">
        <w:rPr>
          <w:rFonts w:ascii="Bookman Old Style" w:eastAsia="Arial Unicode MS" w:hAnsi="Bookman Old Style" w:cs="Arial Unicode MS"/>
          <w:i/>
          <w:sz w:val="24"/>
          <w:szCs w:val="24"/>
        </w:rPr>
        <w:t xml:space="preserve">, suspensions; and expulsions became the law, and the party </w:t>
      </w:r>
      <w:r w:rsidRPr="0090662B">
        <w:rPr>
          <w:rFonts w:ascii="Bookman Old Style" w:eastAsia="Arial Unicode MS" w:hAnsi="Bookman Old Style" w:cs="Arial Unicode MS"/>
          <w:i/>
          <w:sz w:val="24"/>
          <w:szCs w:val="24"/>
        </w:rPr>
        <w:t>was to be run with an iron fist with no order and yet this is the man who claims he can run the country as President better than anyone has ever done.”</w:t>
      </w:r>
      <w:r w:rsidRPr="00A72638">
        <w:rPr>
          <w:rFonts w:ascii="Bookman Old Style" w:eastAsia="Arial Unicode MS" w:hAnsi="Bookman Old Style" w:cs="Arial Unicode MS"/>
          <w:i/>
          <w:sz w:val="24"/>
          <w:szCs w:val="24"/>
        </w:rPr>
        <w:t xml:space="preserve"> </w:t>
      </w:r>
    </w:p>
    <w:p w:rsidR="00153D09" w:rsidRPr="008F7F29" w:rsidRDefault="00153D09" w:rsidP="00752168">
      <w:pPr>
        <w:spacing w:after="0" w:line="240" w:lineRule="auto"/>
        <w:jc w:val="both"/>
        <w:rPr>
          <w:rFonts w:ascii="Bookman Old Style" w:eastAsia="Arial Unicode MS" w:hAnsi="Bookman Old Style" w:cs="Arial Unicode MS"/>
          <w:i/>
          <w:sz w:val="24"/>
          <w:szCs w:val="24"/>
        </w:rPr>
      </w:pPr>
    </w:p>
    <w:p w:rsidR="00153D09" w:rsidRPr="008F7F29" w:rsidRDefault="00153D09" w:rsidP="00752168">
      <w:pPr>
        <w:pStyle w:val="ListParagraph"/>
        <w:numPr>
          <w:ilvl w:val="0"/>
          <w:numId w:val="5"/>
        </w:num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One of the early casualties was Anderson Kambela Mazoka who by then was Branch Treasurer in Bauleni, within two years. Sata appeared to have consolidated his grip in running the MMD in his own way, his critics say that he simply went on rampage to make sure that anybody with the semblance of leadership was to be viciously hounded out of MMD. Like I have already indicated Mazoka was one of the very first p</w:t>
      </w:r>
      <w:r w:rsidR="00B81669">
        <w:rPr>
          <w:rFonts w:ascii="Bookman Old Style" w:eastAsia="Arial Unicode MS" w:hAnsi="Bookman Old Style" w:cs="Arial Unicode MS"/>
          <w:i/>
          <w:sz w:val="24"/>
          <w:szCs w:val="24"/>
        </w:rPr>
        <w:t>eople to test the venom of the C</w:t>
      </w:r>
      <w:r w:rsidRPr="008F7F29">
        <w:rPr>
          <w:rFonts w:ascii="Bookman Old Style" w:eastAsia="Arial Unicode MS" w:hAnsi="Bookman Old Style" w:cs="Arial Unicode MS"/>
          <w:i/>
          <w:sz w:val="24"/>
          <w:szCs w:val="24"/>
        </w:rPr>
        <w:t>obra. In a letter dated 7</w:t>
      </w:r>
      <w:r w:rsidRPr="008F7F29">
        <w:rPr>
          <w:rFonts w:ascii="Bookman Old Style" w:eastAsia="Arial Unicode MS" w:hAnsi="Bookman Old Style" w:cs="Arial Unicode MS"/>
          <w:i/>
          <w:sz w:val="24"/>
          <w:szCs w:val="24"/>
          <w:vertAlign w:val="superscript"/>
        </w:rPr>
        <w:t>th</w:t>
      </w:r>
      <w:r w:rsidRPr="008F7F29">
        <w:rPr>
          <w:rFonts w:ascii="Bookman Old Style" w:eastAsia="Arial Unicode MS" w:hAnsi="Bookman Old Style" w:cs="Arial Unicode MS"/>
          <w:i/>
          <w:sz w:val="24"/>
          <w:szCs w:val="24"/>
        </w:rPr>
        <w:t xml:space="preserve"> August, 1997, addressed to Mr. Chiluba, President of the republic of Zambia, on an MMD letter head signed by Sata a copy of which is sh</w:t>
      </w:r>
      <w:r w:rsidR="00B81669">
        <w:rPr>
          <w:rFonts w:ascii="Bookman Old Style" w:eastAsia="Arial Unicode MS" w:hAnsi="Bookman Old Style" w:cs="Arial Unicode MS"/>
          <w:i/>
          <w:sz w:val="24"/>
          <w:szCs w:val="24"/>
        </w:rPr>
        <w:t>own here, it is clear that the C</w:t>
      </w:r>
      <w:r w:rsidRPr="008F7F29">
        <w:rPr>
          <w:rFonts w:ascii="Bookman Old Style" w:eastAsia="Arial Unicode MS" w:hAnsi="Bookman Old Style" w:cs="Arial Unicode MS"/>
          <w:i/>
          <w:sz w:val="24"/>
          <w:szCs w:val="24"/>
        </w:rPr>
        <w:t xml:space="preserve">obra had </w:t>
      </w:r>
      <w:r w:rsidRPr="0090662B">
        <w:rPr>
          <w:rFonts w:ascii="Bookman Old Style" w:eastAsia="Arial Unicode MS" w:hAnsi="Bookman Old Style" w:cs="Arial Unicode MS"/>
          <w:i/>
          <w:sz w:val="24"/>
          <w:szCs w:val="24"/>
        </w:rPr>
        <w:t>schemed</w:t>
      </w:r>
      <w:r w:rsidRPr="00A72638">
        <w:rPr>
          <w:rFonts w:ascii="Bookman Old Style" w:eastAsia="Arial Unicode MS" w:hAnsi="Bookman Old Style" w:cs="Arial Unicode MS"/>
          <w:i/>
          <w:sz w:val="24"/>
          <w:szCs w:val="24"/>
          <w:u w:val="single"/>
        </w:rPr>
        <w:t xml:space="preserve"> </w:t>
      </w:r>
      <w:r w:rsidRPr="008F7F29">
        <w:rPr>
          <w:rFonts w:ascii="Bookman Old Style" w:eastAsia="Arial Unicode MS" w:hAnsi="Bookman Old Style" w:cs="Arial Unicode MS"/>
          <w:i/>
          <w:sz w:val="24"/>
          <w:szCs w:val="24"/>
        </w:rPr>
        <w:t>up something against Mazoka, some of the contents of this letter are:</w:t>
      </w:r>
    </w:p>
    <w:p w:rsidR="00153D09" w:rsidRPr="008F7F29" w:rsidRDefault="00153D09" w:rsidP="00752168">
      <w:pPr>
        <w:pStyle w:val="ListParagraph"/>
        <w:spacing w:after="0" w:line="240" w:lineRule="auto"/>
        <w:ind w:left="1080"/>
        <w:jc w:val="both"/>
        <w:rPr>
          <w:rFonts w:ascii="Bookman Old Style" w:eastAsia="Arial Unicode MS" w:hAnsi="Bookman Old Style" w:cs="Arial Unicode MS"/>
          <w:i/>
          <w:sz w:val="24"/>
          <w:szCs w:val="24"/>
        </w:rPr>
      </w:pPr>
    </w:p>
    <w:p w:rsidR="00A72638" w:rsidRDefault="00153D09" w:rsidP="00752168">
      <w:p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“Dear Mr. President, my findings have revealed that Mr. Mazoka has spent a lot of money on his Branch to carry out his hidden political agenda, I am told he has a huge following that can help him reach his presidential aspirations.”</w:t>
      </w:r>
    </w:p>
    <w:p w:rsidR="00A72638" w:rsidRDefault="00A72638" w:rsidP="00153D09">
      <w:pPr>
        <w:spacing w:after="0" w:line="360" w:lineRule="auto"/>
        <w:jc w:val="both"/>
        <w:rPr>
          <w:rFonts w:ascii="Bookman Old Style" w:eastAsia="Arial Unicode MS" w:hAnsi="Bookman Old Style" w:cs="Arial Unicode MS"/>
          <w:i/>
          <w:sz w:val="24"/>
          <w:szCs w:val="24"/>
        </w:rPr>
      </w:pPr>
    </w:p>
    <w:p w:rsidR="00250360" w:rsidRDefault="00250360" w:rsidP="00153D09">
      <w:pPr>
        <w:spacing w:after="0" w:line="360" w:lineRule="auto"/>
        <w:jc w:val="both"/>
        <w:rPr>
          <w:rFonts w:ascii="Bookman Old Style" w:eastAsia="Arial Unicode MS" w:hAnsi="Bookman Old Style" w:cs="Arial Unicode MS"/>
          <w:i/>
          <w:sz w:val="24"/>
          <w:szCs w:val="24"/>
        </w:rPr>
      </w:pPr>
    </w:p>
    <w:p w:rsidR="00153D09" w:rsidRPr="00B81669" w:rsidRDefault="00153D09" w:rsidP="00153D09">
      <w:pPr>
        <w:spacing w:after="0" w:line="36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sz w:val="24"/>
          <w:szCs w:val="24"/>
        </w:rPr>
        <w:t>It goes on to say:</w:t>
      </w:r>
    </w:p>
    <w:p w:rsidR="00A72638" w:rsidRDefault="00153D09" w:rsidP="00752168">
      <w:p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“He is using the small group of people whose names I will forward to you soon to execute his political task on the Copperbelt, Lusaka, North Western, Western, Luapula</w:t>
      </w:r>
      <w:r w:rsidR="00B81669">
        <w:rPr>
          <w:rFonts w:ascii="Bookman Old Style" w:eastAsia="Arial Unicode MS" w:hAnsi="Bookman Old Style" w:cs="Arial Unicode MS"/>
          <w:i/>
          <w:sz w:val="24"/>
          <w:szCs w:val="24"/>
        </w:rPr>
        <w:t>,</w:t>
      </w:r>
      <w:r w:rsidRPr="008F7F29">
        <w:rPr>
          <w:rFonts w:ascii="Bookman Old Style" w:eastAsia="Arial Unicode MS" w:hAnsi="Bookman Old Style" w:cs="Arial Unicode MS"/>
          <w:i/>
          <w:sz w:val="24"/>
          <w:szCs w:val="24"/>
        </w:rPr>
        <w:t xml:space="preserve"> and Central Provinces.</w:t>
      </w:r>
      <w:r w:rsidR="00752168">
        <w:rPr>
          <w:rFonts w:ascii="Bookman Old Style" w:eastAsia="Arial Unicode MS" w:hAnsi="Bookman Old Style" w:cs="Arial Unicode MS"/>
          <w:i/>
          <w:sz w:val="24"/>
          <w:szCs w:val="24"/>
        </w:rPr>
        <w:t>”</w:t>
      </w:r>
      <w:r w:rsidR="00B81669">
        <w:rPr>
          <w:rFonts w:ascii="Bookman Old Style" w:eastAsia="Arial Unicode MS" w:hAnsi="Bookman Old Style" w:cs="Arial Unicode MS"/>
          <w:i/>
          <w:sz w:val="24"/>
          <w:szCs w:val="24"/>
        </w:rPr>
        <w:t xml:space="preserve"> </w:t>
      </w:r>
    </w:p>
    <w:p w:rsidR="00A72638" w:rsidRDefault="00A72638" w:rsidP="00153D09">
      <w:pPr>
        <w:spacing w:after="0" w:line="360" w:lineRule="auto"/>
        <w:jc w:val="both"/>
        <w:rPr>
          <w:rFonts w:ascii="Bookman Old Style" w:eastAsia="Arial Unicode MS" w:hAnsi="Bookman Old Style" w:cs="Arial Unicode MS"/>
          <w:i/>
          <w:sz w:val="24"/>
          <w:szCs w:val="24"/>
        </w:rPr>
      </w:pPr>
    </w:p>
    <w:p w:rsidR="00153D09" w:rsidRPr="00B81669" w:rsidRDefault="00153D09" w:rsidP="00153D09">
      <w:pPr>
        <w:spacing w:after="0" w:line="36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sz w:val="24"/>
          <w:szCs w:val="24"/>
        </w:rPr>
        <w:t>Sata further wrote the first step:</w:t>
      </w:r>
    </w:p>
    <w:p w:rsidR="00153D09" w:rsidRPr="008F7F29" w:rsidRDefault="00153D09" w:rsidP="00752168">
      <w:p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“Mr. President is to instruct the NEC to pass a resolution to dissolve his Branch in which he is Treasurer on</w:t>
      </w:r>
      <w:r w:rsidR="00B81669">
        <w:rPr>
          <w:rFonts w:ascii="Bookman Old Style" w:eastAsia="Arial Unicode MS" w:hAnsi="Bookman Old Style" w:cs="Arial Unicode MS"/>
          <w:i/>
          <w:sz w:val="24"/>
          <w:szCs w:val="24"/>
        </w:rPr>
        <w:t xml:space="preserve"> grounds that the B</w:t>
      </w:r>
      <w:r w:rsidRPr="008F7F29">
        <w:rPr>
          <w:rFonts w:ascii="Bookman Old Style" w:eastAsia="Arial Unicode MS" w:hAnsi="Bookman Old Style" w:cs="Arial Unicode MS"/>
          <w:i/>
          <w:sz w:val="24"/>
          <w:szCs w:val="24"/>
        </w:rPr>
        <w:t>ranch has not been registered with my office the Secretariat.”</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According to Sata dealing with Mazoka the way he was proposing would keep Andy a distance away from the party, and make it difficult for him to influence the people.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Sata concluded by saying: </w:t>
      </w:r>
    </w:p>
    <w:p w:rsidR="00153D09" w:rsidRPr="008F7F29" w:rsidRDefault="00153D09" w:rsidP="00153D09">
      <w:pPr>
        <w:spacing w:after="0" w:line="24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i/>
          <w:sz w:val="24"/>
          <w:szCs w:val="24"/>
        </w:rPr>
        <w:t>“I will keep informing you upon my progress achieved in this task</w:t>
      </w:r>
      <w:r w:rsidRPr="008F7F29">
        <w:rPr>
          <w:rFonts w:ascii="Bookman Old Style" w:eastAsia="Arial Unicode MS" w:hAnsi="Bookman Old Style" w:cs="Arial Unicode MS"/>
          <w:sz w:val="24"/>
          <w:szCs w:val="24"/>
        </w:rPr>
        <w:t>.”</w:t>
      </w:r>
    </w:p>
    <w:p w:rsidR="00153D09" w:rsidRPr="008F7F29" w:rsidRDefault="00153D09" w:rsidP="00153D09">
      <w:pPr>
        <w:spacing w:after="0" w:line="240" w:lineRule="auto"/>
        <w:jc w:val="both"/>
        <w:rPr>
          <w:rFonts w:ascii="Bookman Old Style" w:eastAsia="Arial Unicode MS" w:hAnsi="Bookman Old Style" w:cs="Arial Unicode MS"/>
          <w:sz w:val="24"/>
          <w:szCs w:val="24"/>
        </w:rPr>
      </w:pPr>
    </w:p>
    <w:p w:rsidR="00B81669" w:rsidRDefault="00B81669" w:rsidP="00153D09">
      <w:pPr>
        <w:spacing w:after="0" w:line="240" w:lineRule="auto"/>
        <w:jc w:val="both"/>
        <w:rPr>
          <w:rFonts w:ascii="Bookman Old Style" w:eastAsia="Arial Unicode MS" w:hAnsi="Bookman Old Style" w:cs="Arial Unicode MS"/>
          <w:i/>
          <w:sz w:val="24"/>
          <w:szCs w:val="24"/>
        </w:rPr>
      </w:pPr>
    </w:p>
    <w:p w:rsidR="00153D09" w:rsidRPr="008F7F29" w:rsidRDefault="00153D09" w:rsidP="00153D09">
      <w:p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It can be deduced from this letter that Sata had set out to hurt Ma</w:t>
      </w:r>
      <w:r w:rsidR="00A72638">
        <w:rPr>
          <w:rFonts w:ascii="Bookman Old Style" w:eastAsia="Arial Unicode MS" w:hAnsi="Bookman Old Style" w:cs="Arial Unicode MS"/>
          <w:i/>
          <w:sz w:val="24"/>
          <w:szCs w:val="24"/>
        </w:rPr>
        <w:t>zoka. Well the rest as you know</w:t>
      </w:r>
      <w:r w:rsidRPr="008F7F29">
        <w:rPr>
          <w:rFonts w:ascii="Bookman Old Style" w:eastAsia="Arial Unicode MS" w:hAnsi="Bookman Old Style" w:cs="Arial Unicode MS"/>
          <w:i/>
          <w:sz w:val="24"/>
          <w:szCs w:val="24"/>
        </w:rPr>
        <w:t>, Mazoka moved on to form his own political party, the United Party for National Development (UPND) which was launched in 1998. It now beats me how the man who took over from Mazoka could be winning and dinning with Sata. Isn’t a plot to keep undermining the Mazoka vision. No wonder the Pact is not working and just cannot work. Mazoka must be turning in his grave, evidently so, his soul may not rest in peace.”</w:t>
      </w:r>
    </w:p>
    <w:p w:rsidR="00153D09" w:rsidRPr="008F7F29" w:rsidRDefault="00153D09" w:rsidP="00153D09">
      <w:pPr>
        <w:spacing w:after="0" w:line="240" w:lineRule="auto"/>
        <w:jc w:val="both"/>
        <w:rPr>
          <w:rFonts w:ascii="Bookman Old Style" w:eastAsia="Arial Unicode MS" w:hAnsi="Bookman Old Style" w:cs="Arial Unicode MS"/>
          <w:sz w:val="24"/>
          <w:szCs w:val="24"/>
        </w:rPr>
      </w:pPr>
    </w:p>
    <w:p w:rsidR="00153D09" w:rsidRDefault="00153D09" w:rsidP="00153D09">
      <w:pPr>
        <w:pStyle w:val="ListParagraph"/>
        <w:numPr>
          <w:ilvl w:val="0"/>
          <w:numId w:val="5"/>
        </w:num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In order to consolidate his grip on running the MMD, Sata is said to have introduced all sorts of draconian rules so as to keep at bay anyone who had left on their own, or had been expelled, but rejoined in two years. Regulation No. 6 of the memo dated 1997, signed by Sata, a copy of which is shown here and addressed to all Commissioners, Provincial Chairmen,/Secretaries/Co-Cordinators and Di</w:t>
      </w:r>
      <w:r w:rsidR="006D4570">
        <w:rPr>
          <w:rFonts w:ascii="Bookman Old Style" w:eastAsia="Arial Unicode MS" w:hAnsi="Bookman Old Style" w:cs="Arial Unicode MS"/>
          <w:i/>
          <w:sz w:val="24"/>
          <w:szCs w:val="24"/>
        </w:rPr>
        <w:t>strict organizers is very clear;</w:t>
      </w:r>
      <w:r w:rsidRPr="008F7F29">
        <w:rPr>
          <w:rFonts w:ascii="Bookman Old Style" w:eastAsia="Arial Unicode MS" w:hAnsi="Bookman Old Style" w:cs="Arial Unicode MS"/>
          <w:i/>
          <w:sz w:val="24"/>
          <w:szCs w:val="24"/>
        </w:rPr>
        <w:t xml:space="preserve"> “No member of the party who has been re-admitted to the party in less than two years shall aspire to any party election at any level.” This was a well calculated move and for some reason everyone in the National Executive Committee of the MMD seemed okey with it, or were they hypn</w:t>
      </w:r>
      <w:r w:rsidR="00B81669">
        <w:rPr>
          <w:rFonts w:ascii="Bookman Old Style" w:eastAsia="Arial Unicode MS" w:hAnsi="Bookman Old Style" w:cs="Arial Unicode MS"/>
          <w:i/>
          <w:sz w:val="24"/>
          <w:szCs w:val="24"/>
        </w:rPr>
        <w:t>otised by the eyes of the king C</w:t>
      </w:r>
      <w:r w:rsidRPr="008F7F29">
        <w:rPr>
          <w:rFonts w:ascii="Bookman Old Style" w:eastAsia="Arial Unicode MS" w:hAnsi="Bookman Old Style" w:cs="Arial Unicode MS"/>
          <w:i/>
          <w:sz w:val="24"/>
          <w:szCs w:val="24"/>
        </w:rPr>
        <w:t>obra.”</w:t>
      </w:r>
    </w:p>
    <w:p w:rsidR="00153D09" w:rsidRPr="008F7F29" w:rsidRDefault="00153D09" w:rsidP="00153D09">
      <w:pPr>
        <w:pStyle w:val="ListParagraph"/>
        <w:spacing w:after="0" w:line="240" w:lineRule="auto"/>
        <w:ind w:left="1080"/>
        <w:jc w:val="both"/>
        <w:rPr>
          <w:rFonts w:ascii="Bookman Old Style" w:eastAsia="Arial Unicode MS" w:hAnsi="Bookman Old Style" w:cs="Arial Unicode MS"/>
          <w:i/>
          <w:sz w:val="24"/>
          <w:szCs w:val="24"/>
        </w:rPr>
      </w:pPr>
    </w:p>
    <w:p w:rsidR="00153D09" w:rsidRDefault="00153D09" w:rsidP="00153D09">
      <w:pPr>
        <w:pStyle w:val="ListParagraph"/>
        <w:numPr>
          <w:ilvl w:val="0"/>
          <w:numId w:val="5"/>
        </w:num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“Almost one year later, on fifth October, 1998, in a letter addressed to Hon. Michael Mabenga, Member of Parliamant, Deputy Minister, Western Province, and a copy which is shown here, Sata threatened to discipline Mabenge within fourteen days, Sata’s threats were regarding a letter Mabenga had written to the President, and it reads in part:</w:t>
      </w:r>
    </w:p>
    <w:p w:rsidR="00153D09" w:rsidRPr="0093122A" w:rsidRDefault="00153D09" w:rsidP="00153D09">
      <w:pPr>
        <w:pStyle w:val="ListParagraph"/>
        <w:rPr>
          <w:rFonts w:ascii="Bookman Old Style" w:eastAsia="Arial Unicode MS" w:hAnsi="Bookman Old Style" w:cs="Arial Unicode MS"/>
          <w:i/>
          <w:sz w:val="24"/>
          <w:szCs w:val="24"/>
        </w:rPr>
      </w:pPr>
    </w:p>
    <w:p w:rsidR="00153D09" w:rsidRPr="008F7F29" w:rsidRDefault="00153D09" w:rsidP="00153D09">
      <w:pPr>
        <w:pStyle w:val="ListParagraph"/>
        <w:spacing w:after="0" w:line="240" w:lineRule="auto"/>
        <w:ind w:left="1080"/>
        <w:jc w:val="both"/>
        <w:rPr>
          <w:rFonts w:ascii="Bookman Old Style" w:eastAsia="Arial Unicode MS" w:hAnsi="Bookman Old Style" w:cs="Arial Unicode MS"/>
          <w:i/>
          <w:sz w:val="24"/>
          <w:szCs w:val="24"/>
        </w:rPr>
      </w:pPr>
    </w:p>
    <w:p w:rsidR="00153D09" w:rsidRPr="008F7F29" w:rsidRDefault="00153D09" w:rsidP="00153D09">
      <w:p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“Dear Hon. Mabenga, on 13</w:t>
      </w:r>
      <w:r w:rsidRPr="008F7F29">
        <w:rPr>
          <w:rFonts w:ascii="Bookman Old Style" w:eastAsia="Arial Unicode MS" w:hAnsi="Bookman Old Style" w:cs="Arial Unicode MS"/>
          <w:i/>
          <w:sz w:val="24"/>
          <w:szCs w:val="24"/>
          <w:vertAlign w:val="superscript"/>
        </w:rPr>
        <w:t>th</w:t>
      </w:r>
      <w:r w:rsidRPr="008F7F29">
        <w:rPr>
          <w:rFonts w:ascii="Bookman Old Style" w:eastAsia="Arial Unicode MS" w:hAnsi="Bookman Old Style" w:cs="Arial Unicode MS"/>
          <w:i/>
          <w:sz w:val="24"/>
          <w:szCs w:val="24"/>
        </w:rPr>
        <w:t xml:space="preserve"> August, 1998, you wrote a letter to the President in which you levelled serious, and several allegations against the Provincial Executive Committee of Western Province. Mr. Deputy Minister as member of Parliament, you are a member of the District Executive Committee, and a member of the Constituency Executive Committee. The allegations you made against the provincial officials and myself are contrary to the party Constitution. Regulations number 7 (b, f, g, and j), I am giving you fourteen days in which you should</w:t>
      </w:r>
      <w:r w:rsidR="00B81669">
        <w:rPr>
          <w:rFonts w:ascii="Bookman Old Style" w:eastAsia="Arial Unicode MS" w:hAnsi="Bookman Old Style" w:cs="Arial Unicode MS"/>
          <w:i/>
          <w:sz w:val="24"/>
          <w:szCs w:val="24"/>
        </w:rPr>
        <w:t xml:space="preserve"> show</w:t>
      </w:r>
      <w:r w:rsidRPr="008F7F29">
        <w:rPr>
          <w:rFonts w:ascii="Bookman Old Style" w:eastAsia="Arial Unicode MS" w:hAnsi="Bookman Old Style" w:cs="Arial Unicode MS"/>
          <w:i/>
          <w:sz w:val="24"/>
          <w:szCs w:val="24"/>
        </w:rPr>
        <w:t xml:space="preserve"> cause why disciplinary action should not be taken against you.”</w:t>
      </w:r>
    </w:p>
    <w:p w:rsidR="00153D09" w:rsidRPr="008F7F29" w:rsidRDefault="00153D09" w:rsidP="00153D09">
      <w:pPr>
        <w:spacing w:after="0" w:line="240" w:lineRule="auto"/>
        <w:jc w:val="both"/>
        <w:rPr>
          <w:rFonts w:ascii="Bookman Old Style" w:eastAsia="Arial Unicode MS" w:hAnsi="Bookman Old Style" w:cs="Arial Unicode MS"/>
          <w:i/>
          <w:sz w:val="24"/>
          <w:szCs w:val="24"/>
        </w:rPr>
      </w:pPr>
    </w:p>
    <w:p w:rsidR="00153D09" w:rsidRPr="008F7F29" w:rsidRDefault="00153D09" w:rsidP="00153D09">
      <w:p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 xml:space="preserve">But reading through this letter, it was clear that Sata was not happy that his Presidential ambitions had been laid bare in Western Province. Sata alleged that </w:t>
      </w:r>
      <w:r w:rsidRPr="008F7F29">
        <w:rPr>
          <w:rFonts w:ascii="Bookman Old Style" w:eastAsia="Arial Unicode MS" w:hAnsi="Bookman Old Style" w:cs="Arial Unicode MS"/>
          <w:i/>
          <w:sz w:val="24"/>
          <w:szCs w:val="24"/>
        </w:rPr>
        <w:lastRenderedPageBreak/>
        <w:t>Mabenga had on 28</w:t>
      </w:r>
      <w:r w:rsidRPr="008F7F29">
        <w:rPr>
          <w:rFonts w:ascii="Bookman Old Style" w:eastAsia="Arial Unicode MS" w:hAnsi="Bookman Old Style" w:cs="Arial Unicode MS"/>
          <w:i/>
          <w:sz w:val="24"/>
          <w:szCs w:val="24"/>
          <w:vertAlign w:val="superscript"/>
        </w:rPr>
        <w:t>th</w:t>
      </w:r>
      <w:r w:rsidR="00B81669">
        <w:rPr>
          <w:rFonts w:ascii="Bookman Old Style" w:eastAsia="Arial Unicode MS" w:hAnsi="Bookman Old Style" w:cs="Arial Unicode MS"/>
          <w:i/>
          <w:sz w:val="24"/>
          <w:szCs w:val="24"/>
        </w:rPr>
        <w:t xml:space="preserve"> September, 1998, met the V</w:t>
      </w:r>
      <w:r w:rsidRPr="008F7F29">
        <w:rPr>
          <w:rFonts w:ascii="Bookman Old Style" w:eastAsia="Arial Unicode MS" w:hAnsi="Bookman Old Style" w:cs="Arial Unicode MS"/>
          <w:i/>
          <w:sz w:val="24"/>
          <w:szCs w:val="24"/>
        </w:rPr>
        <w:t>ice President together with 8 other Provincial Deputy Ministers. And reported that Sata, the National Secretary was cam</w:t>
      </w:r>
      <w:r w:rsidR="00B81669">
        <w:rPr>
          <w:rFonts w:ascii="Bookman Old Style" w:eastAsia="Arial Unicode MS" w:hAnsi="Bookman Old Style" w:cs="Arial Unicode MS"/>
          <w:i/>
          <w:sz w:val="24"/>
          <w:szCs w:val="24"/>
        </w:rPr>
        <w:t>paigning for the presidency in W</w:t>
      </w:r>
      <w:r w:rsidRPr="008F7F29">
        <w:rPr>
          <w:rFonts w:ascii="Bookman Old Style" w:eastAsia="Arial Unicode MS" w:hAnsi="Bookman Old Style" w:cs="Arial Unicode MS"/>
          <w:i/>
          <w:sz w:val="24"/>
          <w:szCs w:val="24"/>
        </w:rPr>
        <w:t>estern province. Critics say Sata may have further been influential as he claimed this particular allegation was not reported to the President in the letter of 13</w:t>
      </w:r>
      <w:r w:rsidRPr="008F7F29">
        <w:rPr>
          <w:rFonts w:ascii="Bookman Old Style" w:eastAsia="Arial Unicode MS" w:hAnsi="Bookman Old Style" w:cs="Arial Unicode MS"/>
          <w:i/>
          <w:sz w:val="24"/>
          <w:szCs w:val="24"/>
          <w:vertAlign w:val="superscript"/>
        </w:rPr>
        <w:t>th</w:t>
      </w:r>
      <w:r w:rsidRPr="008F7F29">
        <w:rPr>
          <w:rFonts w:ascii="Bookman Old Style" w:eastAsia="Arial Unicode MS" w:hAnsi="Bookman Old Style" w:cs="Arial Unicode MS"/>
          <w:i/>
          <w:sz w:val="24"/>
          <w:szCs w:val="24"/>
        </w:rPr>
        <w:t xml:space="preserve"> August, 1998.”</w:t>
      </w:r>
    </w:p>
    <w:p w:rsidR="00153D09" w:rsidRPr="008F7F29" w:rsidRDefault="00153D09" w:rsidP="00153D09">
      <w:pPr>
        <w:spacing w:after="0" w:line="240" w:lineRule="auto"/>
        <w:jc w:val="both"/>
        <w:rPr>
          <w:rFonts w:ascii="Bookman Old Style" w:eastAsia="Arial Unicode MS" w:hAnsi="Bookman Old Style" w:cs="Arial Unicode MS"/>
          <w:i/>
          <w:sz w:val="24"/>
          <w:szCs w:val="24"/>
        </w:rPr>
      </w:pPr>
    </w:p>
    <w:p w:rsidR="00153D09" w:rsidRDefault="00153D09" w:rsidP="00153D09">
      <w:pPr>
        <w:pStyle w:val="ListParagraph"/>
        <w:numPr>
          <w:ilvl w:val="0"/>
          <w:numId w:val="5"/>
        </w:num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 xml:space="preserve">In his continuous hypnosis of the MMD National Executive Committee, Sata’s most probable ground achievement of all, was the suspension and subsequently expulsion of Ben Mwila; B.Y, as he is fondly known. B.Y. was MMD’s National Treasurer and Minister of Environment and Natural Resources at the time, but many including Sata, considered him a formidable force in view of the fact that Chiluba’s two five year terms would end in 2001, those that were close to Sata attest to the </w:t>
      </w:r>
      <w:r w:rsidR="00B81669">
        <w:rPr>
          <w:rFonts w:ascii="Bookman Old Style" w:eastAsia="Arial Unicode MS" w:hAnsi="Bookman Old Style" w:cs="Arial Unicode MS"/>
          <w:i/>
          <w:sz w:val="24"/>
          <w:szCs w:val="24"/>
        </w:rPr>
        <w:t>fact that the C</w:t>
      </w:r>
      <w:r w:rsidRPr="008F7F29">
        <w:rPr>
          <w:rFonts w:ascii="Bookman Old Style" w:eastAsia="Arial Unicode MS" w:hAnsi="Bookman Old Style" w:cs="Arial Unicode MS"/>
          <w:i/>
          <w:sz w:val="24"/>
          <w:szCs w:val="24"/>
        </w:rPr>
        <w:t>obra breathed a sigh of relief when B.Y. was finally expelled at the NEC meeting held at State House.”</w:t>
      </w:r>
    </w:p>
    <w:p w:rsidR="00153D09" w:rsidRPr="008F7F29" w:rsidRDefault="00153D09" w:rsidP="00153D09">
      <w:pPr>
        <w:pStyle w:val="ListParagraph"/>
        <w:spacing w:after="0" w:line="240" w:lineRule="auto"/>
        <w:ind w:left="1080"/>
        <w:jc w:val="both"/>
        <w:rPr>
          <w:rFonts w:ascii="Bookman Old Style" w:eastAsia="Arial Unicode MS" w:hAnsi="Bookman Old Style" w:cs="Arial Unicode MS"/>
          <w:i/>
          <w:sz w:val="24"/>
          <w:szCs w:val="24"/>
        </w:rPr>
      </w:pPr>
    </w:p>
    <w:p w:rsidR="00153D09" w:rsidRDefault="00153D09" w:rsidP="00153D09">
      <w:pPr>
        <w:pStyle w:val="ListParagraph"/>
        <w:numPr>
          <w:ilvl w:val="0"/>
          <w:numId w:val="5"/>
        </w:num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For Sata the way was now as clear as could be and for him it meant putt</w:t>
      </w:r>
      <w:r w:rsidR="00B81669">
        <w:rPr>
          <w:rFonts w:ascii="Bookman Old Style" w:eastAsia="Arial Unicode MS" w:hAnsi="Bookman Old Style" w:cs="Arial Unicode MS"/>
          <w:i/>
          <w:sz w:val="24"/>
          <w:szCs w:val="24"/>
        </w:rPr>
        <w:t>ing the Third Term take in over</w:t>
      </w:r>
      <w:r w:rsidRPr="008F7F29">
        <w:rPr>
          <w:rFonts w:ascii="Bookman Old Style" w:eastAsia="Arial Unicode MS" w:hAnsi="Bookman Old Style" w:cs="Arial Unicode MS"/>
          <w:i/>
          <w:sz w:val="24"/>
          <w:szCs w:val="24"/>
        </w:rPr>
        <w:t xml:space="preserve">drive. Chiluba had not really  come out to say he would go against the country’s Constitution, or indeed have it amended to seek a Third Term in office, all the politicking was left to Sata who in fact it is believed to have been the architect of the whole theme of the Third Term. It is said Sata conceived the idea knowing too well that Chiluba would not seek a Third Term, and hoping that his loyalty would earn him all the favours, and Chiluba would anoint him his successor.” </w:t>
      </w:r>
    </w:p>
    <w:p w:rsidR="00153D09" w:rsidRPr="0093122A" w:rsidRDefault="00153D09" w:rsidP="00153D09">
      <w:pPr>
        <w:pStyle w:val="ListParagraph"/>
        <w:rPr>
          <w:rFonts w:ascii="Bookman Old Style" w:eastAsia="Arial Unicode MS" w:hAnsi="Bookman Old Style" w:cs="Arial Unicode MS"/>
          <w:i/>
          <w:sz w:val="24"/>
          <w:szCs w:val="24"/>
        </w:rPr>
      </w:pPr>
    </w:p>
    <w:p w:rsidR="00153D09" w:rsidRPr="008F7F29" w:rsidRDefault="00153D09" w:rsidP="00153D09">
      <w:pPr>
        <w:pStyle w:val="ListParagraph"/>
        <w:spacing w:after="0" w:line="240" w:lineRule="auto"/>
        <w:ind w:left="1080"/>
        <w:jc w:val="both"/>
        <w:rPr>
          <w:rFonts w:ascii="Bookman Old Style" w:eastAsia="Arial Unicode MS" w:hAnsi="Bookman Old Style" w:cs="Arial Unicode MS"/>
          <w:i/>
          <w:sz w:val="24"/>
          <w:szCs w:val="24"/>
        </w:rPr>
      </w:pPr>
    </w:p>
    <w:p w:rsidR="00153D09" w:rsidRDefault="00153D09" w:rsidP="00153D09">
      <w:pPr>
        <w:pStyle w:val="ListParagraph"/>
        <w:numPr>
          <w:ilvl w:val="0"/>
          <w:numId w:val="5"/>
        </w:num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 xml:space="preserve">Sata is also reported to have caused a lot of confusion in the Lusaka City Council. The </w:t>
      </w:r>
      <w:r w:rsidR="00B81669" w:rsidRPr="008F7F29">
        <w:rPr>
          <w:rFonts w:ascii="Bookman Old Style" w:eastAsia="Arial Unicode MS" w:hAnsi="Bookman Old Style" w:cs="Arial Unicode MS"/>
          <w:i/>
          <w:sz w:val="24"/>
          <w:szCs w:val="24"/>
        </w:rPr>
        <w:t xml:space="preserve">Weekly Post </w:t>
      </w:r>
      <w:r w:rsidRPr="008F7F29">
        <w:rPr>
          <w:rFonts w:ascii="Bookman Old Style" w:eastAsia="Arial Unicode MS" w:hAnsi="Bookman Old Style" w:cs="Arial Unicode MS"/>
          <w:i/>
          <w:sz w:val="24"/>
          <w:szCs w:val="24"/>
        </w:rPr>
        <w:t>edition number 113 September, 3, to 9, 1993, had this as one of its headlines: “Lusaka’s Great Political Circus.” Reading through this article, Sata who had been transferred from the Ministry of Local Government and Housing to Labour and also Kabwata Member of Parliament</w:t>
      </w:r>
      <w:r w:rsidR="00B81669">
        <w:rPr>
          <w:rFonts w:ascii="Bookman Old Style" w:eastAsia="Arial Unicode MS" w:hAnsi="Bookman Old Style" w:cs="Arial Unicode MS"/>
          <w:i/>
          <w:sz w:val="24"/>
          <w:szCs w:val="24"/>
        </w:rPr>
        <w:t>,</w:t>
      </w:r>
      <w:r w:rsidRPr="008F7F29">
        <w:rPr>
          <w:rFonts w:ascii="Bookman Old Style" w:eastAsia="Arial Unicode MS" w:hAnsi="Bookman Old Style" w:cs="Arial Unicode MS"/>
          <w:i/>
          <w:sz w:val="24"/>
          <w:szCs w:val="24"/>
        </w:rPr>
        <w:t xml:space="preserve"> and the Town Clerk Wynter Kabimba, had taken centre stage. Kabimba was viewed by most councillor’s as Sata’s man.”</w:t>
      </w:r>
    </w:p>
    <w:p w:rsidR="00153D09" w:rsidRPr="008F7F29" w:rsidRDefault="00153D09" w:rsidP="00153D09">
      <w:pPr>
        <w:pStyle w:val="ListParagraph"/>
        <w:spacing w:after="0" w:line="240" w:lineRule="auto"/>
        <w:ind w:left="1080"/>
        <w:jc w:val="both"/>
        <w:rPr>
          <w:rFonts w:ascii="Bookman Old Style" w:eastAsia="Arial Unicode MS" w:hAnsi="Bookman Old Style" w:cs="Arial Unicode MS"/>
          <w:i/>
          <w:sz w:val="24"/>
          <w:szCs w:val="24"/>
        </w:rPr>
      </w:pPr>
    </w:p>
    <w:p w:rsidR="00153D09" w:rsidRDefault="00153D09" w:rsidP="00153D09">
      <w:pPr>
        <w:pStyle w:val="ListParagraph"/>
        <w:numPr>
          <w:ilvl w:val="0"/>
          <w:numId w:val="5"/>
        </w:num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“Yes this article by Masautso Phiri revealed the tale tell signs of wrong doing and under hand methods not only on Sata, but Kabimba as well. There was the issue of the Nalubuto road and Independence Avenue houses. Hotel bills and most of all, the contract in relation to the Merzaf flats in Lusaka’s Chilenje Township.”</w:t>
      </w:r>
    </w:p>
    <w:p w:rsidR="00153D09" w:rsidRPr="0093122A" w:rsidRDefault="00153D09" w:rsidP="00153D09">
      <w:pPr>
        <w:pStyle w:val="ListParagraph"/>
        <w:rPr>
          <w:rFonts w:ascii="Bookman Old Style" w:eastAsia="Arial Unicode MS" w:hAnsi="Bookman Old Style" w:cs="Arial Unicode MS"/>
          <w:i/>
          <w:sz w:val="24"/>
          <w:szCs w:val="24"/>
        </w:rPr>
      </w:pPr>
    </w:p>
    <w:p w:rsidR="00153D09" w:rsidRPr="008F7F29" w:rsidRDefault="00153D09" w:rsidP="00153D09">
      <w:pPr>
        <w:pStyle w:val="ListParagraph"/>
        <w:spacing w:after="0" w:line="240" w:lineRule="auto"/>
        <w:ind w:left="1080"/>
        <w:jc w:val="both"/>
        <w:rPr>
          <w:rFonts w:ascii="Bookman Old Style" w:eastAsia="Arial Unicode MS" w:hAnsi="Bookman Old Style" w:cs="Arial Unicode MS"/>
          <w:i/>
          <w:sz w:val="24"/>
          <w:szCs w:val="24"/>
        </w:rPr>
      </w:pPr>
    </w:p>
    <w:p w:rsidR="00153D09" w:rsidRDefault="00153D09" w:rsidP="00153D09">
      <w:pPr>
        <w:pStyle w:val="ListParagraph"/>
        <w:numPr>
          <w:ilvl w:val="0"/>
          <w:numId w:val="5"/>
        </w:num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w:t>
      </w:r>
      <w:r w:rsidRPr="0090662B">
        <w:rPr>
          <w:rFonts w:ascii="Bookman Old Style" w:eastAsia="Arial Unicode MS" w:hAnsi="Bookman Old Style" w:cs="Arial Unicode MS"/>
          <w:i/>
          <w:sz w:val="24"/>
          <w:szCs w:val="24"/>
        </w:rPr>
        <w:t>Your see, Sata’s scheming and dirty politics go back a long way</w:t>
      </w:r>
      <w:r w:rsidRPr="008F7F29">
        <w:rPr>
          <w:rFonts w:ascii="Bookman Old Style" w:eastAsia="Arial Unicode MS" w:hAnsi="Bookman Old Style" w:cs="Arial Unicode MS"/>
          <w:i/>
          <w:sz w:val="24"/>
          <w:szCs w:val="24"/>
        </w:rPr>
        <w:t xml:space="preserve">. In the UNIP one party era, he is said to have gone to an opponent’s grocery </w:t>
      </w:r>
      <w:r w:rsidRPr="008F7F29">
        <w:rPr>
          <w:rFonts w:ascii="Bookman Old Style" w:eastAsia="Arial Unicode MS" w:hAnsi="Bookman Old Style" w:cs="Arial Unicode MS"/>
          <w:i/>
          <w:sz w:val="24"/>
          <w:szCs w:val="24"/>
        </w:rPr>
        <w:lastRenderedPageBreak/>
        <w:t xml:space="preserve">store somewhere in Chilenje township, and bought off all the stocks which he immediately distributed to his supporters. According to </w:t>
      </w:r>
      <w:r w:rsidR="00B81669">
        <w:rPr>
          <w:rFonts w:ascii="Bookman Old Style" w:eastAsia="Arial Unicode MS" w:hAnsi="Bookman Old Style" w:cs="Arial Unicode MS"/>
          <w:i/>
          <w:sz w:val="24"/>
          <w:szCs w:val="24"/>
        </w:rPr>
        <w:t xml:space="preserve">eye witnesses </w:t>
      </w:r>
      <w:r w:rsidRPr="008F7F29">
        <w:rPr>
          <w:rFonts w:ascii="Bookman Old Style" w:eastAsia="Arial Unicode MS" w:hAnsi="Bookman Old Style" w:cs="Arial Unicode MS"/>
          <w:i/>
          <w:sz w:val="24"/>
          <w:szCs w:val="24"/>
        </w:rPr>
        <w:t xml:space="preserve">his opponents shop was left empty, and remained so for many many months. When Mpulungu Member of Parliament Lameck Chibombamilimo passed on, Sata issued all sorts of statements in effect pointing a finger at Rupiah Banda’s administration as being responsible for the MP’s passing. </w:t>
      </w:r>
      <w:r w:rsidRPr="0090662B">
        <w:rPr>
          <w:rFonts w:ascii="Bookman Old Style" w:eastAsia="Arial Unicode MS" w:hAnsi="Bookman Old Style" w:cs="Arial Unicode MS"/>
          <w:i/>
          <w:sz w:val="24"/>
          <w:szCs w:val="24"/>
        </w:rPr>
        <w:t>Yet Sata, in 1994, was said to have been behind the dirty tricks that led to Chibombamilimo’s losing his position as MMD Lusaka Provincial Secretary.</w:t>
      </w:r>
      <w:r w:rsidRPr="008F7F29">
        <w:rPr>
          <w:rFonts w:ascii="Bookman Old Style" w:eastAsia="Arial Unicode MS" w:hAnsi="Bookman Old Style" w:cs="Arial Unicode MS"/>
          <w:i/>
          <w:sz w:val="24"/>
          <w:szCs w:val="24"/>
        </w:rPr>
        <w:t xml:space="preserve"> It is believed that the two could not see eye to eye, and it remained so for a long time. I doubt if there was any reconciliation.” </w:t>
      </w:r>
    </w:p>
    <w:p w:rsidR="00153D09" w:rsidRPr="008F7F29" w:rsidRDefault="00153D09" w:rsidP="00153D09">
      <w:pPr>
        <w:pStyle w:val="ListParagraph"/>
        <w:spacing w:after="0" w:line="240" w:lineRule="auto"/>
        <w:ind w:left="1080"/>
        <w:jc w:val="both"/>
        <w:rPr>
          <w:rFonts w:ascii="Bookman Old Style" w:eastAsia="Arial Unicode MS" w:hAnsi="Bookman Old Style" w:cs="Arial Unicode MS"/>
          <w:i/>
          <w:sz w:val="24"/>
          <w:szCs w:val="24"/>
        </w:rPr>
      </w:pPr>
    </w:p>
    <w:p w:rsidR="00153D09" w:rsidRPr="008F7F29" w:rsidRDefault="00153D09" w:rsidP="00153D09">
      <w:pPr>
        <w:pStyle w:val="ListParagraph"/>
        <w:numPr>
          <w:ilvl w:val="0"/>
          <w:numId w:val="5"/>
        </w:num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 xml:space="preserve">“Right now Sata’s Patriotic Front is embroiled in a serious feud with Hakainde Hichelema’s UPND in a relationship referred to as the PF, UPND Pact. From the time it was heard that these two parties were going into such an arrangement those that knew Sata could laugh. Today it is clear as a fine October, morning </w:t>
      </w:r>
      <w:r w:rsidR="00B81669">
        <w:rPr>
          <w:rFonts w:ascii="Bookman Old Style" w:eastAsia="Arial Unicode MS" w:hAnsi="Bookman Old Style" w:cs="Arial Unicode MS"/>
          <w:i/>
          <w:sz w:val="24"/>
          <w:szCs w:val="24"/>
        </w:rPr>
        <w:t>t</w:t>
      </w:r>
      <w:r w:rsidRPr="008F7F29">
        <w:rPr>
          <w:rFonts w:ascii="Bookman Old Style" w:eastAsia="Arial Unicode MS" w:hAnsi="Bookman Old Style" w:cs="Arial Unicode MS"/>
          <w:i/>
          <w:sz w:val="24"/>
          <w:szCs w:val="24"/>
        </w:rPr>
        <w:t xml:space="preserve">hat this Pact is in real trouble. Critics are simply putting it this way if you want to know whether two Dobermans, Alsatians or Mongrels lying side by side are in good books, just throw a bone in one direction, and boy, or, boy you will be shocked how they will run for </w:t>
      </w:r>
      <w:r w:rsidR="00B81669">
        <w:rPr>
          <w:rFonts w:ascii="Bookman Old Style" w:eastAsia="Arial Unicode MS" w:hAnsi="Bookman Old Style" w:cs="Arial Unicode MS"/>
          <w:i/>
          <w:sz w:val="24"/>
          <w:szCs w:val="24"/>
        </w:rPr>
        <w:t xml:space="preserve">the </w:t>
      </w:r>
      <w:r w:rsidRPr="008F7F29">
        <w:rPr>
          <w:rFonts w:ascii="Bookman Old Style" w:eastAsia="Arial Unicode MS" w:hAnsi="Bookman Old Style" w:cs="Arial Unicode MS"/>
          <w:i/>
          <w:sz w:val="24"/>
          <w:szCs w:val="24"/>
        </w:rPr>
        <w:t xml:space="preserve">bone, and fight to a point where the third Alsatian or Doberman, which had nothing to do with the fight will simply pick the bone and go away. By the time the two are done with the fighting, licking their wounds in the process all they will be able to pick is the scent of the bone, the Pact is being described in this manner by some people, I am getting into contact with, who say they are keen followers of “Stand up for Zambia,” </w:t>
      </w:r>
      <w:r w:rsidRPr="0090662B">
        <w:rPr>
          <w:rFonts w:ascii="Bookman Old Style" w:eastAsia="Arial Unicode MS" w:hAnsi="Bookman Old Style" w:cs="Arial Unicode MS"/>
          <w:i/>
          <w:sz w:val="24"/>
          <w:szCs w:val="24"/>
        </w:rPr>
        <w:t>others are simply wondering if a ruffian or looper and a gentleman can really co-exist.</w:t>
      </w:r>
      <w:r w:rsidRPr="008F7F29">
        <w:rPr>
          <w:rFonts w:ascii="Bookman Old Style" w:eastAsia="Arial Unicode MS" w:hAnsi="Bookman Old Style" w:cs="Arial Unicode MS"/>
          <w:i/>
          <w:sz w:val="24"/>
          <w:szCs w:val="24"/>
        </w:rPr>
        <w:t xml:space="preserve"> The PF UPND Pact is also being referred to as a double headed snake, with hard core critics calling it a gay marriage which can’t bear fruit. One person actually made me laugh when he said, “you see Chanda in the world of Adam and Eve you are able to see fruitful results</w:t>
      </w:r>
      <w:r w:rsidR="00C12D00">
        <w:rPr>
          <w:rFonts w:ascii="Bookman Old Style" w:eastAsia="Arial Unicode MS" w:hAnsi="Bookman Old Style" w:cs="Arial Unicode MS"/>
          <w:i/>
          <w:sz w:val="24"/>
          <w:szCs w:val="24"/>
        </w:rPr>
        <w:t>. B</w:t>
      </w:r>
      <w:r w:rsidRPr="008F7F29">
        <w:rPr>
          <w:rFonts w:ascii="Bookman Old Style" w:eastAsia="Arial Unicode MS" w:hAnsi="Bookman Old Style" w:cs="Arial Unicode MS"/>
          <w:i/>
          <w:sz w:val="24"/>
          <w:szCs w:val="24"/>
        </w:rPr>
        <w:t>ut this PF UPND Pact is like gay marriages we hear of, that do not bear any fruit that’s why it will never work.”</w:t>
      </w:r>
    </w:p>
    <w:p w:rsidR="00153D09" w:rsidRDefault="00153D09" w:rsidP="00153D09">
      <w:pPr>
        <w:spacing w:after="0" w:line="240" w:lineRule="auto"/>
        <w:ind w:left="1080"/>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“One thing that we all ought to bear in mind always remember that Zambia is not only about two tribes; Tonga and Bemba. No matter how big they may be perceived to be, Zambia is run by 73 tribes and perhaps a little more, all working together for mother Zambia. Now if Sata and Hichilema think they can get to</w:t>
      </w:r>
      <w:r w:rsidR="00C12D00">
        <w:rPr>
          <w:rFonts w:ascii="Bookman Old Style" w:eastAsia="Arial Unicode MS" w:hAnsi="Bookman Old Style" w:cs="Arial Unicode MS"/>
          <w:i/>
          <w:sz w:val="24"/>
          <w:szCs w:val="24"/>
        </w:rPr>
        <w:t xml:space="preserve"> State House riding on the tribal</w:t>
      </w:r>
      <w:r w:rsidRPr="008F7F29">
        <w:rPr>
          <w:rFonts w:ascii="Bookman Old Style" w:eastAsia="Arial Unicode MS" w:hAnsi="Bookman Old Style" w:cs="Arial Unicode MS"/>
          <w:i/>
          <w:sz w:val="24"/>
          <w:szCs w:val="24"/>
        </w:rPr>
        <w:t xml:space="preserve"> factor, they are wasting their time, resources, and energies.”</w:t>
      </w:r>
    </w:p>
    <w:p w:rsidR="00153D09" w:rsidRPr="008F7F29" w:rsidRDefault="00153D09" w:rsidP="00153D09">
      <w:pPr>
        <w:spacing w:after="0" w:line="240" w:lineRule="auto"/>
        <w:jc w:val="both"/>
        <w:rPr>
          <w:rFonts w:ascii="Bookman Old Style" w:eastAsia="Arial Unicode MS" w:hAnsi="Bookman Old Style" w:cs="Arial Unicode MS"/>
          <w:i/>
          <w:sz w:val="24"/>
          <w:szCs w:val="24"/>
        </w:rPr>
      </w:pPr>
    </w:p>
    <w:p w:rsidR="00153D09" w:rsidRPr="0090662B" w:rsidRDefault="00153D09" w:rsidP="00153D09">
      <w:pPr>
        <w:pStyle w:val="ListParagraph"/>
        <w:numPr>
          <w:ilvl w:val="0"/>
          <w:numId w:val="5"/>
        </w:num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Remember Sata as the all too powerful Nationa</w:t>
      </w:r>
      <w:r w:rsidR="00B81669">
        <w:rPr>
          <w:rFonts w:ascii="Bookman Old Style" w:eastAsia="Arial Unicode MS" w:hAnsi="Bookman Old Style" w:cs="Arial Unicode MS"/>
          <w:i/>
          <w:sz w:val="24"/>
          <w:szCs w:val="24"/>
        </w:rPr>
        <w:t>l Secretary of the MMD smeared v</w:t>
      </w:r>
      <w:r w:rsidRPr="008F7F29">
        <w:rPr>
          <w:rFonts w:ascii="Bookman Old Style" w:eastAsia="Arial Unicode MS" w:hAnsi="Bookman Old Style" w:cs="Arial Unicode MS"/>
          <w:i/>
          <w:sz w:val="24"/>
          <w:szCs w:val="24"/>
        </w:rPr>
        <w:t xml:space="preserve">enon on all who had semblance for leadership, and he was pretty sure he would clear his way to the top. He was pretty sure he had succeeded. But yes there was a sleeping giant somewhere who was awaken, and that in my view was a clear indication that Sata </w:t>
      </w:r>
      <w:r w:rsidRPr="008F7F29">
        <w:rPr>
          <w:rFonts w:ascii="Bookman Old Style" w:eastAsia="Arial Unicode MS" w:hAnsi="Bookman Old Style" w:cs="Arial Unicode MS"/>
          <w:i/>
          <w:sz w:val="24"/>
          <w:szCs w:val="24"/>
        </w:rPr>
        <w:lastRenderedPageBreak/>
        <w:t xml:space="preserve">would never be President in this country. I am pretty sure that God has a plan for this country, and only He knows reasons why Sata has been rejected three times in democratically run elections. </w:t>
      </w:r>
      <w:r w:rsidRPr="0090662B">
        <w:rPr>
          <w:rFonts w:ascii="Bookman Old Style" w:eastAsia="Arial Unicode MS" w:hAnsi="Bookman Old Style" w:cs="Arial Unicode MS"/>
          <w:i/>
          <w:sz w:val="24"/>
          <w:szCs w:val="24"/>
        </w:rPr>
        <w:t xml:space="preserve">But it appears both Sata, and Hichilema have a great appetite for State House to the effect that they are failing to run their own parties.” </w:t>
      </w:r>
    </w:p>
    <w:p w:rsidR="00153D09" w:rsidRPr="008F7F29" w:rsidRDefault="00153D09" w:rsidP="00153D09">
      <w:pPr>
        <w:pStyle w:val="ListParagraph"/>
        <w:spacing w:after="0" w:line="240" w:lineRule="auto"/>
        <w:ind w:left="1080"/>
        <w:jc w:val="both"/>
        <w:rPr>
          <w:rFonts w:ascii="Bookman Old Style" w:eastAsia="Arial Unicode MS" w:hAnsi="Bookman Old Style" w:cs="Arial Unicode MS"/>
          <w:i/>
          <w:sz w:val="24"/>
          <w:szCs w:val="24"/>
        </w:rPr>
      </w:pPr>
    </w:p>
    <w:p w:rsidR="00153D09" w:rsidRDefault="00153D09" w:rsidP="00153D09">
      <w:pPr>
        <w:pStyle w:val="ListParagraph"/>
        <w:numPr>
          <w:ilvl w:val="0"/>
          <w:numId w:val="5"/>
        </w:num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 xml:space="preserve">“As opposed to what Sata’s and Hichilema’s lieutenants are on record as saying, the Pact is not driven by the people, but by Sata and Hichilema. In the run up to both the 2006 and 2008 elections, Sata and Hichilema were at each other’s throats like no one’s business. Yes, like two Dobermans fighting for the highly prized </w:t>
      </w:r>
      <w:r w:rsidR="00B81669">
        <w:rPr>
          <w:rFonts w:ascii="Bookman Old Style" w:eastAsia="Arial Unicode MS" w:hAnsi="Bookman Old Style" w:cs="Arial Unicode MS"/>
          <w:i/>
          <w:sz w:val="24"/>
          <w:szCs w:val="24"/>
        </w:rPr>
        <w:t>bone. It is said that when the C</w:t>
      </w:r>
      <w:r w:rsidRPr="008F7F29">
        <w:rPr>
          <w:rFonts w:ascii="Bookman Old Style" w:eastAsia="Arial Unicode MS" w:hAnsi="Bookman Old Style" w:cs="Arial Unicode MS"/>
          <w:i/>
          <w:sz w:val="24"/>
          <w:szCs w:val="24"/>
        </w:rPr>
        <w:t>obra spits in your eyes, you naturally close them, and in the process you lose direction. Hichilema has been described by his critics as having lost direction politically. Hard liners in the UPND say that if Mazoka was still traversing this world we live in today, chances of him bringing the UPND in a Pact with the Sata’s PF would have b</w:t>
      </w:r>
      <w:r w:rsidR="00B81669">
        <w:rPr>
          <w:rFonts w:ascii="Bookman Old Style" w:eastAsia="Arial Unicode MS" w:hAnsi="Bookman Old Style" w:cs="Arial Unicode MS"/>
          <w:i/>
          <w:sz w:val="24"/>
          <w:szCs w:val="24"/>
        </w:rPr>
        <w:t>een extremely slim or n</w:t>
      </w:r>
      <w:r w:rsidRPr="008F7F29">
        <w:rPr>
          <w:rFonts w:ascii="Bookman Old Style" w:eastAsia="Arial Unicode MS" w:hAnsi="Bookman Old Style" w:cs="Arial Unicode MS"/>
          <w:i/>
          <w:sz w:val="24"/>
          <w:szCs w:val="24"/>
        </w:rPr>
        <w:t>one at all</w:t>
      </w:r>
      <w:r w:rsidR="00B81669">
        <w:rPr>
          <w:rFonts w:ascii="Bookman Old Style" w:eastAsia="Arial Unicode MS" w:hAnsi="Bookman Old Style" w:cs="Arial Unicode MS"/>
          <w:i/>
          <w:sz w:val="24"/>
          <w:szCs w:val="24"/>
        </w:rPr>
        <w:t>.</w:t>
      </w:r>
      <w:r w:rsidRPr="008F7F29">
        <w:rPr>
          <w:rFonts w:ascii="Bookman Old Style" w:eastAsia="Arial Unicode MS" w:hAnsi="Bookman Old Style" w:cs="Arial Unicode MS"/>
          <w:i/>
          <w:sz w:val="24"/>
          <w:szCs w:val="24"/>
        </w:rPr>
        <w:t xml:space="preserve"> Some analysists also predict that when all is said and done, Hichilema will be in the political intensive care unit, and Sata with escape with minor bruises. The PF-UPND Pact is nothing but the tower of Babylon. No sugar coating of any sort will prevent it from crumbling. It’s all there to see.”</w:t>
      </w:r>
    </w:p>
    <w:p w:rsidR="00752168" w:rsidRDefault="00752168" w:rsidP="00752168">
      <w:pPr>
        <w:spacing w:after="0" w:line="240" w:lineRule="auto"/>
        <w:jc w:val="both"/>
        <w:rPr>
          <w:rFonts w:ascii="Bookman Old Style" w:eastAsia="Arial Unicode MS" w:hAnsi="Bookman Old Style" w:cs="Arial Unicode MS"/>
          <w:i/>
          <w:sz w:val="24"/>
          <w:szCs w:val="24"/>
        </w:rPr>
      </w:pPr>
    </w:p>
    <w:p w:rsidR="00153D09" w:rsidRPr="00752168" w:rsidRDefault="00153D09" w:rsidP="00752168">
      <w:pPr>
        <w:pStyle w:val="ListParagraph"/>
        <w:numPr>
          <w:ilvl w:val="0"/>
          <w:numId w:val="28"/>
        </w:numPr>
        <w:spacing w:after="0" w:line="240" w:lineRule="auto"/>
        <w:jc w:val="both"/>
        <w:rPr>
          <w:rFonts w:ascii="Bookman Old Style" w:eastAsia="Arial Unicode MS" w:hAnsi="Bookman Old Style" w:cs="Arial Unicode MS"/>
          <w:i/>
          <w:sz w:val="24"/>
          <w:szCs w:val="24"/>
        </w:rPr>
      </w:pPr>
      <w:r w:rsidRPr="00752168">
        <w:rPr>
          <w:rFonts w:ascii="Bookman Old Style" w:eastAsia="Arial Unicode MS" w:hAnsi="Bookman Old Style" w:cs="Arial Unicode MS"/>
          <w:i/>
          <w:sz w:val="24"/>
          <w:szCs w:val="24"/>
        </w:rPr>
        <w:t>“</w:t>
      </w:r>
      <w:r w:rsidRPr="00752168">
        <w:rPr>
          <w:rFonts w:ascii="Bookman Old Style" w:eastAsia="Arial Unicode MS" w:hAnsi="Bookman Old Style" w:cs="Arial Unicode MS"/>
          <w:b/>
          <w:i/>
          <w:sz w:val="24"/>
          <w:szCs w:val="24"/>
        </w:rPr>
        <w:t>The Unholy Alliance.”</w:t>
      </w:r>
      <w:r w:rsidRPr="00752168">
        <w:rPr>
          <w:rFonts w:ascii="Bookman Old Style" w:eastAsia="Arial Unicode MS" w:hAnsi="Bookman Old Style" w:cs="Arial Unicode MS"/>
          <w:i/>
          <w:sz w:val="24"/>
          <w:szCs w:val="24"/>
        </w:rPr>
        <w:t xml:space="preserve"> </w:t>
      </w:r>
    </w:p>
    <w:p w:rsidR="00153D09" w:rsidRPr="0093122A" w:rsidRDefault="00153D09" w:rsidP="00153D09">
      <w:pPr>
        <w:pStyle w:val="ListParagraph"/>
        <w:spacing w:after="0" w:line="240" w:lineRule="auto"/>
        <w:jc w:val="both"/>
        <w:rPr>
          <w:rFonts w:ascii="Bookman Old Style" w:eastAsia="Arial Unicode MS" w:hAnsi="Bookman Old Style" w:cs="Arial Unicode MS"/>
          <w:i/>
          <w:sz w:val="24"/>
          <w:szCs w:val="24"/>
        </w:rPr>
      </w:pPr>
    </w:p>
    <w:p w:rsidR="00153D09" w:rsidRPr="0090662B" w:rsidRDefault="00153D09" w:rsidP="00153D09">
      <w:pPr>
        <w:pStyle w:val="ListParagraph"/>
        <w:numPr>
          <w:ilvl w:val="0"/>
          <w:numId w:val="6"/>
        </w:numPr>
        <w:spacing w:before="240" w:line="240" w:lineRule="auto"/>
        <w:jc w:val="both"/>
        <w:rPr>
          <w:rFonts w:ascii="Bookman Old Style" w:eastAsia="Arial Unicode MS" w:hAnsi="Bookman Old Style" w:cs="Arial Unicode MS"/>
          <w:i/>
          <w:sz w:val="24"/>
          <w:szCs w:val="24"/>
        </w:rPr>
      </w:pPr>
      <w:r w:rsidRPr="0090662B">
        <w:rPr>
          <w:rFonts w:ascii="Bookman Old Style" w:eastAsia="Arial Unicode MS" w:hAnsi="Bookman Old Style" w:cs="Arial Unicode MS"/>
          <w:i/>
          <w:sz w:val="24"/>
          <w:szCs w:val="24"/>
        </w:rPr>
        <w:t>Sata has no respect for traditional leaders, he has belittled the chiefs;</w:t>
      </w:r>
    </w:p>
    <w:p w:rsidR="00153D09" w:rsidRPr="0090662B" w:rsidRDefault="00153D09" w:rsidP="00153D09">
      <w:pPr>
        <w:pStyle w:val="ListParagraph"/>
        <w:numPr>
          <w:ilvl w:val="0"/>
          <w:numId w:val="6"/>
        </w:numPr>
        <w:spacing w:before="240" w:line="240" w:lineRule="auto"/>
        <w:jc w:val="both"/>
        <w:rPr>
          <w:rFonts w:ascii="Bookman Old Style" w:eastAsia="Arial Unicode MS" w:hAnsi="Bookman Old Style" w:cs="Arial Unicode MS"/>
          <w:i/>
          <w:sz w:val="24"/>
          <w:szCs w:val="24"/>
        </w:rPr>
      </w:pPr>
      <w:r w:rsidRPr="0090662B">
        <w:rPr>
          <w:rFonts w:ascii="Bookman Old Style" w:eastAsia="Arial Unicode MS" w:hAnsi="Bookman Old Style" w:cs="Arial Unicode MS"/>
          <w:i/>
          <w:sz w:val="24"/>
          <w:szCs w:val="24"/>
        </w:rPr>
        <w:t>“He wants to get to State House at all costs;”</w:t>
      </w:r>
    </w:p>
    <w:p w:rsidR="00153D09" w:rsidRPr="008F7F29" w:rsidRDefault="00153D09" w:rsidP="00153D09">
      <w:pPr>
        <w:pStyle w:val="ListParagraph"/>
        <w:numPr>
          <w:ilvl w:val="0"/>
          <w:numId w:val="6"/>
        </w:numPr>
        <w:spacing w:before="24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Sata was not up to reconciliation with Mwanawasa. He offered his party, Mwanawasa was no fool, he could not take his offer.”</w:t>
      </w:r>
    </w:p>
    <w:p w:rsidR="00153D09" w:rsidRPr="0090662B" w:rsidRDefault="00153D09" w:rsidP="00153D09">
      <w:pPr>
        <w:pStyle w:val="ListParagraph"/>
        <w:numPr>
          <w:ilvl w:val="0"/>
          <w:numId w:val="6"/>
        </w:numPr>
        <w:spacing w:before="240" w:line="240" w:lineRule="auto"/>
        <w:jc w:val="both"/>
        <w:rPr>
          <w:rFonts w:ascii="Bookman Old Style" w:eastAsia="Arial Unicode MS" w:hAnsi="Bookman Old Style" w:cs="Arial Unicode MS"/>
          <w:i/>
          <w:sz w:val="24"/>
          <w:szCs w:val="24"/>
        </w:rPr>
      </w:pPr>
      <w:r w:rsidRPr="0090662B">
        <w:rPr>
          <w:rFonts w:ascii="Bookman Old Style" w:eastAsia="Arial Unicode MS" w:hAnsi="Bookman Old Style" w:cs="Arial Unicode MS"/>
          <w:i/>
          <w:sz w:val="24"/>
          <w:szCs w:val="24"/>
        </w:rPr>
        <w:t xml:space="preserve">The whole thing about the Red Card campaign is not Father Bwalya’s own baby as such, but was coined by the Patriotic Front, the Post Newspaper, and in association with some leaders of the Catholic Church. </w:t>
      </w:r>
    </w:p>
    <w:p w:rsidR="00153D09" w:rsidRPr="0090662B" w:rsidRDefault="00153D09" w:rsidP="00153D09">
      <w:pPr>
        <w:pStyle w:val="ListParagraph"/>
        <w:numPr>
          <w:ilvl w:val="0"/>
          <w:numId w:val="6"/>
        </w:numPr>
        <w:spacing w:before="240" w:line="240" w:lineRule="auto"/>
        <w:jc w:val="both"/>
        <w:rPr>
          <w:rFonts w:ascii="Bookman Old Style" w:eastAsia="Arial Unicode MS" w:hAnsi="Bookman Old Style" w:cs="Arial Unicode MS"/>
          <w:i/>
          <w:sz w:val="24"/>
          <w:szCs w:val="24"/>
        </w:rPr>
      </w:pPr>
      <w:r w:rsidRPr="0090662B">
        <w:rPr>
          <w:rFonts w:ascii="Bookman Old Style" w:eastAsia="Arial Unicode MS" w:hAnsi="Bookman Old Style" w:cs="Arial Unicode MS"/>
          <w:i/>
          <w:sz w:val="24"/>
          <w:szCs w:val="24"/>
        </w:rPr>
        <w:t xml:space="preserve">“Could there be unholy alliance between the Post, the Catholic Church, and Patriotic front. Pointers are there to show that there is some element of truth.” </w:t>
      </w:r>
    </w:p>
    <w:p w:rsidR="00153D09" w:rsidRPr="0090662B" w:rsidRDefault="00153D09" w:rsidP="00153D09">
      <w:pPr>
        <w:pStyle w:val="ListParagraph"/>
        <w:numPr>
          <w:ilvl w:val="0"/>
          <w:numId w:val="6"/>
        </w:numPr>
        <w:spacing w:before="240" w:line="240" w:lineRule="auto"/>
        <w:jc w:val="both"/>
        <w:rPr>
          <w:rFonts w:ascii="Bookman Old Style" w:eastAsia="Arial Unicode MS" w:hAnsi="Bookman Old Style" w:cs="Arial Unicode MS"/>
          <w:i/>
          <w:sz w:val="24"/>
          <w:szCs w:val="24"/>
        </w:rPr>
      </w:pPr>
      <w:r w:rsidRPr="0090662B">
        <w:rPr>
          <w:rFonts w:ascii="Bookman Old Style" w:eastAsia="Arial Unicode MS" w:hAnsi="Bookman Old Style" w:cs="Arial Unicode MS"/>
          <w:i/>
          <w:sz w:val="24"/>
          <w:szCs w:val="24"/>
        </w:rPr>
        <w:t>Sata’s appetite for plot one is so great that he has even brought to his party former foes, and appointed them to senior positions in his Central Committee.</w:t>
      </w:r>
    </w:p>
    <w:p w:rsidR="00752168" w:rsidRDefault="00153D09" w:rsidP="00153D09">
      <w:pPr>
        <w:pStyle w:val="ListParagraph"/>
        <w:numPr>
          <w:ilvl w:val="0"/>
          <w:numId w:val="6"/>
        </w:numPr>
        <w:spacing w:before="24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Sata’s critics have always contended that the biggest mistake that ever happened to the MMD was Sata being elected as National Secretary. They say that his dictatorial ways did not take long to manifest as he almost immediately started creating his own rules. A typical example was in a circular dated 16</w:t>
      </w:r>
      <w:r w:rsidRPr="008F7F29">
        <w:rPr>
          <w:rFonts w:ascii="Bookman Old Style" w:eastAsia="Arial Unicode MS" w:hAnsi="Bookman Old Style" w:cs="Arial Unicode MS"/>
          <w:i/>
          <w:sz w:val="24"/>
          <w:szCs w:val="24"/>
          <w:vertAlign w:val="superscript"/>
        </w:rPr>
        <w:t>th</w:t>
      </w:r>
      <w:r w:rsidRPr="008F7F29">
        <w:rPr>
          <w:rFonts w:ascii="Bookman Old Style" w:eastAsia="Arial Unicode MS" w:hAnsi="Bookman Old Style" w:cs="Arial Unicode MS"/>
          <w:i/>
          <w:sz w:val="24"/>
          <w:szCs w:val="24"/>
        </w:rPr>
        <w:t xml:space="preserve"> November, 1997, a copy of which is shown here addressed to Commissioners, Provincial Chairmen, Provincial Secretaries, Co-odinators and district organisers.It was headed “Election Regulations.” Almost all the seven hand out regulations, are </w:t>
      </w:r>
      <w:r w:rsidRPr="008F7F29">
        <w:rPr>
          <w:rFonts w:ascii="Bookman Old Style" w:eastAsia="Arial Unicode MS" w:hAnsi="Bookman Old Style" w:cs="Arial Unicode MS"/>
          <w:i/>
          <w:sz w:val="24"/>
          <w:szCs w:val="24"/>
        </w:rPr>
        <w:lastRenderedPageBreak/>
        <w:t>said to have been unpopular with party members, but Sata in his own way, and his venom took a toll on some not so lucky MMD members and officials.”</w:t>
      </w:r>
      <w:r w:rsidR="00752168">
        <w:rPr>
          <w:rFonts w:ascii="Bookman Old Style" w:eastAsia="Arial Unicode MS" w:hAnsi="Bookman Old Style" w:cs="Arial Unicode MS"/>
          <w:i/>
          <w:sz w:val="24"/>
          <w:szCs w:val="24"/>
        </w:rPr>
        <w:t xml:space="preserve"> </w:t>
      </w:r>
    </w:p>
    <w:p w:rsidR="00153D09" w:rsidRPr="00752168" w:rsidRDefault="00153D09" w:rsidP="0090662B">
      <w:pPr>
        <w:spacing w:before="240" w:line="36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sz w:val="24"/>
          <w:szCs w:val="24"/>
        </w:rPr>
        <w:t>The plaintiff contends in paragraph 8 of the statement claim,</w:t>
      </w:r>
      <w:r w:rsidR="00B81669">
        <w:rPr>
          <w:rFonts w:ascii="Bookman Old Style" w:eastAsia="Arial Unicode MS" w:hAnsi="Bookman Old Style" w:cs="Arial Unicode MS"/>
          <w:sz w:val="24"/>
          <w:szCs w:val="24"/>
        </w:rPr>
        <w:t xml:space="preserve"> that the words, and</w:t>
      </w:r>
      <w:r w:rsidRPr="008F7F29">
        <w:rPr>
          <w:rFonts w:ascii="Bookman Old Style" w:eastAsia="Arial Unicode MS" w:hAnsi="Bookman Old Style" w:cs="Arial Unicode MS"/>
          <w:sz w:val="24"/>
          <w:szCs w:val="24"/>
        </w:rPr>
        <w:t xml:space="preserve"> images referred to above are understood to mean:-</w:t>
      </w:r>
    </w:p>
    <w:p w:rsidR="00153D09" w:rsidRPr="008F7F29" w:rsidRDefault="00153D09" w:rsidP="00153D09">
      <w:pPr>
        <w:pStyle w:val="ListParagraph"/>
        <w:numPr>
          <w:ilvl w:val="0"/>
          <w:numId w:val="7"/>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That the plaintiff </w:t>
      </w:r>
      <w:r w:rsidRPr="0090662B">
        <w:rPr>
          <w:rFonts w:ascii="Bookman Old Style" w:eastAsia="Arial Unicode MS" w:hAnsi="Bookman Old Style" w:cs="Arial Unicode MS"/>
          <w:sz w:val="24"/>
          <w:szCs w:val="24"/>
        </w:rPr>
        <w:t>is a schemer,</w:t>
      </w:r>
      <w:r w:rsidRPr="008F7F29">
        <w:rPr>
          <w:rFonts w:ascii="Bookman Old Style" w:eastAsia="Arial Unicode MS" w:hAnsi="Bookman Old Style" w:cs="Arial Unicode MS"/>
          <w:sz w:val="24"/>
          <w:szCs w:val="24"/>
        </w:rPr>
        <w:t xml:space="preserve"> and has been engaged in</w:t>
      </w:r>
      <w:r w:rsidR="00B81669">
        <w:rPr>
          <w:rFonts w:ascii="Bookman Old Style" w:eastAsia="Arial Unicode MS" w:hAnsi="Bookman Old Style" w:cs="Arial Unicode MS"/>
          <w:sz w:val="24"/>
          <w:szCs w:val="24"/>
        </w:rPr>
        <w:t xml:space="preserve"> </w:t>
      </w:r>
      <w:r w:rsidR="00B81669" w:rsidRPr="0090662B">
        <w:rPr>
          <w:rFonts w:ascii="Bookman Old Style" w:eastAsia="Arial Unicode MS" w:hAnsi="Bookman Old Style" w:cs="Arial Unicode MS"/>
          <w:sz w:val="24"/>
          <w:szCs w:val="24"/>
        </w:rPr>
        <w:t>dirty politics</w:t>
      </w:r>
      <w:r w:rsidR="00B81669">
        <w:rPr>
          <w:rFonts w:ascii="Bookman Old Style" w:eastAsia="Arial Unicode MS" w:hAnsi="Bookman Old Style" w:cs="Arial Unicode MS"/>
          <w:sz w:val="24"/>
          <w:szCs w:val="24"/>
        </w:rPr>
        <w:t xml:space="preserve"> for a long time;</w:t>
      </w:r>
    </w:p>
    <w:p w:rsidR="00153D09" w:rsidRPr="008F7F29" w:rsidRDefault="00153D09" w:rsidP="00153D09">
      <w:pPr>
        <w:pStyle w:val="ListParagraph"/>
        <w:numPr>
          <w:ilvl w:val="0"/>
          <w:numId w:val="7"/>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That the plaintiff as National Secretary of MMD </w:t>
      </w:r>
      <w:r w:rsidRPr="0090662B">
        <w:rPr>
          <w:rFonts w:ascii="Bookman Old Style" w:eastAsia="Arial Unicode MS" w:hAnsi="Bookman Old Style" w:cs="Arial Unicode MS"/>
          <w:sz w:val="24"/>
          <w:szCs w:val="24"/>
        </w:rPr>
        <w:t>manipulated</w:t>
      </w:r>
      <w:r w:rsidRPr="008F7F29">
        <w:rPr>
          <w:rFonts w:ascii="Bookman Old Style" w:eastAsia="Arial Unicode MS" w:hAnsi="Bookman Old Style" w:cs="Arial Unicode MS"/>
          <w:sz w:val="24"/>
          <w:szCs w:val="24"/>
        </w:rPr>
        <w:t xml:space="preserve"> former President Chiluba and the National Executive Committee (NEC) of MMD in the discipline, and expulsion of many members of the party; </w:t>
      </w:r>
    </w:p>
    <w:p w:rsidR="00153D09" w:rsidRPr="008F7F29" w:rsidRDefault="00153D09" w:rsidP="00153D09">
      <w:pPr>
        <w:pStyle w:val="ListParagraph"/>
        <w:numPr>
          <w:ilvl w:val="0"/>
          <w:numId w:val="7"/>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That the plaintiff was responsible for the expulsion of the late Anderson Mazoka from MMD in 1990;</w:t>
      </w:r>
    </w:p>
    <w:p w:rsidR="00153D09" w:rsidRPr="008F7F29" w:rsidRDefault="00153D09" w:rsidP="00153D09">
      <w:pPr>
        <w:pStyle w:val="ListParagraph"/>
        <w:numPr>
          <w:ilvl w:val="0"/>
          <w:numId w:val="7"/>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That the plaintiff was responsible for the expulsion of 22 Members of Parliament from MMD; </w:t>
      </w:r>
    </w:p>
    <w:p w:rsidR="00153D09" w:rsidRPr="008F7F29" w:rsidRDefault="00153D09" w:rsidP="00153D09">
      <w:pPr>
        <w:pStyle w:val="ListParagraph"/>
        <w:numPr>
          <w:ilvl w:val="0"/>
          <w:numId w:val="7"/>
        </w:numPr>
        <w:spacing w:after="0" w:line="360" w:lineRule="auto"/>
        <w:jc w:val="both"/>
        <w:rPr>
          <w:rFonts w:ascii="Bookman Old Style" w:eastAsia="Arial Unicode MS" w:hAnsi="Bookman Old Style" w:cs="Arial Unicode MS"/>
          <w:sz w:val="24"/>
          <w:szCs w:val="24"/>
        </w:rPr>
      </w:pPr>
      <w:r w:rsidRPr="0090662B">
        <w:rPr>
          <w:rFonts w:ascii="Bookman Old Style" w:eastAsia="Arial Unicode MS" w:hAnsi="Bookman Old Style" w:cs="Arial Unicode MS"/>
          <w:sz w:val="24"/>
          <w:szCs w:val="24"/>
        </w:rPr>
        <w:t>That the plaintiff was responsible for the expulsion of Mr. B.Y. Mwila</w:t>
      </w:r>
      <w:r w:rsidRPr="008F7F29">
        <w:rPr>
          <w:rFonts w:ascii="Bookman Old Style" w:eastAsia="Arial Unicode MS" w:hAnsi="Bookman Old Style" w:cs="Arial Unicode MS"/>
          <w:sz w:val="24"/>
          <w:szCs w:val="24"/>
        </w:rPr>
        <w:t xml:space="preserve"> from MMD;</w:t>
      </w:r>
    </w:p>
    <w:p w:rsidR="00153D09" w:rsidRPr="008F7F29" w:rsidRDefault="00153D09" w:rsidP="00153D09">
      <w:pPr>
        <w:pStyle w:val="ListParagraph"/>
        <w:numPr>
          <w:ilvl w:val="0"/>
          <w:numId w:val="7"/>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That the plaintiff does not qualify to be President of this country;</w:t>
      </w:r>
    </w:p>
    <w:p w:rsidR="00153D09" w:rsidRPr="008F7F29" w:rsidRDefault="00153D09" w:rsidP="00153D09">
      <w:pPr>
        <w:pStyle w:val="ListParagraph"/>
        <w:numPr>
          <w:ilvl w:val="0"/>
          <w:numId w:val="7"/>
        </w:numPr>
        <w:spacing w:after="0" w:line="360" w:lineRule="auto"/>
        <w:jc w:val="both"/>
        <w:rPr>
          <w:rFonts w:ascii="Bookman Old Style" w:eastAsia="Arial Unicode MS" w:hAnsi="Bookman Old Style" w:cs="Arial Unicode MS"/>
          <w:sz w:val="24"/>
          <w:szCs w:val="24"/>
        </w:rPr>
      </w:pPr>
      <w:r w:rsidRPr="0090662B">
        <w:rPr>
          <w:rFonts w:ascii="Bookman Old Style" w:eastAsia="Arial Unicode MS" w:hAnsi="Bookman Old Style" w:cs="Arial Unicode MS"/>
          <w:sz w:val="24"/>
          <w:szCs w:val="24"/>
        </w:rPr>
        <w:t>That the plaintiff does not uphold and believe in the tenets of democracy</w:t>
      </w:r>
      <w:r w:rsidRPr="008F7F29">
        <w:rPr>
          <w:rFonts w:ascii="Bookman Old Style" w:eastAsia="Arial Unicode MS" w:hAnsi="Bookman Old Style" w:cs="Arial Unicode MS"/>
          <w:sz w:val="24"/>
          <w:szCs w:val="24"/>
        </w:rPr>
        <w:t>;</w:t>
      </w:r>
    </w:p>
    <w:p w:rsidR="00153D09" w:rsidRPr="008F7F29" w:rsidRDefault="00153D09" w:rsidP="00153D09">
      <w:pPr>
        <w:pStyle w:val="ListParagraph"/>
        <w:numPr>
          <w:ilvl w:val="0"/>
          <w:numId w:val="7"/>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That the plaintiff caused confusion in the operations of the Lusaka City Council, and in the sale of Nalubuto Road, Independence Avenue houses, and Mezaf flats;</w:t>
      </w:r>
    </w:p>
    <w:p w:rsidR="00153D09" w:rsidRPr="008F7F29" w:rsidRDefault="00153D09" w:rsidP="00153D09">
      <w:pPr>
        <w:pStyle w:val="ListParagraph"/>
        <w:numPr>
          <w:ilvl w:val="0"/>
          <w:numId w:val="7"/>
        </w:numPr>
        <w:spacing w:after="0" w:line="36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sz w:val="24"/>
          <w:szCs w:val="24"/>
        </w:rPr>
        <w:t xml:space="preserve">That the plaintiffs condemnation of the manner the MMD treated the late Member of Parliament for Mpulungu, Mr. L. Chibombamilimo was not </w:t>
      </w:r>
      <w:r w:rsidRPr="008F7F29">
        <w:rPr>
          <w:rFonts w:ascii="Bookman Old Style" w:eastAsia="Arial Unicode MS" w:hAnsi="Bookman Old Style" w:cs="Arial Unicode MS"/>
          <w:i/>
          <w:sz w:val="24"/>
          <w:szCs w:val="24"/>
        </w:rPr>
        <w:t>bona fide;</w:t>
      </w:r>
    </w:p>
    <w:p w:rsidR="00153D09" w:rsidRPr="004879FE" w:rsidRDefault="00153D09" w:rsidP="00153D09">
      <w:pPr>
        <w:pStyle w:val="ListParagraph"/>
        <w:numPr>
          <w:ilvl w:val="0"/>
          <w:numId w:val="7"/>
        </w:numPr>
        <w:spacing w:after="0" w:line="360" w:lineRule="auto"/>
        <w:jc w:val="both"/>
        <w:rPr>
          <w:rFonts w:ascii="Bookman Old Style" w:eastAsia="Arial Unicode MS" w:hAnsi="Bookman Old Style" w:cs="Arial Unicode MS"/>
          <w:sz w:val="24"/>
          <w:szCs w:val="24"/>
        </w:rPr>
      </w:pPr>
      <w:r w:rsidRPr="004879FE">
        <w:rPr>
          <w:rFonts w:ascii="Bookman Old Style" w:eastAsia="Arial Unicode MS" w:hAnsi="Bookman Old Style" w:cs="Arial Unicode MS"/>
          <w:sz w:val="24"/>
          <w:szCs w:val="24"/>
        </w:rPr>
        <w:t>That the overture by the plaintiff and his party Patriotic Front to enter into a Pact with the UPND is founded on tribalism;</w:t>
      </w:r>
    </w:p>
    <w:p w:rsidR="00153D09" w:rsidRPr="008F7F29" w:rsidRDefault="00153D09" w:rsidP="00153D09">
      <w:pPr>
        <w:pStyle w:val="ListParagraph"/>
        <w:numPr>
          <w:ilvl w:val="0"/>
          <w:numId w:val="7"/>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That the plaintiff has schemed with the civil society, the Catholic Church, and Change of life to illegitimately remove the Government of President Banda;</w:t>
      </w:r>
    </w:p>
    <w:p w:rsidR="00153D09" w:rsidRPr="008F7F29" w:rsidRDefault="00153D09" w:rsidP="00153D09">
      <w:pPr>
        <w:pStyle w:val="ListParagraph"/>
        <w:numPr>
          <w:ilvl w:val="0"/>
          <w:numId w:val="7"/>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lastRenderedPageBreak/>
        <w:t xml:space="preserve">That the plaintiff has an </w:t>
      </w:r>
      <w:r w:rsidRPr="004879FE">
        <w:rPr>
          <w:rFonts w:ascii="Bookman Old Style" w:eastAsia="Arial Unicode MS" w:hAnsi="Bookman Old Style" w:cs="Arial Unicode MS"/>
          <w:sz w:val="24"/>
          <w:szCs w:val="24"/>
        </w:rPr>
        <w:t>unsatifiable  appetite</w:t>
      </w:r>
      <w:r w:rsidRPr="008F7F29">
        <w:rPr>
          <w:rFonts w:ascii="Bookman Old Style" w:eastAsia="Arial Unicode MS" w:hAnsi="Bookman Old Style" w:cs="Arial Unicode MS"/>
          <w:sz w:val="24"/>
          <w:szCs w:val="24"/>
        </w:rPr>
        <w:t xml:space="preserve"> for State House (or plot 1);</w:t>
      </w:r>
    </w:p>
    <w:p w:rsidR="00153D09" w:rsidRPr="004879FE" w:rsidRDefault="00153D09" w:rsidP="00153D09">
      <w:pPr>
        <w:pStyle w:val="ListParagraph"/>
        <w:numPr>
          <w:ilvl w:val="0"/>
          <w:numId w:val="7"/>
        </w:numPr>
        <w:spacing w:after="0" w:line="360" w:lineRule="auto"/>
        <w:jc w:val="both"/>
        <w:rPr>
          <w:rFonts w:ascii="Bookman Old Style" w:eastAsia="Arial Unicode MS" w:hAnsi="Bookman Old Style" w:cs="Arial Unicode MS"/>
          <w:sz w:val="24"/>
          <w:szCs w:val="24"/>
        </w:rPr>
      </w:pPr>
      <w:r w:rsidRPr="004879FE">
        <w:rPr>
          <w:rFonts w:ascii="Bookman Old Style" w:eastAsia="Arial Unicode MS" w:hAnsi="Bookman Old Style" w:cs="Arial Unicode MS"/>
          <w:sz w:val="24"/>
          <w:szCs w:val="24"/>
        </w:rPr>
        <w:t xml:space="preserve">That the plaintiff does not respect traditional leaders such as the Chiefs; </w:t>
      </w:r>
    </w:p>
    <w:p w:rsidR="00153D09" w:rsidRPr="008F7F29" w:rsidRDefault="00153D09" w:rsidP="00153D09">
      <w:pPr>
        <w:pStyle w:val="ListParagraph"/>
        <w:numPr>
          <w:ilvl w:val="0"/>
          <w:numId w:val="7"/>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That the plaintiff initiated the Red Card Campaign by Father Bwalya;</w:t>
      </w:r>
    </w:p>
    <w:p w:rsidR="00153D09" w:rsidRPr="008F7F29" w:rsidRDefault="00153D09" w:rsidP="00153D09">
      <w:pPr>
        <w:pStyle w:val="ListParagraph"/>
        <w:numPr>
          <w:ilvl w:val="0"/>
          <w:numId w:val="7"/>
        </w:num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That in his reconciliation with the late President Mwanawasa, the plaintiff offered to dissolve the Patriotic Front in exch</w:t>
      </w:r>
      <w:r w:rsidR="00C12D00">
        <w:rPr>
          <w:rFonts w:ascii="Bookman Old Style" w:eastAsia="Arial Unicode MS" w:hAnsi="Bookman Old Style" w:cs="Arial Unicode MS"/>
          <w:sz w:val="24"/>
          <w:szCs w:val="24"/>
        </w:rPr>
        <w:t>ange for an appointment as Vice-</w:t>
      </w:r>
      <w:r w:rsidRPr="008F7F29">
        <w:rPr>
          <w:rFonts w:ascii="Bookman Old Style" w:eastAsia="Arial Unicode MS" w:hAnsi="Bookman Old Style" w:cs="Arial Unicode MS"/>
          <w:sz w:val="24"/>
          <w:szCs w:val="24"/>
        </w:rPr>
        <w:t xml:space="preserve">President of Zambia. </w:t>
      </w:r>
    </w:p>
    <w:p w:rsidR="00153D09" w:rsidRPr="008F7F29" w:rsidRDefault="00153D09" w:rsidP="00153D09">
      <w:pPr>
        <w:spacing w:after="0" w:line="360" w:lineRule="auto"/>
        <w:ind w:left="360"/>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In view of the foregoing, the plaintiff </w:t>
      </w:r>
      <w:r w:rsidR="00C12D00">
        <w:rPr>
          <w:rFonts w:ascii="Bookman Old Style" w:eastAsia="Arial Unicode MS" w:hAnsi="Bookman Old Style" w:cs="Arial Unicode MS"/>
          <w:sz w:val="24"/>
          <w:szCs w:val="24"/>
        </w:rPr>
        <w:t xml:space="preserve">avers that his </w:t>
      </w:r>
      <w:r w:rsidRPr="008F7F29">
        <w:rPr>
          <w:rFonts w:ascii="Bookman Old Style" w:eastAsia="Arial Unicode MS" w:hAnsi="Bookman Old Style" w:cs="Arial Unicode MS"/>
          <w:sz w:val="24"/>
          <w:szCs w:val="24"/>
        </w:rPr>
        <w:t>reputation has been seriously injured, and he has suffered considerable distress and anxiety. Further, the plaintiff’s political prospects of ascending to the Presidency of this Country have been dented</w:t>
      </w:r>
      <w:r w:rsidR="00B81669">
        <w:rPr>
          <w:rFonts w:ascii="Bookman Old Style" w:eastAsia="Arial Unicode MS" w:hAnsi="Bookman Old Style" w:cs="Arial Unicode MS"/>
          <w:sz w:val="24"/>
          <w:szCs w:val="24"/>
        </w:rPr>
        <w:t xml:space="preserve">. </w:t>
      </w:r>
      <w:r w:rsidRPr="008F7F29">
        <w:rPr>
          <w:rFonts w:ascii="Bookman Old Style" w:eastAsia="Arial Unicode MS" w:hAnsi="Bookman Old Style" w:cs="Arial Unicode MS"/>
          <w:sz w:val="24"/>
          <w:szCs w:val="24"/>
        </w:rPr>
        <w:t xml:space="preserve">Therefore, unless restrained by an interim injunction, the defendants, </w:t>
      </w:r>
      <w:r w:rsidR="00B81669">
        <w:rPr>
          <w:rFonts w:ascii="Bookman Old Style" w:eastAsia="Arial Unicode MS" w:hAnsi="Bookman Old Style" w:cs="Arial Unicode MS"/>
          <w:sz w:val="24"/>
          <w:szCs w:val="24"/>
        </w:rPr>
        <w:t xml:space="preserve">will </w:t>
      </w:r>
      <w:r w:rsidRPr="008F7F29">
        <w:rPr>
          <w:rFonts w:ascii="Bookman Old Style" w:eastAsia="Arial Unicode MS" w:hAnsi="Bookman Old Style" w:cs="Arial Unicode MS"/>
          <w:sz w:val="24"/>
          <w:szCs w:val="24"/>
        </w:rPr>
        <w:t>further broadcast and publish similar words and images defamatory of the plaintiff. Further</w:t>
      </w:r>
      <w:r w:rsidR="00B81669">
        <w:rPr>
          <w:rFonts w:ascii="Bookman Old Style" w:eastAsia="Arial Unicode MS" w:hAnsi="Bookman Old Style" w:cs="Arial Unicode MS"/>
          <w:sz w:val="24"/>
          <w:szCs w:val="24"/>
        </w:rPr>
        <w:t>more</w:t>
      </w:r>
      <w:r w:rsidRPr="008F7F29">
        <w:rPr>
          <w:rFonts w:ascii="Bookman Old Style" w:eastAsia="Arial Unicode MS" w:hAnsi="Bookman Old Style" w:cs="Arial Unicode MS"/>
          <w:sz w:val="24"/>
          <w:szCs w:val="24"/>
        </w:rPr>
        <w:t>, the 1</w:t>
      </w:r>
      <w:r w:rsidRPr="008F7F29">
        <w:rPr>
          <w:rFonts w:ascii="Bookman Old Style" w:eastAsia="Arial Unicode MS" w:hAnsi="Bookman Old Style" w:cs="Arial Unicode MS"/>
          <w:sz w:val="24"/>
          <w:szCs w:val="24"/>
          <w:vertAlign w:val="superscript"/>
        </w:rPr>
        <w:t>st</w:t>
      </w:r>
      <w:r w:rsidR="00B81669">
        <w:rPr>
          <w:rFonts w:ascii="Bookman Old Style" w:eastAsia="Arial Unicode MS" w:hAnsi="Bookman Old Style" w:cs="Arial Unicode MS"/>
          <w:sz w:val="24"/>
          <w:szCs w:val="24"/>
        </w:rPr>
        <w:t xml:space="preserve"> defendant will continue</w:t>
      </w:r>
      <w:r w:rsidRPr="008F7F29">
        <w:rPr>
          <w:rFonts w:ascii="Bookman Old Style" w:eastAsia="Arial Unicode MS" w:hAnsi="Bookman Old Style" w:cs="Arial Unicode MS"/>
          <w:sz w:val="24"/>
          <w:szCs w:val="24"/>
        </w:rPr>
        <w:t xml:space="preserve"> to produce, distribute, and sell for commercial purposes, CD’s DVD’s and other materials containing the programmes “</w:t>
      </w:r>
      <w:r w:rsidRPr="008F7F29">
        <w:rPr>
          <w:rFonts w:ascii="Bookman Old Style" w:eastAsia="Arial Unicode MS" w:hAnsi="Bookman Old Style" w:cs="Arial Unicode MS"/>
          <w:i/>
          <w:sz w:val="24"/>
          <w:szCs w:val="24"/>
        </w:rPr>
        <w:t>Stand up for Zambia</w:t>
      </w:r>
      <w:r w:rsidRPr="008F7F29">
        <w:rPr>
          <w:rFonts w:ascii="Bookman Old Style" w:eastAsia="Arial Unicode MS" w:hAnsi="Bookman Old Style" w:cs="Arial Unicode MS"/>
          <w:sz w:val="24"/>
          <w:szCs w:val="24"/>
        </w:rPr>
        <w:t xml:space="preserve">,” which will contains words, and images defamatory of the plaintiff. </w:t>
      </w:r>
    </w:p>
    <w:p w:rsidR="00153D09" w:rsidRPr="008F7F29" w:rsidRDefault="00153D09" w:rsidP="00153D09">
      <w:pPr>
        <w:spacing w:after="0" w:line="360" w:lineRule="auto"/>
        <w:ind w:left="1080"/>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On the same 26</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November, 2010, the plaintiff filed an </w:t>
      </w:r>
      <w:r w:rsidRPr="008F7F29">
        <w:rPr>
          <w:rFonts w:ascii="Bookman Old Style" w:eastAsia="Arial Unicode MS" w:hAnsi="Bookman Old Style" w:cs="Arial Unicode MS"/>
          <w:i/>
          <w:sz w:val="24"/>
          <w:szCs w:val="24"/>
        </w:rPr>
        <w:t>ex parte</w:t>
      </w:r>
      <w:r w:rsidRPr="008F7F29">
        <w:rPr>
          <w:rFonts w:ascii="Bookman Old Style" w:eastAsia="Arial Unicode MS" w:hAnsi="Bookman Old Style" w:cs="Arial Unicode MS"/>
          <w:sz w:val="24"/>
          <w:szCs w:val="24"/>
        </w:rPr>
        <w:t xml:space="preserve"> application for an interim injunction. In the affidavit in support of the interim injunction, the plaintiff deposed as follows: that he is a politician, and the President of the main opposition political party, which enjoys massive support and following in both the urban and rural areas of Zambia. The plaintiff confirmed that he had filed a writ of summons, and statement of claim in the principal registry for defamation of character against the defendants arising fr</w:t>
      </w:r>
      <w:r w:rsidR="00C12D00">
        <w:rPr>
          <w:rFonts w:ascii="Bookman Old Style" w:eastAsia="Arial Unicode MS" w:hAnsi="Bookman Old Style" w:cs="Arial Unicode MS"/>
          <w:sz w:val="24"/>
          <w:szCs w:val="24"/>
        </w:rPr>
        <w:t>om a television programme styled</w:t>
      </w:r>
      <w:r w:rsidRPr="008F7F29">
        <w:rPr>
          <w:rFonts w:ascii="Bookman Old Style" w:eastAsia="Arial Unicode MS" w:hAnsi="Bookman Old Style" w:cs="Arial Unicode MS"/>
          <w:sz w:val="24"/>
          <w:szCs w:val="24"/>
        </w:rPr>
        <w:t xml:space="preserve"> as </w:t>
      </w:r>
      <w:r w:rsidRPr="008F7F29">
        <w:rPr>
          <w:rFonts w:ascii="Bookman Old Style" w:eastAsia="Arial Unicode MS" w:hAnsi="Bookman Old Style" w:cs="Arial Unicode MS"/>
          <w:i/>
          <w:sz w:val="24"/>
          <w:szCs w:val="24"/>
        </w:rPr>
        <w:t>“Stand up for Zambia.”</w:t>
      </w:r>
      <w:r w:rsidRPr="008F7F29">
        <w:rPr>
          <w:rFonts w:ascii="Bookman Old Style" w:eastAsia="Arial Unicode MS" w:hAnsi="Bookman Old Style" w:cs="Arial Unicode MS"/>
          <w:sz w:val="24"/>
          <w:szCs w:val="24"/>
        </w:rPr>
        <w:t xml:space="preserve"> The programme is produced by the 2</w:t>
      </w:r>
      <w:r w:rsidRPr="008F7F29">
        <w:rPr>
          <w:rFonts w:ascii="Bookman Old Style" w:eastAsia="Arial Unicode MS" w:hAnsi="Bookman Old Style" w:cs="Arial Unicode MS"/>
          <w:sz w:val="24"/>
          <w:szCs w:val="24"/>
          <w:vertAlign w:val="superscript"/>
        </w:rPr>
        <w:t>nd</w:t>
      </w:r>
      <w:r w:rsidRPr="008F7F29">
        <w:rPr>
          <w:rFonts w:ascii="Bookman Old Style" w:eastAsia="Arial Unicode MS" w:hAnsi="Bookman Old Style" w:cs="Arial Unicode MS"/>
          <w:sz w:val="24"/>
          <w:szCs w:val="24"/>
        </w:rPr>
        <w:t>,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and 4</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defendants on their television channels. The plaintiff avers that he has suffered, and continues to suffer irreparable injury by the broadcast and distribution of the defamatory programmes. In the premises, the plaintiff </w:t>
      </w:r>
      <w:r w:rsidRPr="008F7F29">
        <w:rPr>
          <w:rFonts w:ascii="Bookman Old Style" w:eastAsia="Arial Unicode MS" w:hAnsi="Bookman Old Style" w:cs="Arial Unicode MS"/>
          <w:sz w:val="24"/>
          <w:szCs w:val="24"/>
        </w:rPr>
        <w:lastRenderedPageBreak/>
        <w:t xml:space="preserve">seeks an interim injunction restraining the defendants from broadcasting, producing, and selling the defamatory programmes.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The application for the interim injunction was given a return date of 7</w:t>
      </w:r>
      <w:r w:rsidRPr="008F7F29">
        <w:rPr>
          <w:rFonts w:ascii="Bookman Old Style" w:eastAsia="Arial Unicode MS" w:hAnsi="Bookman Old Style" w:cs="Arial Unicode MS"/>
          <w:sz w:val="24"/>
          <w:szCs w:val="24"/>
          <w:vertAlign w:val="superscript"/>
        </w:rPr>
        <w:t>th</w:t>
      </w:r>
      <w:r w:rsidR="00F37A79">
        <w:rPr>
          <w:rFonts w:ascii="Bookman Old Style" w:eastAsia="Arial Unicode MS" w:hAnsi="Bookman Old Style" w:cs="Arial Unicode MS"/>
          <w:sz w:val="24"/>
          <w:szCs w:val="24"/>
        </w:rPr>
        <w:t xml:space="preserve"> December, 2010.</w:t>
      </w:r>
      <w:r w:rsidRPr="008F7F29">
        <w:rPr>
          <w:rFonts w:ascii="Bookman Old Style" w:eastAsia="Arial Unicode MS" w:hAnsi="Bookman Old Style" w:cs="Arial Unicode MS"/>
          <w:sz w:val="24"/>
          <w:szCs w:val="24"/>
        </w:rPr>
        <w:t xml:space="preserve"> </w:t>
      </w:r>
      <w:r w:rsidR="00F37A79" w:rsidRPr="008F7F29">
        <w:rPr>
          <w:rFonts w:ascii="Bookman Old Style" w:eastAsia="Arial Unicode MS" w:hAnsi="Bookman Old Style" w:cs="Arial Unicode MS"/>
          <w:sz w:val="24"/>
          <w:szCs w:val="24"/>
        </w:rPr>
        <w:t>On</w:t>
      </w:r>
      <w:r w:rsidRPr="008F7F29">
        <w:rPr>
          <w:rFonts w:ascii="Bookman Old Style" w:eastAsia="Arial Unicode MS" w:hAnsi="Bookman Old Style" w:cs="Arial Unicode MS"/>
          <w:sz w:val="24"/>
          <w:szCs w:val="24"/>
        </w:rPr>
        <w:t xml:space="preserve"> the return date</w:t>
      </w:r>
      <w:r w:rsidR="00F37A79">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w:t>
      </w:r>
      <w:r w:rsidR="00F37A79" w:rsidRPr="008F7F29">
        <w:rPr>
          <w:rFonts w:ascii="Bookman Old Style" w:eastAsia="Arial Unicode MS" w:hAnsi="Bookman Old Style" w:cs="Arial Unicode MS"/>
          <w:sz w:val="24"/>
          <w:szCs w:val="24"/>
        </w:rPr>
        <w:t>Professor</w:t>
      </w:r>
      <w:r w:rsidRPr="008F7F29">
        <w:rPr>
          <w:rFonts w:ascii="Bookman Old Style" w:eastAsia="Arial Unicode MS" w:hAnsi="Bookman Old Style" w:cs="Arial Unicode MS"/>
          <w:sz w:val="24"/>
          <w:szCs w:val="24"/>
        </w:rPr>
        <w:t xml:space="preserve"> Mvunga SC, indicated to me that the legal process</w:t>
      </w:r>
      <w:r w:rsidR="00F37A79">
        <w:rPr>
          <w:rFonts w:ascii="Bookman Old Style" w:eastAsia="Arial Unicode MS" w:hAnsi="Bookman Old Style" w:cs="Arial Unicode MS"/>
          <w:sz w:val="24"/>
          <w:szCs w:val="24"/>
        </w:rPr>
        <w:t xml:space="preserve"> in this matter </w:t>
      </w:r>
      <w:r w:rsidR="00C12D00">
        <w:rPr>
          <w:rFonts w:ascii="Bookman Old Style" w:eastAsia="Arial Unicode MS" w:hAnsi="Bookman Old Style" w:cs="Arial Unicode MS"/>
          <w:sz w:val="24"/>
          <w:szCs w:val="24"/>
        </w:rPr>
        <w:t>had been</w:t>
      </w:r>
      <w:r w:rsidRPr="008F7F29">
        <w:rPr>
          <w:rFonts w:ascii="Bookman Old Style" w:eastAsia="Arial Unicode MS" w:hAnsi="Bookman Old Style" w:cs="Arial Unicode MS"/>
          <w:sz w:val="24"/>
          <w:szCs w:val="24"/>
        </w:rPr>
        <w:t xml:space="preserve"> served on his client; 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on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December, 2010. Thus the late service of the documents had not given him sufficient time to obtain-instructions and file a defence. Professor Mvunga, SC, submitted that the affidavit in opposition to the interim injunction would be predicted on the defences that his client would rely on. In the circumstance, he requested for an adjournment of the matter. The request and plea by Professor Mvunga</w:t>
      </w:r>
      <w:r w:rsidR="00C12D00">
        <w:rPr>
          <w:rFonts w:ascii="Bookman Old Style" w:eastAsia="Arial Unicode MS" w:hAnsi="Bookman Old Style" w:cs="Arial Unicode MS"/>
          <w:sz w:val="24"/>
          <w:szCs w:val="24"/>
        </w:rPr>
        <w:t>, SC,</w:t>
      </w:r>
      <w:r w:rsidRPr="008F7F29">
        <w:rPr>
          <w:rFonts w:ascii="Bookman Old Style" w:eastAsia="Arial Unicode MS" w:hAnsi="Bookman Old Style" w:cs="Arial Unicode MS"/>
          <w:sz w:val="24"/>
          <w:szCs w:val="24"/>
        </w:rPr>
        <w:t xml:space="preserve"> was echoed by Mr. Nkonde, SC, and Mr. Malupenga, counsel for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and 2</w:t>
      </w:r>
      <w:r w:rsidRPr="008F7F29">
        <w:rPr>
          <w:rFonts w:ascii="Bookman Old Style" w:eastAsia="Arial Unicode MS" w:hAnsi="Bookman Old Style" w:cs="Arial Unicode MS"/>
          <w:sz w:val="24"/>
          <w:szCs w:val="24"/>
          <w:vertAlign w:val="superscript"/>
        </w:rPr>
        <w:t>nd</w:t>
      </w:r>
      <w:r w:rsidRPr="008F7F29">
        <w:rPr>
          <w:rFonts w:ascii="Bookman Old Style" w:eastAsia="Arial Unicode MS" w:hAnsi="Bookman Old Style" w:cs="Arial Unicode MS"/>
          <w:sz w:val="24"/>
          <w:szCs w:val="24"/>
        </w:rPr>
        <w:t xml:space="preserve"> defendants, respectively. I allowed the application for an adjournment. And the matter was thus adjourned to 11</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January, 2011, for hearing.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C245E6"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In the meanwhile, on 14</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December, 2010,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filed a memorandum of appearance, and defence. </w:t>
      </w:r>
      <w:r w:rsidR="00C245E6">
        <w:rPr>
          <w:rFonts w:ascii="Bookman Old Style" w:eastAsia="Arial Unicode MS" w:hAnsi="Bookman Old Style" w:cs="Arial Unicode MS"/>
          <w:sz w:val="24"/>
          <w:szCs w:val="24"/>
        </w:rPr>
        <w:t>The defence was later, on 16</w:t>
      </w:r>
      <w:r w:rsidR="00C245E6" w:rsidRPr="00C245E6">
        <w:rPr>
          <w:rFonts w:ascii="Bookman Old Style" w:eastAsia="Arial Unicode MS" w:hAnsi="Bookman Old Style" w:cs="Arial Unicode MS"/>
          <w:sz w:val="24"/>
          <w:szCs w:val="24"/>
          <w:vertAlign w:val="superscript"/>
        </w:rPr>
        <w:t>th</w:t>
      </w:r>
      <w:r w:rsidR="00C245E6">
        <w:rPr>
          <w:rFonts w:ascii="Bookman Old Style" w:eastAsia="Arial Unicode MS" w:hAnsi="Bookman Old Style" w:cs="Arial Unicode MS"/>
          <w:sz w:val="24"/>
          <w:szCs w:val="24"/>
        </w:rPr>
        <w:t xml:space="preserve"> December, 2010 amended. </w:t>
      </w:r>
      <w:r w:rsidRPr="008F7F29">
        <w:rPr>
          <w:rFonts w:ascii="Bookman Old Style" w:eastAsia="Arial Unicode MS" w:hAnsi="Bookman Old Style" w:cs="Arial Unicode MS"/>
          <w:sz w:val="24"/>
          <w:szCs w:val="24"/>
        </w:rPr>
        <w:t>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admitted having published the programme set out in paragraph 7 of the plaintiff’s statement. The contents of the paragraph 7 of the statement of claim have been quoted verbatim above. However,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denies that the statements in question bear</w:t>
      </w:r>
      <w:r w:rsidR="00C12D00">
        <w:rPr>
          <w:rFonts w:ascii="Bookman Old Style" w:eastAsia="Arial Unicode MS" w:hAnsi="Bookman Old Style" w:cs="Arial Unicode MS"/>
          <w:sz w:val="24"/>
          <w:szCs w:val="24"/>
        </w:rPr>
        <w:t>s or is</w:t>
      </w:r>
      <w:r w:rsidRPr="008F7F29">
        <w:rPr>
          <w:rFonts w:ascii="Bookman Old Style" w:eastAsia="Arial Unicode MS" w:hAnsi="Bookman Old Style" w:cs="Arial Unicode MS"/>
          <w:sz w:val="24"/>
          <w:szCs w:val="24"/>
        </w:rPr>
        <w:t xml:space="preserve"> capable of bearin</w:t>
      </w:r>
      <w:r w:rsidR="00C12D00">
        <w:rPr>
          <w:rFonts w:ascii="Bookman Old Style" w:eastAsia="Arial Unicode MS" w:hAnsi="Bookman Old Style" w:cs="Arial Unicode MS"/>
          <w:sz w:val="24"/>
          <w:szCs w:val="24"/>
        </w:rPr>
        <w:t>g the meaning attributed to it</w:t>
      </w:r>
      <w:r w:rsidRPr="008F7F29">
        <w:rPr>
          <w:rFonts w:ascii="Bookman Old Style" w:eastAsia="Arial Unicode MS" w:hAnsi="Bookman Old Style" w:cs="Arial Unicode MS"/>
          <w:sz w:val="24"/>
          <w:szCs w:val="24"/>
        </w:rPr>
        <w:t xml:space="preserve"> in paragraph 8 of the statement of claim. Again, paragraph 8 of the statement of claim has been quoted above verbatim.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has in the main relied on the defences of justification, </w:t>
      </w:r>
      <w:r w:rsidR="00C245E6">
        <w:rPr>
          <w:rFonts w:ascii="Bookman Old Style" w:eastAsia="Arial Unicode MS" w:hAnsi="Bookman Old Style" w:cs="Arial Unicode MS"/>
          <w:sz w:val="24"/>
          <w:szCs w:val="24"/>
        </w:rPr>
        <w:t xml:space="preserve">and </w:t>
      </w:r>
      <w:r w:rsidRPr="008F7F29">
        <w:rPr>
          <w:rFonts w:ascii="Bookman Old Style" w:eastAsia="Arial Unicode MS" w:hAnsi="Bookman Old Style" w:cs="Arial Unicode MS"/>
          <w:sz w:val="24"/>
          <w:szCs w:val="24"/>
        </w:rPr>
        <w:t xml:space="preserve">fair comment on matters of public interest. </w:t>
      </w:r>
    </w:p>
    <w:p w:rsidR="00C245E6" w:rsidRDefault="00C245E6"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In so far as the defence of justification is concerned,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averred as follows: that the plaintiff schemed the hounding out of the late Anderson Mazoka from the MMD. The letter from the plaintiff to the then President of MMD, Mr. Fredrick Chiluba, dated 7</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August, 1997, confirms the</w:t>
      </w:r>
      <w:r w:rsidR="00C245E6">
        <w:rPr>
          <w:rFonts w:ascii="Bookman Old Style" w:eastAsia="Arial Unicode MS" w:hAnsi="Bookman Old Style" w:cs="Arial Unicode MS"/>
          <w:sz w:val="24"/>
          <w:szCs w:val="24"/>
        </w:rPr>
        <w:t xml:space="preserve"> alleged</w:t>
      </w:r>
      <w:r w:rsidRPr="008F7F29">
        <w:rPr>
          <w:rFonts w:ascii="Bookman Old Style" w:eastAsia="Arial Unicode MS" w:hAnsi="Bookman Old Style" w:cs="Arial Unicode MS"/>
          <w:sz w:val="24"/>
          <w:szCs w:val="24"/>
        </w:rPr>
        <w:t xml:space="preserve"> </w:t>
      </w:r>
      <w:r w:rsidRPr="008F7F29">
        <w:rPr>
          <w:rFonts w:ascii="Bookman Old Style" w:eastAsia="Arial Unicode MS" w:hAnsi="Bookman Old Style" w:cs="Arial Unicode MS"/>
          <w:sz w:val="24"/>
          <w:szCs w:val="24"/>
        </w:rPr>
        <w:lastRenderedPageBreak/>
        <w:t>scheme to distance the late Anderson Mazoka from the MMD, and make it difficult for him to influence the people.</w:t>
      </w:r>
      <w:r w:rsidR="00C245E6">
        <w:rPr>
          <w:rFonts w:ascii="Bookman Old Style" w:eastAsia="Arial Unicode MS" w:hAnsi="Bookman Old Style" w:cs="Arial Unicode MS"/>
          <w:sz w:val="24"/>
          <w:szCs w:val="24"/>
        </w:rPr>
        <w:t xml:space="preserve"> Further the 1</w:t>
      </w:r>
      <w:r w:rsidR="00C245E6" w:rsidRPr="00C245E6">
        <w:rPr>
          <w:rFonts w:ascii="Bookman Old Style" w:eastAsia="Arial Unicode MS" w:hAnsi="Bookman Old Style" w:cs="Arial Unicode MS"/>
          <w:sz w:val="24"/>
          <w:szCs w:val="24"/>
          <w:vertAlign w:val="superscript"/>
        </w:rPr>
        <w:t>st</w:t>
      </w:r>
      <w:r w:rsidR="00C245E6">
        <w:rPr>
          <w:rFonts w:ascii="Bookman Old Style" w:eastAsia="Arial Unicode MS" w:hAnsi="Bookman Old Style" w:cs="Arial Unicode MS"/>
          <w:sz w:val="24"/>
          <w:szCs w:val="24"/>
        </w:rPr>
        <w:t xml:space="preserve"> defendant asserts that d</w:t>
      </w:r>
      <w:r w:rsidRPr="008F7F29">
        <w:rPr>
          <w:rFonts w:ascii="Bookman Old Style" w:eastAsia="Arial Unicode MS" w:hAnsi="Bookman Old Style" w:cs="Arial Unicode MS"/>
          <w:sz w:val="24"/>
          <w:szCs w:val="24"/>
        </w:rPr>
        <w:t>uring the reign of the plaintiff as National Secretary of MMD, the MMD witnessed unprecedented number of expulsions of its Members of Parliament in 2000. The plaintiff as National Secretary of MMD ensured that 22 MMD Members of Parliament who were against the Third Term campaign were expelled as MMD members. In this regard, Mr. B.Y. Mwila who was widely viewed as a potential Presidential candidate for MMD in 2001, was also expelled from the MMD.</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C245E6"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w:t>
      </w:r>
      <w:r w:rsidR="00153D09" w:rsidRPr="008F7F29">
        <w:rPr>
          <w:rFonts w:ascii="Bookman Old Style" w:eastAsia="Arial Unicode MS" w:hAnsi="Bookman Old Style" w:cs="Arial Unicode MS"/>
          <w:sz w:val="24"/>
          <w:szCs w:val="24"/>
        </w:rPr>
        <w:t>he 1</w:t>
      </w:r>
      <w:r w:rsidR="00153D09" w:rsidRPr="008F7F29">
        <w:rPr>
          <w:rFonts w:ascii="Bookman Old Style" w:eastAsia="Arial Unicode MS" w:hAnsi="Bookman Old Style" w:cs="Arial Unicode MS"/>
          <w:sz w:val="24"/>
          <w:szCs w:val="24"/>
          <w:vertAlign w:val="superscript"/>
        </w:rPr>
        <w:t>st</w:t>
      </w:r>
      <w:r w:rsidR="00153D09" w:rsidRPr="008F7F29">
        <w:rPr>
          <w:rFonts w:ascii="Bookman Old Style" w:eastAsia="Arial Unicode MS" w:hAnsi="Bookman Old Style" w:cs="Arial Unicode MS"/>
          <w:sz w:val="24"/>
          <w:szCs w:val="24"/>
        </w:rPr>
        <w:t xml:space="preserve"> defendant </w:t>
      </w:r>
      <w:r>
        <w:rPr>
          <w:rFonts w:ascii="Bookman Old Style" w:eastAsia="Arial Unicode MS" w:hAnsi="Bookman Old Style" w:cs="Arial Unicode MS"/>
          <w:sz w:val="24"/>
          <w:szCs w:val="24"/>
        </w:rPr>
        <w:t xml:space="preserve">also </w:t>
      </w:r>
      <w:r w:rsidR="00153D09" w:rsidRPr="008F7F29">
        <w:rPr>
          <w:rFonts w:ascii="Bookman Old Style" w:eastAsia="Arial Unicode MS" w:hAnsi="Bookman Old Style" w:cs="Arial Unicode MS"/>
          <w:sz w:val="24"/>
          <w:szCs w:val="24"/>
        </w:rPr>
        <w:t>referred to the following</w:t>
      </w:r>
      <w:r>
        <w:rPr>
          <w:rFonts w:ascii="Bookman Old Style" w:eastAsia="Arial Unicode MS" w:hAnsi="Bookman Old Style" w:cs="Arial Unicode MS"/>
          <w:sz w:val="24"/>
          <w:szCs w:val="24"/>
        </w:rPr>
        <w:t xml:space="preserve"> incidents in his defence</w:t>
      </w:r>
      <w:r w:rsidR="00153D09" w:rsidRPr="008F7F29">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 xml:space="preserve">in </w:t>
      </w:r>
      <w:r w:rsidR="00153D09" w:rsidRPr="008F7F29">
        <w:rPr>
          <w:rFonts w:ascii="Bookman Old Style" w:eastAsia="Arial Unicode MS" w:hAnsi="Bookman Old Style" w:cs="Arial Unicode MS"/>
          <w:sz w:val="24"/>
          <w:szCs w:val="24"/>
        </w:rPr>
        <w:t xml:space="preserve">2002, the plaintiff was </w:t>
      </w:r>
      <w:r>
        <w:rPr>
          <w:rFonts w:ascii="Bookman Old Style" w:eastAsia="Arial Unicode MS" w:hAnsi="Bookman Old Style" w:cs="Arial Unicode MS"/>
          <w:sz w:val="24"/>
          <w:szCs w:val="24"/>
        </w:rPr>
        <w:t xml:space="preserve">allegedly </w:t>
      </w:r>
      <w:r w:rsidR="00153D09" w:rsidRPr="008F7F29">
        <w:rPr>
          <w:rFonts w:ascii="Bookman Old Style" w:eastAsia="Arial Unicode MS" w:hAnsi="Bookman Old Style" w:cs="Arial Unicode MS"/>
          <w:sz w:val="24"/>
          <w:szCs w:val="24"/>
        </w:rPr>
        <w:t xml:space="preserve">roughed up by members of the United National Independence Party (UNIP) because he had disturbed a rally for UNIP in Kabwata; that the underlying objective for the Patriotic Front to be in </w:t>
      </w:r>
      <w:r>
        <w:rPr>
          <w:rFonts w:ascii="Bookman Old Style" w:eastAsia="Arial Unicode MS" w:hAnsi="Bookman Old Style" w:cs="Arial Unicode MS"/>
          <w:sz w:val="24"/>
          <w:szCs w:val="24"/>
        </w:rPr>
        <w:t>the P</w:t>
      </w:r>
      <w:r w:rsidR="00153D09" w:rsidRPr="008F7F29">
        <w:rPr>
          <w:rFonts w:ascii="Bookman Old Style" w:eastAsia="Arial Unicode MS" w:hAnsi="Bookman Old Style" w:cs="Arial Unicode MS"/>
          <w:sz w:val="24"/>
          <w:szCs w:val="24"/>
        </w:rPr>
        <w:t>act with the UPND is for the plaintiff to ride on the popularity of the UPND in Southern Province, so that the plaintiff can get to State House; the 1</w:t>
      </w:r>
      <w:r w:rsidR="00153D09" w:rsidRPr="008F7F29">
        <w:rPr>
          <w:rFonts w:ascii="Bookman Old Style" w:eastAsia="Arial Unicode MS" w:hAnsi="Bookman Old Style" w:cs="Arial Unicode MS"/>
          <w:sz w:val="24"/>
          <w:szCs w:val="24"/>
          <w:vertAlign w:val="superscript"/>
        </w:rPr>
        <w:t>st</w:t>
      </w:r>
      <w:r>
        <w:rPr>
          <w:rFonts w:ascii="Bookman Old Style" w:eastAsia="Arial Unicode MS" w:hAnsi="Bookman Old Style" w:cs="Arial Unicode MS"/>
          <w:sz w:val="24"/>
          <w:szCs w:val="24"/>
        </w:rPr>
        <w:t xml:space="preserve"> defendant recalled that: </w:t>
      </w:r>
      <w:r w:rsidR="00C12D00">
        <w:rPr>
          <w:rFonts w:ascii="Bookman Old Style" w:eastAsia="Arial Unicode MS" w:hAnsi="Bookman Old Style" w:cs="Arial Unicode MS"/>
          <w:sz w:val="24"/>
          <w:szCs w:val="24"/>
        </w:rPr>
        <w:t xml:space="preserve">in </w:t>
      </w:r>
      <w:r>
        <w:rPr>
          <w:rFonts w:ascii="Bookman Old Style" w:eastAsia="Arial Unicode MS" w:hAnsi="Bookman Old Style" w:cs="Arial Unicode MS"/>
          <w:sz w:val="24"/>
          <w:szCs w:val="24"/>
        </w:rPr>
        <w:t>199</w:t>
      </w:r>
      <w:r w:rsidR="00153D09" w:rsidRPr="008F7F29">
        <w:rPr>
          <w:rFonts w:ascii="Bookman Old Style" w:eastAsia="Arial Unicode MS" w:hAnsi="Bookman Old Style" w:cs="Arial Unicode MS"/>
          <w:sz w:val="24"/>
          <w:szCs w:val="24"/>
        </w:rPr>
        <w:t>3, there was a standoff between the Lusaka City Council Councillors</w:t>
      </w:r>
      <w:r w:rsidR="00C12D00">
        <w:rPr>
          <w:rFonts w:ascii="Bookman Old Style" w:eastAsia="Arial Unicode MS" w:hAnsi="Bookman Old Style" w:cs="Arial Unicode MS"/>
          <w:sz w:val="24"/>
          <w:szCs w:val="24"/>
        </w:rPr>
        <w:t>,</w:t>
      </w:r>
      <w:r w:rsidR="00153D09" w:rsidRPr="008F7F29">
        <w:rPr>
          <w:rFonts w:ascii="Bookman Old Style" w:eastAsia="Arial Unicode MS" w:hAnsi="Bookman Old Style" w:cs="Arial Unicode MS"/>
          <w:sz w:val="24"/>
          <w:szCs w:val="24"/>
        </w:rPr>
        <w:t xml:space="preserve"> and the plaintiff due to</w:t>
      </w:r>
      <w:r>
        <w:rPr>
          <w:rFonts w:ascii="Bookman Old Style" w:eastAsia="Arial Unicode MS" w:hAnsi="Bookman Old Style" w:cs="Arial Unicode MS"/>
          <w:sz w:val="24"/>
          <w:szCs w:val="24"/>
        </w:rPr>
        <w:t xml:space="preserve"> his alleged</w:t>
      </w:r>
      <w:r w:rsidR="00153D09" w:rsidRPr="008F7F29">
        <w:rPr>
          <w:rFonts w:ascii="Bookman Old Style" w:eastAsia="Arial Unicode MS" w:hAnsi="Bookman Old Style" w:cs="Arial Unicode MS"/>
          <w:sz w:val="24"/>
          <w:szCs w:val="24"/>
        </w:rPr>
        <w:t xml:space="preserve"> interference in civic matters. The plaintiff was then Minister of Local Government and Housing. The issue of interference is said to have culminated in a meeting at State House, where attempts were made to defuse the tension.</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Further,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claims that: sometime in March, 1993, the plaintiff cancelled a trip to California in the United States of America for the then Mayor of the City of Lusaka; the late Mr. John Chilambwe, the plaintiff is said to have threatened Mr. Chilambwe with disciplinary action for insubordination. Sometime in 1994, the plaintiff was in the forefront of campaigning against </w:t>
      </w:r>
      <w:r w:rsidR="004D1D34">
        <w:rPr>
          <w:rFonts w:ascii="Bookman Old Style" w:eastAsia="Arial Unicode MS" w:hAnsi="Bookman Old Style" w:cs="Arial Unicode MS"/>
          <w:sz w:val="24"/>
          <w:szCs w:val="24"/>
        </w:rPr>
        <w:t xml:space="preserve">Mr. </w:t>
      </w:r>
      <w:r w:rsidRPr="008F7F29">
        <w:rPr>
          <w:rFonts w:ascii="Bookman Old Style" w:eastAsia="Arial Unicode MS" w:hAnsi="Bookman Old Style" w:cs="Arial Unicode MS"/>
          <w:sz w:val="24"/>
          <w:szCs w:val="24"/>
        </w:rPr>
        <w:t xml:space="preserve">Lameck Chibombamilimo as MMD, Lusaka Provincial Secretary in </w:t>
      </w:r>
      <w:r w:rsidR="00C12D00">
        <w:rPr>
          <w:rFonts w:ascii="Bookman Old Style" w:eastAsia="Arial Unicode MS" w:hAnsi="Bookman Old Style" w:cs="Arial Unicode MS"/>
          <w:sz w:val="24"/>
          <w:szCs w:val="24"/>
        </w:rPr>
        <w:t xml:space="preserve">preference to </w:t>
      </w:r>
      <w:r w:rsidRPr="008F7F29">
        <w:rPr>
          <w:rFonts w:ascii="Bookman Old Style" w:eastAsia="Arial Unicode MS" w:hAnsi="Bookman Old Style" w:cs="Arial Unicode MS"/>
          <w:sz w:val="24"/>
          <w:szCs w:val="24"/>
        </w:rPr>
        <w:t>Colonel Terry Chanda w</w:t>
      </w:r>
      <w:r w:rsidR="004D1D34">
        <w:rPr>
          <w:rFonts w:ascii="Bookman Old Style" w:eastAsia="Arial Unicode MS" w:hAnsi="Bookman Old Style" w:cs="Arial Unicode MS"/>
          <w:sz w:val="24"/>
          <w:szCs w:val="24"/>
        </w:rPr>
        <w:t>ho the plaintiff claimed that</w:t>
      </w:r>
      <w:r w:rsidRPr="008F7F29">
        <w:rPr>
          <w:rFonts w:ascii="Bookman Old Style" w:eastAsia="Arial Unicode MS" w:hAnsi="Bookman Old Style" w:cs="Arial Unicode MS"/>
          <w:sz w:val="24"/>
          <w:szCs w:val="24"/>
        </w:rPr>
        <w:t xml:space="preserve"> was more natural than </w:t>
      </w:r>
      <w:r w:rsidR="004879FE">
        <w:rPr>
          <w:rFonts w:ascii="Bookman Old Style" w:eastAsia="Arial Unicode MS" w:hAnsi="Bookman Old Style" w:cs="Arial Unicode MS"/>
          <w:sz w:val="24"/>
          <w:szCs w:val="24"/>
        </w:rPr>
        <w:t xml:space="preserve">Mr. </w:t>
      </w:r>
      <w:r w:rsidRPr="008F7F29">
        <w:rPr>
          <w:rFonts w:ascii="Bookman Old Style" w:eastAsia="Arial Unicode MS" w:hAnsi="Bookman Old Style" w:cs="Arial Unicode MS"/>
          <w:sz w:val="24"/>
          <w:szCs w:val="24"/>
        </w:rPr>
        <w:t xml:space="preserve">Chibombamilimo. Colonel Chanda is currently a </w:t>
      </w:r>
      <w:r w:rsidR="004D1D34" w:rsidRPr="008F7F29">
        <w:rPr>
          <w:rFonts w:ascii="Bookman Old Style" w:eastAsia="Arial Unicode MS" w:hAnsi="Bookman Old Style" w:cs="Arial Unicode MS"/>
          <w:sz w:val="24"/>
          <w:szCs w:val="24"/>
        </w:rPr>
        <w:t>Member</w:t>
      </w:r>
      <w:r w:rsidRPr="008F7F29">
        <w:rPr>
          <w:rFonts w:ascii="Bookman Old Style" w:eastAsia="Arial Unicode MS" w:hAnsi="Bookman Old Style" w:cs="Arial Unicode MS"/>
          <w:sz w:val="24"/>
          <w:szCs w:val="24"/>
        </w:rPr>
        <w:t xml:space="preserve"> of Parliament </w:t>
      </w:r>
      <w:r w:rsidR="004D1D34">
        <w:rPr>
          <w:rFonts w:ascii="Bookman Old Style" w:eastAsia="Arial Unicode MS" w:hAnsi="Bookman Old Style" w:cs="Arial Unicode MS"/>
          <w:sz w:val="24"/>
          <w:szCs w:val="24"/>
        </w:rPr>
        <w:t>under the aegis</w:t>
      </w:r>
      <w:r w:rsidR="00C12D00">
        <w:rPr>
          <w:rFonts w:ascii="Bookman Old Style" w:eastAsia="Arial Unicode MS" w:hAnsi="Bookman Old Style" w:cs="Arial Unicode MS"/>
          <w:sz w:val="24"/>
          <w:szCs w:val="24"/>
        </w:rPr>
        <w:t xml:space="preserve"> of the </w:t>
      </w:r>
      <w:r w:rsidRPr="008F7F29">
        <w:rPr>
          <w:rFonts w:ascii="Bookman Old Style" w:eastAsia="Arial Unicode MS" w:hAnsi="Bookman Old Style" w:cs="Arial Unicode MS"/>
          <w:sz w:val="24"/>
          <w:szCs w:val="24"/>
        </w:rPr>
        <w:t xml:space="preserve">Patriotic Front.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877F6E"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also avers that before the announcement of the Pact between Patriotic Front and the UPND, the plaintiff kept on referring to Mr. Hakainde Hichilema as an </w:t>
      </w:r>
      <w:r w:rsidRPr="00B91A53">
        <w:rPr>
          <w:rFonts w:ascii="Bookman Old Style" w:eastAsia="Arial Unicode MS" w:hAnsi="Bookman Old Style" w:cs="Arial Unicode MS"/>
          <w:i/>
          <w:sz w:val="24"/>
          <w:szCs w:val="24"/>
        </w:rPr>
        <w:t>“under five,”</w:t>
      </w:r>
      <w:r w:rsidRPr="008F7F29">
        <w:rPr>
          <w:rFonts w:ascii="Bookman Old Style" w:eastAsia="Arial Unicode MS" w:hAnsi="Bookman Old Style" w:cs="Arial Unicode MS"/>
          <w:sz w:val="24"/>
          <w:szCs w:val="24"/>
        </w:rPr>
        <w:t xml:space="preserve"> who is not capable of leading the nation.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asserts that the Patriot Front is most</w:t>
      </w:r>
      <w:r w:rsidR="002C0A08">
        <w:rPr>
          <w:rFonts w:ascii="Bookman Old Style" w:eastAsia="Arial Unicode MS" w:hAnsi="Bookman Old Style" w:cs="Arial Unicode MS"/>
          <w:sz w:val="24"/>
          <w:szCs w:val="24"/>
        </w:rPr>
        <w:t>ly</w:t>
      </w:r>
      <w:r w:rsidR="00C12D00">
        <w:rPr>
          <w:rFonts w:ascii="Bookman Old Style" w:eastAsia="Arial Unicode MS" w:hAnsi="Bookman Old Style" w:cs="Arial Unicode MS"/>
          <w:sz w:val="24"/>
          <w:szCs w:val="24"/>
        </w:rPr>
        <w:t xml:space="preserve"> prominent in Bemba</w:t>
      </w:r>
      <w:r w:rsidRPr="008F7F29">
        <w:rPr>
          <w:rFonts w:ascii="Bookman Old Style" w:eastAsia="Arial Unicode MS" w:hAnsi="Bookman Old Style" w:cs="Arial Unicode MS"/>
          <w:sz w:val="24"/>
          <w:szCs w:val="24"/>
        </w:rPr>
        <w:t xml:space="preserve"> speaking areas, and the UPND is prominent in Tonga speaking areas. And in the last three presidential elections, the plaintiff has fared very badly in Tonga speaking areas. Thus the going into the Pact with UPND,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w:t>
      </w:r>
      <w:r w:rsidR="00C12D00">
        <w:rPr>
          <w:rFonts w:ascii="Bookman Old Style" w:eastAsia="Arial Unicode MS" w:hAnsi="Bookman Old Style" w:cs="Arial Unicode MS"/>
          <w:sz w:val="24"/>
          <w:szCs w:val="24"/>
        </w:rPr>
        <w:t>dant opined,</w:t>
      </w:r>
      <w:r w:rsidRPr="008F7F29">
        <w:rPr>
          <w:rFonts w:ascii="Bookman Old Style" w:eastAsia="Arial Unicode MS" w:hAnsi="Bookman Old Style" w:cs="Arial Unicode MS"/>
          <w:sz w:val="24"/>
          <w:szCs w:val="24"/>
        </w:rPr>
        <w:t xml:space="preserve"> is </w:t>
      </w:r>
      <w:r w:rsidR="002C0A08">
        <w:rPr>
          <w:rFonts w:ascii="Bookman Old Style" w:eastAsia="Arial Unicode MS" w:hAnsi="Bookman Old Style" w:cs="Arial Unicode MS"/>
          <w:sz w:val="24"/>
          <w:szCs w:val="24"/>
        </w:rPr>
        <w:t>aim</w:t>
      </w:r>
      <w:r w:rsidR="00C12D00">
        <w:rPr>
          <w:rFonts w:ascii="Bookman Old Style" w:eastAsia="Arial Unicode MS" w:hAnsi="Bookman Old Style" w:cs="Arial Unicode MS"/>
          <w:sz w:val="24"/>
          <w:szCs w:val="24"/>
        </w:rPr>
        <w:t>ed</w:t>
      </w:r>
      <w:r w:rsidR="002C0A08">
        <w:rPr>
          <w:rFonts w:ascii="Bookman Old Style" w:eastAsia="Arial Unicode MS" w:hAnsi="Bookman Old Style" w:cs="Arial Unicode MS"/>
          <w:sz w:val="24"/>
          <w:szCs w:val="24"/>
        </w:rPr>
        <w:t xml:space="preserve"> at compensating</w:t>
      </w:r>
      <w:r w:rsidRPr="008F7F29">
        <w:rPr>
          <w:rFonts w:ascii="Bookman Old Style" w:eastAsia="Arial Unicode MS" w:hAnsi="Bookman Old Style" w:cs="Arial Unicode MS"/>
          <w:sz w:val="24"/>
          <w:szCs w:val="24"/>
        </w:rPr>
        <w:t xml:space="preserve"> for the lack of support </w:t>
      </w:r>
      <w:r w:rsidR="002C0A08">
        <w:rPr>
          <w:rFonts w:ascii="Bookman Old Style" w:eastAsia="Arial Unicode MS" w:hAnsi="Bookman Old Style" w:cs="Arial Unicode MS"/>
          <w:sz w:val="24"/>
          <w:szCs w:val="24"/>
        </w:rPr>
        <w:t xml:space="preserve">for the plaintiff </w:t>
      </w:r>
      <w:r w:rsidRPr="008F7F29">
        <w:rPr>
          <w:rFonts w:ascii="Bookman Old Style" w:eastAsia="Arial Unicode MS" w:hAnsi="Bookman Old Style" w:cs="Arial Unicode MS"/>
          <w:sz w:val="24"/>
          <w:szCs w:val="24"/>
        </w:rPr>
        <w:t>in Tonga speaking areas. The 1</w:t>
      </w:r>
      <w:r w:rsidRPr="008F7F29">
        <w:rPr>
          <w:rFonts w:ascii="Bookman Old Style" w:eastAsia="Arial Unicode MS" w:hAnsi="Bookman Old Style" w:cs="Arial Unicode MS"/>
          <w:sz w:val="24"/>
          <w:szCs w:val="24"/>
          <w:vertAlign w:val="superscript"/>
        </w:rPr>
        <w:t>st</w:t>
      </w:r>
      <w:r w:rsidR="002C0A08">
        <w:rPr>
          <w:rFonts w:ascii="Bookman Old Style" w:eastAsia="Arial Unicode MS" w:hAnsi="Bookman Old Style" w:cs="Arial Unicode MS"/>
          <w:sz w:val="24"/>
          <w:szCs w:val="24"/>
        </w:rPr>
        <w:t xml:space="preserve"> defendant contends</w:t>
      </w:r>
      <w:r w:rsidRPr="008F7F29">
        <w:rPr>
          <w:rFonts w:ascii="Bookman Old Style" w:eastAsia="Arial Unicode MS" w:hAnsi="Bookman Old Style" w:cs="Arial Unicode MS"/>
          <w:sz w:val="24"/>
          <w:szCs w:val="24"/>
        </w:rPr>
        <w:t xml:space="preserve"> that the plaintiff has contested three presidential elections</w:t>
      </w:r>
      <w:r w:rsidR="00C12D00">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and </w:t>
      </w:r>
      <w:r w:rsidR="002C0A08">
        <w:rPr>
          <w:rFonts w:ascii="Bookman Old Style" w:eastAsia="Arial Unicode MS" w:hAnsi="Bookman Old Style" w:cs="Arial Unicode MS"/>
          <w:sz w:val="24"/>
          <w:szCs w:val="24"/>
        </w:rPr>
        <w:t xml:space="preserve">has </w:t>
      </w:r>
      <w:r w:rsidRPr="008F7F29">
        <w:rPr>
          <w:rFonts w:ascii="Bookman Old Style" w:eastAsia="Arial Unicode MS" w:hAnsi="Bookman Old Style" w:cs="Arial Unicode MS"/>
          <w:sz w:val="24"/>
          <w:szCs w:val="24"/>
        </w:rPr>
        <w:t>lost</w:t>
      </w:r>
      <w:r w:rsidR="002C0A08">
        <w:rPr>
          <w:rFonts w:ascii="Bookman Old Style" w:eastAsia="Arial Unicode MS" w:hAnsi="Bookman Old Style" w:cs="Arial Unicode MS"/>
          <w:sz w:val="24"/>
          <w:szCs w:val="24"/>
        </w:rPr>
        <w:t xml:space="preserve"> all of them</w:t>
      </w:r>
      <w:r w:rsidRPr="008F7F29">
        <w:rPr>
          <w:rFonts w:ascii="Bookman Old Style" w:eastAsia="Arial Unicode MS" w:hAnsi="Bookman Old Style" w:cs="Arial Unicode MS"/>
          <w:sz w:val="24"/>
          <w:szCs w:val="24"/>
        </w:rPr>
        <w:t xml:space="preserve">. </w:t>
      </w:r>
      <w:r w:rsidR="002C0A08">
        <w:rPr>
          <w:rFonts w:ascii="Bookman Old Style" w:eastAsia="Arial Unicode MS" w:hAnsi="Bookman Old Style" w:cs="Arial Unicode MS"/>
          <w:sz w:val="24"/>
          <w:szCs w:val="24"/>
        </w:rPr>
        <w:t xml:space="preserve">Be that as it may, the </w:t>
      </w:r>
      <w:r w:rsidR="00877F6E">
        <w:rPr>
          <w:rFonts w:ascii="Bookman Old Style" w:eastAsia="Arial Unicode MS" w:hAnsi="Bookman Old Style" w:cs="Arial Unicode MS"/>
          <w:sz w:val="24"/>
          <w:szCs w:val="24"/>
        </w:rPr>
        <w:t xml:space="preserve">plaintiff </w:t>
      </w:r>
      <w:r w:rsidR="00B00B5B">
        <w:rPr>
          <w:rFonts w:ascii="Bookman Old Style" w:eastAsia="Arial Unicode MS" w:hAnsi="Bookman Old Style" w:cs="Arial Unicode MS"/>
          <w:sz w:val="24"/>
          <w:szCs w:val="24"/>
        </w:rPr>
        <w:t xml:space="preserve">is </w:t>
      </w:r>
      <w:r w:rsidR="00877F6E">
        <w:rPr>
          <w:rFonts w:ascii="Bookman Old Style" w:eastAsia="Arial Unicode MS" w:hAnsi="Bookman Old Style" w:cs="Arial Unicode MS"/>
          <w:sz w:val="24"/>
          <w:szCs w:val="24"/>
        </w:rPr>
        <w:t>not</w:t>
      </w:r>
      <w:r w:rsidRPr="008F7F29">
        <w:rPr>
          <w:rFonts w:ascii="Bookman Old Style" w:eastAsia="Arial Unicode MS" w:hAnsi="Bookman Old Style" w:cs="Arial Unicode MS"/>
          <w:sz w:val="24"/>
          <w:szCs w:val="24"/>
        </w:rPr>
        <w:t xml:space="preserve"> ready to give another person </w:t>
      </w:r>
      <w:r w:rsidR="00C12D00">
        <w:rPr>
          <w:rFonts w:ascii="Bookman Old Style" w:eastAsia="Arial Unicode MS" w:hAnsi="Bookman Old Style" w:cs="Arial Unicode MS"/>
          <w:sz w:val="24"/>
          <w:szCs w:val="24"/>
        </w:rPr>
        <w:t xml:space="preserve">a </w:t>
      </w:r>
      <w:r w:rsidRPr="008F7F29">
        <w:rPr>
          <w:rFonts w:ascii="Bookman Old Style" w:eastAsia="Arial Unicode MS" w:hAnsi="Bookman Old Style" w:cs="Arial Unicode MS"/>
          <w:sz w:val="24"/>
          <w:szCs w:val="24"/>
        </w:rPr>
        <w:t>chance to stand on the Patriot Front as a Presidential candidate. Lastly,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contends that the plaintiff has been disrespectful and at logger heads with his paramount Chief Chitimukulu, and the Royal Establishment. This disrespect,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claims, led to the plaintiff at one time being sum</w:t>
      </w:r>
      <w:r>
        <w:rPr>
          <w:rFonts w:ascii="Bookman Old Style" w:eastAsia="Arial Unicode MS" w:hAnsi="Bookman Old Style" w:cs="Arial Unicode MS"/>
          <w:sz w:val="24"/>
          <w:szCs w:val="24"/>
        </w:rPr>
        <w:t>moned to appear</w:t>
      </w:r>
      <w:r w:rsidRPr="008F7F29">
        <w:rPr>
          <w:rFonts w:ascii="Bookman Old Style" w:eastAsia="Arial Unicode MS" w:hAnsi="Bookman Old Style" w:cs="Arial Unicode MS"/>
          <w:sz w:val="24"/>
          <w:szCs w:val="24"/>
        </w:rPr>
        <w:t xml:space="preserve"> before the Traditional Court. </w:t>
      </w:r>
    </w:p>
    <w:p w:rsidR="00877F6E" w:rsidRDefault="00877F6E"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Overall,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contends that the plaintiff is a politician who is aspiring to be president of this country. Thus as a public figure, his conduct ought to be subjected to strict public scrutiny.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further contends </w:t>
      </w:r>
      <w:r w:rsidR="00C12D00">
        <w:rPr>
          <w:rFonts w:ascii="Bookman Old Style" w:eastAsia="Arial Unicode MS" w:hAnsi="Bookman Old Style" w:cs="Arial Unicode MS"/>
          <w:sz w:val="24"/>
          <w:szCs w:val="24"/>
        </w:rPr>
        <w:t xml:space="preserve">that </w:t>
      </w:r>
      <w:r w:rsidRPr="008F7F29">
        <w:rPr>
          <w:rFonts w:ascii="Bookman Old Style" w:eastAsia="Arial Unicode MS" w:hAnsi="Bookman Old Style" w:cs="Arial Unicode MS"/>
          <w:sz w:val="24"/>
          <w:szCs w:val="24"/>
        </w:rPr>
        <w:t>the words and images complained of in paragraph 7 of the statement of claim were published without malice, and are fair comment on a matter of public interest.</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On 17</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December, 2010,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filed his affidavit in opposition to an order for an interim injunction. In the affidavit in opposition,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maintains that he has pleaded the defence of justification, and fair comment on a matter of public interest on the conduct of the plaintiff who is aspiring </w:t>
      </w:r>
      <w:r w:rsidR="00C12D00">
        <w:rPr>
          <w:rFonts w:ascii="Bookman Old Style" w:eastAsia="Arial Unicode MS" w:hAnsi="Bookman Old Style" w:cs="Arial Unicode MS"/>
          <w:sz w:val="24"/>
          <w:szCs w:val="24"/>
        </w:rPr>
        <w:t xml:space="preserve">to be </w:t>
      </w:r>
      <w:r w:rsidRPr="008F7F29">
        <w:rPr>
          <w:rFonts w:ascii="Bookman Old Style" w:eastAsia="Arial Unicode MS" w:hAnsi="Bookman Old Style" w:cs="Arial Unicode MS"/>
          <w:sz w:val="24"/>
          <w:szCs w:val="24"/>
        </w:rPr>
        <w:t xml:space="preserve">the </w:t>
      </w:r>
      <w:r w:rsidR="00C12D00">
        <w:rPr>
          <w:rFonts w:ascii="Bookman Old Style" w:eastAsia="Arial Unicode MS" w:hAnsi="Bookman Old Style" w:cs="Arial Unicode MS"/>
          <w:sz w:val="24"/>
          <w:szCs w:val="24"/>
        </w:rPr>
        <w:t xml:space="preserve">next </w:t>
      </w:r>
      <w:r w:rsidRPr="008F7F29">
        <w:rPr>
          <w:rFonts w:ascii="Bookman Old Style" w:eastAsia="Arial Unicode MS" w:hAnsi="Bookman Old Style" w:cs="Arial Unicode MS"/>
          <w:sz w:val="24"/>
          <w:szCs w:val="24"/>
        </w:rPr>
        <w:t>President of the republic of Zambia.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also pressed in </w:t>
      </w:r>
      <w:r w:rsidRPr="008F7F29">
        <w:rPr>
          <w:rFonts w:ascii="Bookman Old Style" w:eastAsia="Arial Unicode MS" w:hAnsi="Bookman Old Style" w:cs="Arial Unicode MS"/>
          <w:sz w:val="24"/>
          <w:szCs w:val="24"/>
        </w:rPr>
        <w:lastRenderedPageBreak/>
        <w:t>the affidavit in opposition that the publication is not malicious, and is not intended to injure the plaintiff.</w:t>
      </w:r>
    </w:p>
    <w:p w:rsidR="00877F6E" w:rsidRDefault="00877F6E" w:rsidP="00153D09">
      <w:pPr>
        <w:spacing w:after="0" w:line="360" w:lineRule="auto"/>
        <w:jc w:val="both"/>
        <w:rPr>
          <w:rFonts w:ascii="Bookman Old Style" w:eastAsia="Arial Unicode MS" w:hAnsi="Bookman Old Style" w:cs="Arial Unicode MS"/>
          <w:sz w:val="24"/>
          <w:szCs w:val="24"/>
        </w:rPr>
      </w:pPr>
    </w:p>
    <w:p w:rsidR="00C12D00" w:rsidRDefault="00877F6E"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On 17</w:t>
      </w:r>
      <w:r w:rsidRPr="00877F6E">
        <w:rPr>
          <w:rFonts w:ascii="Bookman Old Style" w:eastAsia="Arial Unicode MS" w:hAnsi="Bookman Old Style" w:cs="Arial Unicode MS"/>
          <w:sz w:val="24"/>
          <w:szCs w:val="24"/>
          <w:vertAlign w:val="superscript"/>
        </w:rPr>
        <w:t>th</w:t>
      </w:r>
      <w:r>
        <w:rPr>
          <w:rFonts w:ascii="Bookman Old Style" w:eastAsia="Arial Unicode MS" w:hAnsi="Bookman Old Style" w:cs="Arial Unicode MS"/>
          <w:sz w:val="24"/>
          <w:szCs w:val="24"/>
        </w:rPr>
        <w:t xml:space="preserve"> January, 2011, the 1</w:t>
      </w:r>
      <w:r w:rsidRPr="00877F6E">
        <w:rPr>
          <w:rFonts w:ascii="Bookman Old Style" w:eastAsia="Arial Unicode MS" w:hAnsi="Bookman Old Style" w:cs="Arial Unicode MS"/>
          <w:sz w:val="24"/>
          <w:szCs w:val="24"/>
          <w:vertAlign w:val="superscript"/>
        </w:rPr>
        <w:t>st</w:t>
      </w:r>
      <w:r>
        <w:rPr>
          <w:rFonts w:ascii="Bookman Old Style" w:eastAsia="Arial Unicode MS" w:hAnsi="Bookman Old Style" w:cs="Arial Unicode MS"/>
          <w:sz w:val="24"/>
          <w:szCs w:val="24"/>
        </w:rPr>
        <w:t xml:space="preserve"> defendant filed a further affidavit in opposition, in the further affidavit, the 1</w:t>
      </w:r>
      <w:r w:rsidRPr="00877F6E">
        <w:rPr>
          <w:rFonts w:ascii="Bookman Old Style" w:eastAsia="Arial Unicode MS" w:hAnsi="Bookman Old Style" w:cs="Arial Unicode MS"/>
          <w:sz w:val="24"/>
          <w:szCs w:val="24"/>
          <w:vertAlign w:val="superscript"/>
        </w:rPr>
        <w:t>st</w:t>
      </w:r>
      <w:r>
        <w:rPr>
          <w:rFonts w:ascii="Bookman Old Style" w:eastAsia="Arial Unicode MS" w:hAnsi="Bookman Old Style" w:cs="Arial Unicode MS"/>
          <w:sz w:val="24"/>
          <w:szCs w:val="24"/>
        </w:rPr>
        <w:t xml:space="preserve"> defendant deposed that he has ceased publishing “</w:t>
      </w:r>
      <w:r w:rsidRPr="00C12D00">
        <w:rPr>
          <w:rFonts w:ascii="Bookman Old Style" w:eastAsia="Arial Unicode MS" w:hAnsi="Bookman Old Style" w:cs="Arial Unicode MS"/>
          <w:i/>
          <w:sz w:val="24"/>
          <w:szCs w:val="24"/>
        </w:rPr>
        <w:t>Stand up for Zambia, the Unholy Alliance,</w:t>
      </w:r>
      <w:r w:rsidR="00C12D00" w:rsidRPr="00C12D00">
        <w:rPr>
          <w:rFonts w:ascii="Bookman Old Style" w:eastAsia="Arial Unicode MS" w:hAnsi="Bookman Old Style" w:cs="Arial Unicode MS"/>
          <w:i/>
          <w:sz w:val="24"/>
          <w:szCs w:val="24"/>
        </w:rPr>
        <w:t>”</w:t>
      </w:r>
      <w:r>
        <w:rPr>
          <w:rFonts w:ascii="Bookman Old Style" w:eastAsia="Arial Unicode MS" w:hAnsi="Bookman Old Style" w:cs="Arial Unicode MS"/>
          <w:sz w:val="24"/>
          <w:szCs w:val="24"/>
        </w:rPr>
        <w:t xml:space="preserve"> and th</w:t>
      </w:r>
      <w:r w:rsidR="00C12D00">
        <w:rPr>
          <w:rFonts w:ascii="Bookman Old Style" w:eastAsia="Arial Unicode MS" w:hAnsi="Bookman Old Style" w:cs="Arial Unicode MS"/>
          <w:sz w:val="24"/>
          <w:szCs w:val="24"/>
        </w:rPr>
        <w:t>e “</w:t>
      </w:r>
      <w:r w:rsidR="00C12D00" w:rsidRPr="00C12D00">
        <w:rPr>
          <w:rFonts w:ascii="Bookman Old Style" w:eastAsia="Arial Unicode MS" w:hAnsi="Bookman Old Style" w:cs="Arial Unicode MS"/>
          <w:i/>
          <w:sz w:val="24"/>
          <w:szCs w:val="24"/>
        </w:rPr>
        <w:t>V</w:t>
      </w:r>
      <w:r w:rsidRPr="00C12D00">
        <w:rPr>
          <w:rFonts w:ascii="Bookman Old Style" w:eastAsia="Arial Unicode MS" w:hAnsi="Bookman Old Style" w:cs="Arial Unicode MS"/>
          <w:i/>
          <w:sz w:val="24"/>
          <w:szCs w:val="24"/>
        </w:rPr>
        <w:t>enom of the Cobra.</w:t>
      </w:r>
      <w:r>
        <w:rPr>
          <w:rFonts w:ascii="Bookman Old Style" w:eastAsia="Arial Unicode MS" w:hAnsi="Bookman Old Style" w:cs="Arial Unicode MS"/>
          <w:sz w:val="24"/>
          <w:szCs w:val="24"/>
        </w:rPr>
        <w:t>” The 1</w:t>
      </w:r>
      <w:r w:rsidRPr="00877F6E">
        <w:rPr>
          <w:rFonts w:ascii="Bookman Old Style" w:eastAsia="Arial Unicode MS" w:hAnsi="Bookman Old Style" w:cs="Arial Unicode MS"/>
          <w:sz w:val="24"/>
          <w:szCs w:val="24"/>
          <w:vertAlign w:val="superscript"/>
        </w:rPr>
        <w:t>st</w:t>
      </w:r>
      <w:r>
        <w:rPr>
          <w:rFonts w:ascii="Bookman Old Style" w:eastAsia="Arial Unicode MS" w:hAnsi="Bookman Old Style" w:cs="Arial Unicode MS"/>
          <w:sz w:val="24"/>
          <w:szCs w:val="24"/>
        </w:rPr>
        <w:t xml:space="preserve"> defendant however admitted that he has continued to publish documentaries under the </w:t>
      </w:r>
      <w:r w:rsidR="00C12D00">
        <w:rPr>
          <w:rFonts w:ascii="Bookman Old Style" w:eastAsia="Arial Unicode MS" w:hAnsi="Bookman Old Style" w:cs="Arial Unicode MS"/>
          <w:sz w:val="24"/>
          <w:szCs w:val="24"/>
        </w:rPr>
        <w:t xml:space="preserve">title </w:t>
      </w:r>
      <w:r w:rsidRPr="00C12D00">
        <w:rPr>
          <w:rFonts w:ascii="Bookman Old Style" w:eastAsia="Arial Unicode MS" w:hAnsi="Bookman Old Style" w:cs="Arial Unicode MS"/>
          <w:i/>
          <w:sz w:val="24"/>
          <w:szCs w:val="24"/>
        </w:rPr>
        <w:t>“Stand up for Zambia.”</w:t>
      </w:r>
      <w:r w:rsidR="00C12D00">
        <w:rPr>
          <w:rFonts w:ascii="Bookman Old Style" w:eastAsia="Arial Unicode MS" w:hAnsi="Bookman Old Style" w:cs="Arial Unicode MS"/>
          <w:sz w:val="24"/>
          <w:szCs w:val="24"/>
        </w:rPr>
        <w:t xml:space="preserve"> The </w:t>
      </w:r>
      <w:r>
        <w:rPr>
          <w:rFonts w:ascii="Bookman Old Style" w:eastAsia="Arial Unicode MS" w:hAnsi="Bookman Old Style" w:cs="Arial Unicode MS"/>
          <w:sz w:val="24"/>
          <w:szCs w:val="24"/>
        </w:rPr>
        <w:t>1</w:t>
      </w:r>
      <w:r w:rsidRPr="00877F6E">
        <w:rPr>
          <w:rFonts w:ascii="Bookman Old Style" w:eastAsia="Arial Unicode MS" w:hAnsi="Bookman Old Style" w:cs="Arial Unicode MS"/>
          <w:sz w:val="24"/>
          <w:szCs w:val="24"/>
          <w:vertAlign w:val="superscript"/>
        </w:rPr>
        <w:t>st</w:t>
      </w:r>
      <w:r>
        <w:rPr>
          <w:rFonts w:ascii="Bookman Old Style" w:eastAsia="Arial Unicode MS" w:hAnsi="Bookman Old Style" w:cs="Arial Unicode MS"/>
          <w:sz w:val="24"/>
          <w:szCs w:val="24"/>
        </w:rPr>
        <w:t xml:space="preserve"> defendant contends that he is able to justify the contents of the programme as being true in substance, and fact.</w:t>
      </w:r>
      <w:r w:rsidR="002A7FD3">
        <w:rPr>
          <w:rFonts w:ascii="Bookman Old Style" w:eastAsia="Arial Unicode MS" w:hAnsi="Bookman Old Style" w:cs="Arial Unicode MS"/>
          <w:sz w:val="24"/>
          <w:szCs w:val="24"/>
        </w:rPr>
        <w:t xml:space="preserve"> The 1</w:t>
      </w:r>
      <w:r w:rsidR="002A7FD3" w:rsidRPr="002A7FD3">
        <w:rPr>
          <w:rFonts w:ascii="Bookman Old Style" w:eastAsia="Arial Unicode MS" w:hAnsi="Bookman Old Style" w:cs="Arial Unicode MS"/>
          <w:sz w:val="24"/>
          <w:szCs w:val="24"/>
          <w:vertAlign w:val="superscript"/>
        </w:rPr>
        <w:t>st</w:t>
      </w:r>
      <w:r w:rsidR="002A7FD3">
        <w:rPr>
          <w:rFonts w:ascii="Bookman Old Style" w:eastAsia="Arial Unicode MS" w:hAnsi="Bookman Old Style" w:cs="Arial Unicode MS"/>
          <w:sz w:val="24"/>
          <w:szCs w:val="24"/>
        </w:rPr>
        <w:t xml:space="preserve"> defendant reiterated in the further affidavit that the plaintiff is not suitable to hold public office let alone be president of the republic of Zambia. To support the assertion the 1</w:t>
      </w:r>
      <w:r w:rsidR="002A7FD3" w:rsidRPr="002A7FD3">
        <w:rPr>
          <w:rFonts w:ascii="Bookman Old Style" w:eastAsia="Arial Unicode MS" w:hAnsi="Bookman Old Style" w:cs="Arial Unicode MS"/>
          <w:sz w:val="24"/>
          <w:szCs w:val="24"/>
          <w:vertAlign w:val="superscript"/>
        </w:rPr>
        <w:t>st</w:t>
      </w:r>
      <w:r w:rsidR="002A7FD3">
        <w:rPr>
          <w:rFonts w:ascii="Bookman Old Style" w:eastAsia="Arial Unicode MS" w:hAnsi="Bookman Old Style" w:cs="Arial Unicode MS"/>
          <w:sz w:val="24"/>
          <w:szCs w:val="24"/>
        </w:rPr>
        <w:t xml:space="preserve"> defendant drew my attention to some cut</w:t>
      </w:r>
      <w:r w:rsidR="000674E2">
        <w:rPr>
          <w:rFonts w:ascii="Bookman Old Style" w:eastAsia="Arial Unicode MS" w:hAnsi="Bookman Old Style" w:cs="Arial Unicode MS"/>
          <w:sz w:val="24"/>
          <w:szCs w:val="24"/>
        </w:rPr>
        <w:t>tings of the old publications of the weekly post.</w:t>
      </w:r>
      <w:r w:rsidR="00B00B5B">
        <w:rPr>
          <w:rFonts w:ascii="Bookman Old Style" w:eastAsia="Arial Unicode MS" w:hAnsi="Bookman Old Style" w:cs="Arial Unicode MS"/>
          <w:sz w:val="24"/>
          <w:szCs w:val="24"/>
        </w:rPr>
        <w:t xml:space="preserve"> </w:t>
      </w:r>
      <w:r w:rsidR="000674E2">
        <w:rPr>
          <w:rFonts w:ascii="Bookman Old Style" w:eastAsia="Arial Unicode MS" w:hAnsi="Bookman Old Style" w:cs="Arial Unicode MS"/>
          <w:sz w:val="24"/>
          <w:szCs w:val="24"/>
        </w:rPr>
        <w:t xml:space="preserve">The </w:t>
      </w:r>
      <w:r w:rsidR="00C12D00">
        <w:rPr>
          <w:rFonts w:ascii="Bookman Old Style" w:eastAsia="Arial Unicode MS" w:hAnsi="Bookman Old Style" w:cs="Arial Unicode MS"/>
          <w:sz w:val="24"/>
          <w:szCs w:val="24"/>
        </w:rPr>
        <w:t xml:space="preserve">old </w:t>
      </w:r>
      <w:r w:rsidR="000674E2">
        <w:rPr>
          <w:rFonts w:ascii="Bookman Old Style" w:eastAsia="Arial Unicode MS" w:hAnsi="Bookman Old Style" w:cs="Arial Unicode MS"/>
          <w:sz w:val="24"/>
          <w:szCs w:val="24"/>
        </w:rPr>
        <w:t xml:space="preserve">publications referred to are comments on the plaintiff’s character, and conduct, I will address the contents of these newspaper cuttings later. </w:t>
      </w:r>
    </w:p>
    <w:p w:rsidR="00C12D00" w:rsidRDefault="00C12D00" w:rsidP="00153D09">
      <w:pPr>
        <w:spacing w:after="0" w:line="360" w:lineRule="auto"/>
        <w:jc w:val="both"/>
        <w:rPr>
          <w:rFonts w:ascii="Bookman Old Style" w:eastAsia="Arial Unicode MS" w:hAnsi="Bookman Old Style" w:cs="Arial Unicode MS"/>
          <w:sz w:val="24"/>
          <w:szCs w:val="24"/>
        </w:rPr>
      </w:pPr>
    </w:p>
    <w:p w:rsidR="00346DF8" w:rsidRDefault="000674E2"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Further, the 1</w:t>
      </w:r>
      <w:r w:rsidRPr="000674E2">
        <w:rPr>
          <w:rFonts w:ascii="Bookman Old Style" w:eastAsia="Arial Unicode MS" w:hAnsi="Bookman Old Style" w:cs="Arial Unicode MS"/>
          <w:sz w:val="24"/>
          <w:szCs w:val="24"/>
          <w:vertAlign w:val="superscript"/>
        </w:rPr>
        <w:t>st</w:t>
      </w:r>
      <w:r>
        <w:rPr>
          <w:rFonts w:ascii="Bookman Old Style" w:eastAsia="Arial Unicode MS" w:hAnsi="Bookman Old Style" w:cs="Arial Unicode MS"/>
          <w:sz w:val="24"/>
          <w:szCs w:val="24"/>
        </w:rPr>
        <w:t xml:space="preserve"> defendant produced in the </w:t>
      </w:r>
      <w:r w:rsidR="00C12D00">
        <w:rPr>
          <w:rFonts w:ascii="Bookman Old Style" w:eastAsia="Arial Unicode MS" w:hAnsi="Bookman Old Style" w:cs="Arial Unicode MS"/>
          <w:sz w:val="24"/>
          <w:szCs w:val="24"/>
        </w:rPr>
        <w:t xml:space="preserve">further </w:t>
      </w:r>
      <w:r>
        <w:rPr>
          <w:rFonts w:ascii="Bookman Old Style" w:eastAsia="Arial Unicode MS" w:hAnsi="Bookman Old Style" w:cs="Arial Unicode MS"/>
          <w:sz w:val="24"/>
          <w:szCs w:val="24"/>
        </w:rPr>
        <w:t>affidavit a copy of the letter authored by the plaintiff dated 7</w:t>
      </w:r>
      <w:r w:rsidRPr="000674E2">
        <w:rPr>
          <w:rFonts w:ascii="Bookman Old Style" w:eastAsia="Arial Unicode MS" w:hAnsi="Bookman Old Style" w:cs="Arial Unicode MS"/>
          <w:sz w:val="24"/>
          <w:szCs w:val="24"/>
          <w:vertAlign w:val="superscript"/>
        </w:rPr>
        <w:t>th</w:t>
      </w:r>
      <w:r>
        <w:rPr>
          <w:rFonts w:ascii="Bookman Old Style" w:eastAsia="Arial Unicode MS" w:hAnsi="Bookman Old Style" w:cs="Arial Unicode MS"/>
          <w:sz w:val="24"/>
          <w:szCs w:val="24"/>
        </w:rPr>
        <w:t xml:space="preserve"> August, 1997, which the 1</w:t>
      </w:r>
      <w:r w:rsidRPr="000674E2">
        <w:rPr>
          <w:rFonts w:ascii="Bookman Old Style" w:eastAsia="Arial Unicode MS" w:hAnsi="Bookman Old Style" w:cs="Arial Unicode MS"/>
          <w:sz w:val="24"/>
          <w:szCs w:val="24"/>
          <w:vertAlign w:val="superscript"/>
        </w:rPr>
        <w:t>st</w:t>
      </w:r>
      <w:r>
        <w:rPr>
          <w:rFonts w:ascii="Bookman Old Style" w:eastAsia="Arial Unicode MS" w:hAnsi="Bookman Old Style" w:cs="Arial Unicode MS"/>
          <w:sz w:val="24"/>
          <w:szCs w:val="24"/>
        </w:rPr>
        <w:t xml:space="preserve"> defendant is relying on in alleging that the plaintiff hounded the late </w:t>
      </w:r>
      <w:r w:rsidR="00B00B5B">
        <w:rPr>
          <w:rFonts w:ascii="Bookman Old Style" w:eastAsia="Arial Unicode MS" w:hAnsi="Bookman Old Style" w:cs="Arial Unicode MS"/>
          <w:sz w:val="24"/>
          <w:szCs w:val="24"/>
        </w:rPr>
        <w:t xml:space="preserve">Mr. </w:t>
      </w:r>
      <w:r>
        <w:rPr>
          <w:rFonts w:ascii="Bookman Old Style" w:eastAsia="Arial Unicode MS" w:hAnsi="Bookman Old Style" w:cs="Arial Unicode MS"/>
          <w:sz w:val="24"/>
          <w:szCs w:val="24"/>
        </w:rPr>
        <w:t>Anderson Mazoka from the MMD. Furthermore, the 1</w:t>
      </w:r>
      <w:r w:rsidRPr="000674E2">
        <w:rPr>
          <w:rFonts w:ascii="Bookman Old Style" w:eastAsia="Arial Unicode MS" w:hAnsi="Bookman Old Style" w:cs="Arial Unicode MS"/>
          <w:sz w:val="24"/>
          <w:szCs w:val="24"/>
          <w:vertAlign w:val="superscript"/>
        </w:rPr>
        <w:t>st</w:t>
      </w:r>
      <w:r>
        <w:rPr>
          <w:rFonts w:ascii="Bookman Old Style" w:eastAsia="Arial Unicode MS" w:hAnsi="Bookman Old Style" w:cs="Arial Unicode MS"/>
          <w:sz w:val="24"/>
          <w:szCs w:val="24"/>
        </w:rPr>
        <w:t xml:space="preserve"> defendant produced a letter authored </w:t>
      </w:r>
      <w:r w:rsidR="00C4192B">
        <w:rPr>
          <w:rFonts w:ascii="Bookman Old Style" w:eastAsia="Arial Unicode MS" w:hAnsi="Bookman Old Style" w:cs="Arial Unicode MS"/>
          <w:sz w:val="24"/>
          <w:szCs w:val="24"/>
        </w:rPr>
        <w:t>again</w:t>
      </w:r>
      <w:r w:rsidR="00B00B5B">
        <w:rPr>
          <w:rFonts w:ascii="Bookman Old Style" w:eastAsia="Arial Unicode MS" w:hAnsi="Bookman Old Style" w:cs="Arial Unicode MS"/>
          <w:sz w:val="24"/>
          <w:szCs w:val="24"/>
        </w:rPr>
        <w:t>,</w:t>
      </w:r>
      <w:r w:rsidR="00C4192B">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by the plaintiff dated 2</w:t>
      </w:r>
      <w:r w:rsidRPr="000674E2">
        <w:rPr>
          <w:rFonts w:ascii="Bookman Old Style" w:eastAsia="Arial Unicode MS" w:hAnsi="Bookman Old Style" w:cs="Arial Unicode MS"/>
          <w:sz w:val="24"/>
          <w:szCs w:val="24"/>
          <w:vertAlign w:val="superscript"/>
        </w:rPr>
        <w:t>nd</w:t>
      </w:r>
      <w:r>
        <w:rPr>
          <w:rFonts w:ascii="Bookman Old Style" w:eastAsia="Arial Unicode MS" w:hAnsi="Bookman Old Style" w:cs="Arial Unicode MS"/>
          <w:sz w:val="24"/>
          <w:szCs w:val="24"/>
        </w:rPr>
        <w:t xml:space="preserve"> </w:t>
      </w:r>
      <w:r w:rsidR="00C12D00">
        <w:rPr>
          <w:rFonts w:ascii="Bookman Old Style" w:eastAsia="Arial Unicode MS" w:hAnsi="Bookman Old Style" w:cs="Arial Unicode MS"/>
          <w:sz w:val="24"/>
          <w:szCs w:val="24"/>
        </w:rPr>
        <w:t>June, 2000;</w:t>
      </w:r>
      <w:r>
        <w:rPr>
          <w:rFonts w:ascii="Bookman Old Style" w:eastAsia="Arial Unicode MS" w:hAnsi="Bookman Old Style" w:cs="Arial Unicode MS"/>
          <w:sz w:val="24"/>
          <w:szCs w:val="24"/>
        </w:rPr>
        <w:t xml:space="preserve"> suspending Mr. Benjamin </w:t>
      </w:r>
      <w:r w:rsidR="00C12D00">
        <w:rPr>
          <w:rFonts w:ascii="Bookman Old Style" w:eastAsia="Arial Unicode MS" w:hAnsi="Bookman Old Style" w:cs="Arial Unicode MS"/>
          <w:sz w:val="24"/>
          <w:szCs w:val="24"/>
        </w:rPr>
        <w:t xml:space="preserve">Y. </w:t>
      </w:r>
      <w:r>
        <w:rPr>
          <w:rFonts w:ascii="Bookman Old Style" w:eastAsia="Arial Unicode MS" w:hAnsi="Bookman Old Style" w:cs="Arial Unicode MS"/>
          <w:sz w:val="24"/>
          <w:szCs w:val="24"/>
        </w:rPr>
        <w:t>Mwila from MMD. Lastly, the 1</w:t>
      </w:r>
      <w:r w:rsidRPr="000674E2">
        <w:rPr>
          <w:rFonts w:ascii="Bookman Old Style" w:eastAsia="Arial Unicode MS" w:hAnsi="Bookman Old Style" w:cs="Arial Unicode MS"/>
          <w:sz w:val="24"/>
          <w:szCs w:val="24"/>
          <w:vertAlign w:val="superscript"/>
        </w:rPr>
        <w:t>st</w:t>
      </w:r>
      <w:r>
        <w:rPr>
          <w:rFonts w:ascii="Bookman Old Style" w:eastAsia="Arial Unicode MS" w:hAnsi="Bookman Old Style" w:cs="Arial Unicode MS"/>
          <w:sz w:val="24"/>
          <w:szCs w:val="24"/>
        </w:rPr>
        <w:t xml:space="preserve"> defendant produced a </w:t>
      </w:r>
      <w:r w:rsidRPr="00B00B5B">
        <w:rPr>
          <w:rFonts w:ascii="Bookman Old Style" w:eastAsia="Arial Unicode MS" w:hAnsi="Bookman Old Style" w:cs="Arial Unicode MS"/>
          <w:i/>
          <w:sz w:val="24"/>
          <w:szCs w:val="24"/>
        </w:rPr>
        <w:t>Post Newspaper</w:t>
      </w:r>
      <w:r>
        <w:rPr>
          <w:rFonts w:ascii="Bookman Old Style" w:eastAsia="Arial Unicode MS" w:hAnsi="Bookman Old Style" w:cs="Arial Unicode MS"/>
          <w:sz w:val="24"/>
          <w:szCs w:val="24"/>
        </w:rPr>
        <w:t xml:space="preserve"> cutting dated 12</w:t>
      </w:r>
      <w:r w:rsidRPr="000674E2">
        <w:rPr>
          <w:rFonts w:ascii="Bookman Old Style" w:eastAsia="Arial Unicode MS" w:hAnsi="Bookman Old Style" w:cs="Arial Unicode MS"/>
          <w:sz w:val="24"/>
          <w:szCs w:val="24"/>
          <w:vertAlign w:val="superscript"/>
        </w:rPr>
        <w:t>th</w:t>
      </w:r>
      <w:r>
        <w:rPr>
          <w:rFonts w:ascii="Bookman Old Style" w:eastAsia="Arial Unicode MS" w:hAnsi="Bookman Old Style" w:cs="Arial Unicode MS"/>
          <w:sz w:val="24"/>
          <w:szCs w:val="24"/>
        </w:rPr>
        <w:t xml:space="preserve"> August, 2010, which the defendant alleges is proof that the plaintiff clearly defames his political opponents as being hypocrital and cruel leaders in relation to</w:t>
      </w:r>
      <w:r w:rsidR="00C4192B">
        <w:rPr>
          <w:rFonts w:ascii="Bookman Old Style" w:eastAsia="Arial Unicode MS" w:hAnsi="Bookman Old Style" w:cs="Arial Unicode MS"/>
          <w:sz w:val="24"/>
          <w:szCs w:val="24"/>
        </w:rPr>
        <w:t xml:space="preserve"> the</w:t>
      </w:r>
      <w:r>
        <w:rPr>
          <w:rFonts w:ascii="Bookman Old Style" w:eastAsia="Arial Unicode MS" w:hAnsi="Bookman Old Style" w:cs="Arial Unicode MS"/>
          <w:sz w:val="24"/>
          <w:szCs w:val="24"/>
        </w:rPr>
        <w:t xml:space="preserve"> provision of medical services to the Zambian </w:t>
      </w:r>
      <w:r w:rsidR="007D112C">
        <w:rPr>
          <w:rFonts w:ascii="Bookman Old Style" w:eastAsia="Arial Unicode MS" w:hAnsi="Bookman Old Style" w:cs="Arial Unicode MS"/>
          <w:sz w:val="24"/>
          <w:szCs w:val="24"/>
        </w:rPr>
        <w:t>public</w:t>
      </w:r>
      <w:r w:rsidR="00346DF8">
        <w:rPr>
          <w:rFonts w:ascii="Bookman Old Style" w:eastAsia="Arial Unicode MS" w:hAnsi="Bookman Old Style" w:cs="Arial Unicode MS"/>
          <w:sz w:val="24"/>
          <w:szCs w:val="24"/>
        </w:rPr>
        <w:t>. Overall, the 1</w:t>
      </w:r>
      <w:r w:rsidR="00346DF8" w:rsidRPr="00346DF8">
        <w:rPr>
          <w:rFonts w:ascii="Bookman Old Style" w:eastAsia="Arial Unicode MS" w:hAnsi="Bookman Old Style" w:cs="Arial Unicode MS"/>
          <w:sz w:val="24"/>
          <w:szCs w:val="24"/>
          <w:vertAlign w:val="superscript"/>
        </w:rPr>
        <w:t>st</w:t>
      </w:r>
      <w:r w:rsidR="00346DF8">
        <w:rPr>
          <w:rFonts w:ascii="Bookman Old Style" w:eastAsia="Arial Unicode MS" w:hAnsi="Bookman Old Style" w:cs="Arial Unicode MS"/>
          <w:sz w:val="24"/>
          <w:szCs w:val="24"/>
        </w:rPr>
        <w:t xml:space="preserve"> defendant contends that the plaintiff is notorious for defaming his political opponents i</w:t>
      </w:r>
      <w:r w:rsidR="00B00B5B">
        <w:rPr>
          <w:rFonts w:ascii="Bookman Old Style" w:eastAsia="Arial Unicode MS" w:hAnsi="Bookman Old Style" w:cs="Arial Unicode MS"/>
          <w:sz w:val="24"/>
          <w:szCs w:val="24"/>
        </w:rPr>
        <w:t>n very unpalatable language, yet</w:t>
      </w:r>
      <w:r w:rsidR="00346DF8">
        <w:rPr>
          <w:rFonts w:ascii="Bookman Old Style" w:eastAsia="Arial Unicode MS" w:hAnsi="Bookman Old Style" w:cs="Arial Unicode MS"/>
          <w:sz w:val="24"/>
          <w:szCs w:val="24"/>
        </w:rPr>
        <w:t xml:space="preserve"> is quick to cry foul by the 1</w:t>
      </w:r>
      <w:r w:rsidR="00346DF8" w:rsidRPr="00346DF8">
        <w:rPr>
          <w:rFonts w:ascii="Bookman Old Style" w:eastAsia="Arial Unicode MS" w:hAnsi="Bookman Old Style" w:cs="Arial Unicode MS"/>
          <w:sz w:val="24"/>
          <w:szCs w:val="24"/>
          <w:vertAlign w:val="superscript"/>
        </w:rPr>
        <w:t>st</w:t>
      </w:r>
      <w:r w:rsidR="00346DF8">
        <w:rPr>
          <w:rFonts w:ascii="Bookman Old Style" w:eastAsia="Arial Unicode MS" w:hAnsi="Bookman Old Style" w:cs="Arial Unicode MS"/>
          <w:sz w:val="24"/>
          <w:szCs w:val="24"/>
        </w:rPr>
        <w:t xml:space="preserve"> de</w:t>
      </w:r>
      <w:r w:rsidR="00C4192B">
        <w:rPr>
          <w:rFonts w:ascii="Bookman Old Style" w:eastAsia="Arial Unicode MS" w:hAnsi="Bookman Old Style" w:cs="Arial Unicode MS"/>
          <w:sz w:val="24"/>
          <w:szCs w:val="24"/>
        </w:rPr>
        <w:t xml:space="preserve">fendant’s </w:t>
      </w:r>
      <w:r w:rsidR="00346DF8">
        <w:rPr>
          <w:rFonts w:ascii="Bookman Old Style" w:eastAsia="Arial Unicode MS" w:hAnsi="Bookman Old Style" w:cs="Arial Unicode MS"/>
          <w:sz w:val="24"/>
          <w:szCs w:val="24"/>
        </w:rPr>
        <w:t>criticism of his character, and conduct in the “</w:t>
      </w:r>
      <w:r w:rsidR="00346DF8" w:rsidRPr="00C4192B">
        <w:rPr>
          <w:rFonts w:ascii="Bookman Old Style" w:eastAsia="Arial Unicode MS" w:hAnsi="Bookman Old Style" w:cs="Arial Unicode MS"/>
          <w:i/>
          <w:sz w:val="24"/>
          <w:szCs w:val="24"/>
        </w:rPr>
        <w:t>Stand up for Zambia”</w:t>
      </w:r>
      <w:r w:rsidR="00346DF8">
        <w:rPr>
          <w:rFonts w:ascii="Bookman Old Style" w:eastAsia="Arial Unicode MS" w:hAnsi="Bookman Old Style" w:cs="Arial Unicode MS"/>
          <w:sz w:val="24"/>
          <w:szCs w:val="24"/>
        </w:rPr>
        <w:t xml:space="preserve"> documentaries</w:t>
      </w:r>
      <w:r w:rsidR="00C4192B">
        <w:rPr>
          <w:rFonts w:ascii="Bookman Old Style" w:eastAsia="Arial Unicode MS" w:hAnsi="Bookman Old Style" w:cs="Arial Unicode MS"/>
          <w:sz w:val="24"/>
          <w:szCs w:val="24"/>
        </w:rPr>
        <w:t>.</w:t>
      </w:r>
      <w:r w:rsidR="00346DF8">
        <w:rPr>
          <w:rFonts w:ascii="Bookman Old Style" w:eastAsia="Arial Unicode MS" w:hAnsi="Bookman Old Style" w:cs="Arial Unicode MS"/>
          <w:sz w:val="24"/>
          <w:szCs w:val="24"/>
        </w:rPr>
        <w:t xml:space="preserve"> </w:t>
      </w:r>
    </w:p>
    <w:p w:rsidR="00346DF8" w:rsidRDefault="00346DF8" w:rsidP="00153D09">
      <w:pPr>
        <w:spacing w:after="0" w:line="360" w:lineRule="auto"/>
        <w:jc w:val="both"/>
        <w:rPr>
          <w:rFonts w:ascii="Bookman Old Style" w:eastAsia="Arial Unicode MS" w:hAnsi="Bookman Old Style" w:cs="Arial Unicode MS"/>
          <w:sz w:val="24"/>
          <w:szCs w:val="24"/>
        </w:rPr>
      </w:pPr>
    </w:p>
    <w:p w:rsidR="00877F6E" w:rsidRPr="008F7F29" w:rsidRDefault="007D112C"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lastRenderedPageBreak/>
        <w:t xml:space="preserve"> </w:t>
      </w:r>
      <w:r w:rsidR="00877F6E">
        <w:rPr>
          <w:rFonts w:ascii="Bookman Old Style" w:eastAsia="Arial Unicode MS" w:hAnsi="Bookman Old Style" w:cs="Arial Unicode MS"/>
          <w:sz w:val="24"/>
          <w:szCs w:val="24"/>
        </w:rPr>
        <w:t xml:space="preserve">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877F6E"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The second defendant also filed its </w:t>
      </w:r>
      <w:r w:rsidR="00877F6E">
        <w:rPr>
          <w:rFonts w:ascii="Bookman Old Style" w:eastAsia="Arial Unicode MS" w:hAnsi="Bookman Old Style" w:cs="Arial Unicode MS"/>
          <w:sz w:val="24"/>
          <w:szCs w:val="24"/>
        </w:rPr>
        <w:t xml:space="preserve">amended </w:t>
      </w:r>
      <w:r w:rsidRPr="008F7F29">
        <w:rPr>
          <w:rFonts w:ascii="Bookman Old Style" w:eastAsia="Arial Unicode MS" w:hAnsi="Bookman Old Style" w:cs="Arial Unicode MS"/>
          <w:sz w:val="24"/>
          <w:szCs w:val="24"/>
        </w:rPr>
        <w:t>defence on 16</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December, 2011. The second defendant admits that it published the programmes, set out in paragraph 7 of the statement of claim. However, the 2</w:t>
      </w:r>
      <w:r w:rsidRPr="008F7F29">
        <w:rPr>
          <w:rFonts w:ascii="Bookman Old Style" w:eastAsia="Arial Unicode MS" w:hAnsi="Bookman Old Style" w:cs="Arial Unicode MS"/>
          <w:sz w:val="24"/>
          <w:szCs w:val="24"/>
          <w:vertAlign w:val="superscript"/>
        </w:rPr>
        <w:t>nd</w:t>
      </w:r>
      <w:r w:rsidRPr="008F7F29">
        <w:rPr>
          <w:rFonts w:ascii="Bookman Old Style" w:eastAsia="Arial Unicode MS" w:hAnsi="Bookman Old Style" w:cs="Arial Unicode MS"/>
          <w:sz w:val="24"/>
          <w:szCs w:val="24"/>
        </w:rPr>
        <w:t xml:space="preserve"> defendant denies that the words and images complained of are capable of bearing the meanings attributed to them in paragraph 8 of the statement of claim. In any event, the 2</w:t>
      </w:r>
      <w:r w:rsidRPr="008F7F29">
        <w:rPr>
          <w:rFonts w:ascii="Bookman Old Style" w:eastAsia="Arial Unicode MS" w:hAnsi="Bookman Old Style" w:cs="Arial Unicode MS"/>
          <w:sz w:val="24"/>
          <w:szCs w:val="24"/>
          <w:vertAlign w:val="superscript"/>
        </w:rPr>
        <w:t>nd</w:t>
      </w:r>
      <w:r w:rsidRPr="008F7F29">
        <w:rPr>
          <w:rFonts w:ascii="Bookman Old Style" w:eastAsia="Arial Unicode MS" w:hAnsi="Bookman Old Style" w:cs="Arial Unicode MS"/>
          <w:sz w:val="24"/>
          <w:szCs w:val="24"/>
        </w:rPr>
        <w:t xml:space="preserve"> defendant contends that the words, and images complained of are true in substance and fact. The 2</w:t>
      </w:r>
      <w:r w:rsidRPr="008F7F29">
        <w:rPr>
          <w:rFonts w:ascii="Bookman Old Style" w:eastAsia="Arial Unicode MS" w:hAnsi="Bookman Old Style" w:cs="Arial Unicode MS"/>
          <w:sz w:val="24"/>
          <w:szCs w:val="24"/>
          <w:vertAlign w:val="superscript"/>
        </w:rPr>
        <w:t>nd</w:t>
      </w:r>
      <w:r w:rsidRPr="008F7F29">
        <w:rPr>
          <w:rFonts w:ascii="Bookman Old Style" w:eastAsia="Arial Unicode MS" w:hAnsi="Bookman Old Style" w:cs="Arial Unicode MS"/>
          <w:sz w:val="24"/>
          <w:szCs w:val="24"/>
        </w:rPr>
        <w:t xml:space="preserve"> defendant contends in particular that: the plaintiff is a political schemer who as National Secretary of MMD hounded a lot of members from the party in order to consolidate his hold on the party, and ambitions for presidency of the country; the plaintiff has dictatorial tendencies, and the plaintiffs conduct is not befitting of a person </w:t>
      </w:r>
      <w:r w:rsidR="00877F6E">
        <w:rPr>
          <w:rFonts w:ascii="Bookman Old Style" w:eastAsia="Arial Unicode MS" w:hAnsi="Bookman Old Style" w:cs="Arial Unicode MS"/>
          <w:sz w:val="24"/>
          <w:szCs w:val="24"/>
        </w:rPr>
        <w:t xml:space="preserve">aspiring for </w:t>
      </w:r>
      <w:r w:rsidRPr="008F7F29">
        <w:rPr>
          <w:rFonts w:ascii="Bookman Old Style" w:eastAsia="Arial Unicode MS" w:hAnsi="Bookman Old Style" w:cs="Arial Unicode MS"/>
          <w:sz w:val="24"/>
          <w:szCs w:val="24"/>
        </w:rPr>
        <w:t>the highest o</w:t>
      </w:r>
      <w:r w:rsidR="00877F6E">
        <w:rPr>
          <w:rFonts w:ascii="Bookman Old Style" w:eastAsia="Arial Unicode MS" w:hAnsi="Bookman Old Style" w:cs="Arial Unicode MS"/>
          <w:sz w:val="24"/>
          <w:szCs w:val="24"/>
        </w:rPr>
        <w:t>ffice in</w:t>
      </w:r>
      <w:r w:rsidRPr="008F7F29">
        <w:rPr>
          <w:rFonts w:ascii="Bookman Old Style" w:eastAsia="Arial Unicode MS" w:hAnsi="Bookman Old Style" w:cs="Arial Unicode MS"/>
          <w:sz w:val="24"/>
          <w:szCs w:val="24"/>
        </w:rPr>
        <w:t xml:space="preserve"> the republic of Zambia. In justifying the </w:t>
      </w:r>
      <w:r w:rsidR="00877F6E">
        <w:rPr>
          <w:rFonts w:ascii="Bookman Old Style" w:eastAsia="Arial Unicode MS" w:hAnsi="Bookman Old Style" w:cs="Arial Unicode MS"/>
          <w:sz w:val="24"/>
          <w:szCs w:val="24"/>
        </w:rPr>
        <w:t xml:space="preserve">aspersion </w:t>
      </w:r>
      <w:r w:rsidRPr="008F7F29">
        <w:rPr>
          <w:rFonts w:ascii="Bookman Old Style" w:eastAsia="Arial Unicode MS" w:hAnsi="Bookman Old Style" w:cs="Arial Unicode MS"/>
          <w:sz w:val="24"/>
          <w:szCs w:val="24"/>
        </w:rPr>
        <w:t>against the plaintiff, second defendant has relied on the same particulars as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Therefore, it is unnecessary for me to repeat them here. Overall, the 2</w:t>
      </w:r>
      <w:r w:rsidRPr="008F7F29">
        <w:rPr>
          <w:rFonts w:ascii="Bookman Old Style" w:eastAsia="Arial Unicode MS" w:hAnsi="Bookman Old Style" w:cs="Arial Unicode MS"/>
          <w:sz w:val="24"/>
          <w:szCs w:val="24"/>
          <w:vertAlign w:val="superscript"/>
        </w:rPr>
        <w:t>nd</w:t>
      </w:r>
      <w:r w:rsidRPr="008F7F29">
        <w:rPr>
          <w:rFonts w:ascii="Bookman Old Style" w:eastAsia="Arial Unicode MS" w:hAnsi="Bookman Old Style" w:cs="Arial Unicode MS"/>
          <w:sz w:val="24"/>
          <w:szCs w:val="24"/>
        </w:rPr>
        <w:t xml:space="preserve"> defendant also contends that the plaintiff</w:t>
      </w:r>
      <w:r w:rsidR="00877F6E">
        <w:rPr>
          <w:rFonts w:ascii="Bookman Old Style" w:eastAsia="Arial Unicode MS" w:hAnsi="Bookman Old Style" w:cs="Arial Unicode MS"/>
          <w:sz w:val="24"/>
          <w:szCs w:val="24"/>
        </w:rPr>
        <w:t xml:space="preserve"> is a politician whose conduct</w:t>
      </w:r>
      <w:r w:rsidRPr="008F7F29">
        <w:rPr>
          <w:rFonts w:ascii="Bookman Old Style" w:eastAsia="Arial Unicode MS" w:hAnsi="Bookman Old Style" w:cs="Arial Unicode MS"/>
          <w:sz w:val="24"/>
          <w:szCs w:val="24"/>
        </w:rPr>
        <w:t xml:space="preserve"> should be subjected to strict public scrutiny. </w:t>
      </w:r>
    </w:p>
    <w:p w:rsidR="00877F6E" w:rsidRDefault="00877F6E"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filed its defence on 10</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December, 2010. 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admits broadcasting and publishing weekly series of programmes entitled </w:t>
      </w:r>
      <w:r w:rsidRPr="008F7F29">
        <w:rPr>
          <w:rFonts w:ascii="Bookman Old Style" w:eastAsia="Arial Unicode MS" w:hAnsi="Bookman Old Style" w:cs="Arial Unicode MS"/>
          <w:i/>
          <w:sz w:val="24"/>
          <w:szCs w:val="24"/>
        </w:rPr>
        <w:t>“Stand u</w:t>
      </w:r>
      <w:r w:rsidR="00C4192B">
        <w:rPr>
          <w:rFonts w:ascii="Bookman Old Style" w:eastAsia="Arial Unicode MS" w:hAnsi="Bookman Old Style" w:cs="Arial Unicode MS"/>
          <w:i/>
          <w:sz w:val="24"/>
          <w:szCs w:val="24"/>
        </w:rPr>
        <w:t>p</w:t>
      </w:r>
      <w:r w:rsidRPr="008F7F29">
        <w:rPr>
          <w:rFonts w:ascii="Bookman Old Style" w:eastAsia="Arial Unicode MS" w:hAnsi="Bookman Old Style" w:cs="Arial Unicode MS"/>
          <w:i/>
          <w:sz w:val="24"/>
          <w:szCs w:val="24"/>
        </w:rPr>
        <w:t xml:space="preserve"> for Zambia.”</w:t>
      </w:r>
      <w:r w:rsidRPr="008F7F29">
        <w:rPr>
          <w:rFonts w:ascii="Bookman Old Style" w:eastAsia="Arial Unicode MS" w:hAnsi="Bookman Old Style" w:cs="Arial Unicode MS"/>
          <w:sz w:val="24"/>
          <w:szCs w:val="24"/>
        </w:rPr>
        <w:t xml:space="preserve"> However, 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denies that the words and images in issue are defamatory of the plaintiff.</w:t>
      </w:r>
      <w:r w:rsidR="00877F6E">
        <w:rPr>
          <w:rFonts w:ascii="Bookman Old Style" w:eastAsia="Arial Unicode MS" w:hAnsi="Bookman Old Style" w:cs="Arial Unicode MS"/>
          <w:sz w:val="24"/>
          <w:szCs w:val="24"/>
        </w:rPr>
        <w:t xml:space="preserve"> </w:t>
      </w:r>
      <w:r w:rsidRPr="008F7F29">
        <w:rPr>
          <w:rFonts w:ascii="Bookman Old Style" w:eastAsia="Arial Unicode MS" w:hAnsi="Bookman Old Style" w:cs="Arial Unicode MS"/>
          <w:sz w:val="24"/>
          <w:szCs w:val="24"/>
        </w:rPr>
        <w:t>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further contends that the words and images set out in paragraph 7 of the statement of claim, were published in the </w:t>
      </w:r>
      <w:r w:rsidRPr="008F7F29">
        <w:rPr>
          <w:rFonts w:ascii="Bookman Old Style" w:eastAsia="Arial Unicode MS" w:hAnsi="Bookman Old Style" w:cs="Arial Unicode MS"/>
          <w:i/>
          <w:sz w:val="24"/>
          <w:szCs w:val="24"/>
        </w:rPr>
        <w:t>bona fide</w:t>
      </w:r>
      <w:r w:rsidRPr="008F7F29">
        <w:rPr>
          <w:rFonts w:ascii="Bookman Old Style" w:eastAsia="Arial Unicode MS" w:hAnsi="Bookman Old Style" w:cs="Arial Unicode MS"/>
          <w:sz w:val="24"/>
          <w:szCs w:val="24"/>
        </w:rPr>
        <w:t xml:space="preserve"> discharge of 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defendants duty as a television company. The broadcast, 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maintains were made without malice towards the plaintiff, and in the honest belief that what was published is true.</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further contends that the Zambian public and the electorate have a corresponding interest in the character, personality and suitability of </w:t>
      </w:r>
      <w:r w:rsidRPr="008F7F29">
        <w:rPr>
          <w:rFonts w:ascii="Bookman Old Style" w:eastAsia="Arial Unicode MS" w:hAnsi="Bookman Old Style" w:cs="Arial Unicode MS"/>
          <w:sz w:val="24"/>
          <w:szCs w:val="24"/>
        </w:rPr>
        <w:lastRenderedPageBreak/>
        <w:t>the plaintiff to ascend to the office of president of the republic of Zambia. 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also maintains that</w:t>
      </w:r>
      <w:r w:rsidR="0088014A">
        <w:rPr>
          <w:rFonts w:ascii="Bookman Old Style" w:eastAsia="Arial Unicode MS" w:hAnsi="Bookman Old Style" w:cs="Arial Unicode MS"/>
          <w:sz w:val="24"/>
          <w:szCs w:val="24"/>
        </w:rPr>
        <w:t xml:space="preserve"> the public, and electorate had</w:t>
      </w:r>
      <w:r w:rsidRPr="008F7F29">
        <w:rPr>
          <w:rFonts w:ascii="Bookman Old Style" w:eastAsia="Arial Unicode MS" w:hAnsi="Bookman Old Style" w:cs="Arial Unicode MS"/>
          <w:sz w:val="24"/>
          <w:szCs w:val="24"/>
        </w:rPr>
        <w:t xml:space="preserve"> an interest in the viability of the PF/UPNF  Pact to form the next government. In a sum, 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contends that the word</w:t>
      </w:r>
      <w:r w:rsidR="0088014A">
        <w:rPr>
          <w:rFonts w:ascii="Bookman Old Style" w:eastAsia="Arial Unicode MS" w:hAnsi="Bookman Old Style" w:cs="Arial Unicode MS"/>
          <w:sz w:val="24"/>
          <w:szCs w:val="24"/>
        </w:rPr>
        <w:t>s and images complained of were</w:t>
      </w:r>
      <w:r w:rsidRPr="008F7F29">
        <w:rPr>
          <w:rFonts w:ascii="Bookman Old Style" w:eastAsia="Arial Unicode MS" w:hAnsi="Bookman Old Style" w:cs="Arial Unicode MS"/>
          <w:sz w:val="24"/>
          <w:szCs w:val="24"/>
        </w:rPr>
        <w:t xml:space="preserve"> fair, </w:t>
      </w:r>
      <w:r w:rsidRPr="0088014A">
        <w:rPr>
          <w:rFonts w:ascii="Bookman Old Style" w:eastAsia="Arial Unicode MS" w:hAnsi="Bookman Old Style" w:cs="Arial Unicode MS"/>
          <w:i/>
          <w:sz w:val="24"/>
          <w:szCs w:val="24"/>
        </w:rPr>
        <w:t xml:space="preserve">bona fide </w:t>
      </w:r>
      <w:r w:rsidRPr="008F7F29">
        <w:rPr>
          <w:rFonts w:ascii="Bookman Old Style" w:eastAsia="Arial Unicode MS" w:hAnsi="Bookman Old Style" w:cs="Arial Unicode MS"/>
          <w:sz w:val="24"/>
          <w:szCs w:val="24"/>
        </w:rPr>
        <w:t xml:space="preserve">comments, and the occasion of their </w:t>
      </w:r>
      <w:r w:rsidR="0088014A">
        <w:rPr>
          <w:rFonts w:ascii="Bookman Old Style" w:eastAsia="Arial Unicode MS" w:hAnsi="Bookman Old Style" w:cs="Arial Unicode MS"/>
          <w:sz w:val="24"/>
          <w:szCs w:val="24"/>
        </w:rPr>
        <w:t>publication was privileged. Ultimately</w:t>
      </w:r>
      <w:r w:rsidRPr="008F7F29">
        <w:rPr>
          <w:rFonts w:ascii="Bookman Old Style" w:eastAsia="Arial Unicode MS" w:hAnsi="Bookman Old Style" w:cs="Arial Unicode MS"/>
          <w:sz w:val="24"/>
          <w:szCs w:val="24"/>
        </w:rPr>
        <w:t>, 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contends that the plaintiff is not entitled to an interim injunction.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On 10</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January, 2010, 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also filed an affidavit in opposition</w:t>
      </w:r>
      <w:r w:rsidR="00C4192B">
        <w:rPr>
          <w:rFonts w:ascii="Bookman Old Style" w:eastAsia="Arial Unicode MS" w:hAnsi="Bookman Old Style" w:cs="Arial Unicode MS"/>
          <w:sz w:val="24"/>
          <w:szCs w:val="24"/>
        </w:rPr>
        <w:t xml:space="preserve"> to the application for an interim injunction</w:t>
      </w:r>
      <w:r w:rsidRPr="008F7F29">
        <w:rPr>
          <w:rFonts w:ascii="Bookman Old Style" w:eastAsia="Arial Unicode MS" w:hAnsi="Bookman Old Style" w:cs="Arial Unicode MS"/>
          <w:sz w:val="24"/>
          <w:szCs w:val="24"/>
        </w:rPr>
        <w:t>. The affidavit was deposed to by one Alfred Gregg Tembo, the head of Administration with 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Mr. Tembo deposed in the affidavit in opposition as follows: that 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has pleaded the defences of fair comment</w:t>
      </w:r>
      <w:r w:rsidR="0088014A">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and qualified privilege. The </w:t>
      </w:r>
      <w:r w:rsidR="0088014A">
        <w:rPr>
          <w:rFonts w:ascii="Bookman Old Style" w:eastAsia="Arial Unicode MS" w:hAnsi="Bookman Old Style" w:cs="Arial Unicode MS"/>
          <w:sz w:val="24"/>
          <w:szCs w:val="24"/>
        </w:rPr>
        <w:t>3</w:t>
      </w:r>
      <w:r w:rsidR="0088014A" w:rsidRPr="0088014A">
        <w:rPr>
          <w:rFonts w:ascii="Bookman Old Style" w:eastAsia="Arial Unicode MS" w:hAnsi="Bookman Old Style" w:cs="Arial Unicode MS"/>
          <w:sz w:val="24"/>
          <w:szCs w:val="24"/>
          <w:vertAlign w:val="superscript"/>
        </w:rPr>
        <w:t>rd</w:t>
      </w:r>
      <w:r w:rsidR="0088014A">
        <w:rPr>
          <w:rFonts w:ascii="Bookman Old Style" w:eastAsia="Arial Unicode MS" w:hAnsi="Bookman Old Style" w:cs="Arial Unicode MS"/>
          <w:sz w:val="24"/>
          <w:szCs w:val="24"/>
        </w:rPr>
        <w:t xml:space="preserve"> defendant contends that the </w:t>
      </w:r>
      <w:r w:rsidRPr="008F7F29">
        <w:rPr>
          <w:rFonts w:ascii="Bookman Old Style" w:eastAsia="Arial Unicode MS" w:hAnsi="Bookman Old Style" w:cs="Arial Unicode MS"/>
          <w:sz w:val="24"/>
          <w:szCs w:val="24"/>
        </w:rPr>
        <w:t xml:space="preserve">publication complained of was published: </w:t>
      </w:r>
      <w:r w:rsidRPr="008F7F29">
        <w:rPr>
          <w:rFonts w:ascii="Bookman Old Style" w:eastAsia="Arial Unicode MS" w:hAnsi="Bookman Old Style" w:cs="Arial Unicode MS"/>
          <w:i/>
          <w:sz w:val="24"/>
          <w:szCs w:val="24"/>
        </w:rPr>
        <w:t>bona fide</w:t>
      </w:r>
      <w:r w:rsidRPr="008F7F29">
        <w:rPr>
          <w:rFonts w:ascii="Bookman Old Style" w:eastAsia="Arial Unicode MS" w:hAnsi="Bookman Old Style" w:cs="Arial Unicode MS"/>
          <w:sz w:val="24"/>
          <w:szCs w:val="24"/>
        </w:rPr>
        <w:t xml:space="preserve"> </w:t>
      </w:r>
      <w:r w:rsidR="00C4192B">
        <w:rPr>
          <w:rFonts w:ascii="Bookman Old Style" w:eastAsia="Arial Unicode MS" w:hAnsi="Bookman Old Style" w:cs="Arial Unicode MS"/>
          <w:sz w:val="24"/>
          <w:szCs w:val="24"/>
        </w:rPr>
        <w:t>in the discharge of a public dut</w:t>
      </w:r>
      <w:r w:rsidRPr="008F7F29">
        <w:rPr>
          <w:rFonts w:ascii="Bookman Old Style" w:eastAsia="Arial Unicode MS" w:hAnsi="Bookman Old Style" w:cs="Arial Unicode MS"/>
          <w:sz w:val="24"/>
          <w:szCs w:val="24"/>
        </w:rPr>
        <w:t xml:space="preserve">y; without malice towards the plaintiff, and for the benefit of the Zambian public who have a reciprocal, and corresponding interest in the character, personality, and suitability of the plaintiff ascending to the office of the President of Zambia. Mr. Tembo also exhibited newspaper cuttings depicting instances when the plaintiff has disparagingly been attacking his political adversaries. I will revert to these cuttings in due course. Thus ultimately Mr. Tembo contends that the plaintiff is not entitled to an interim injunction.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The 4</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defendant did not file a memorandum of appearance and defence. Consequently, on 16</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December, 2010, the plaintiff obtained ju</w:t>
      </w:r>
      <w:r w:rsidR="00C4192B">
        <w:rPr>
          <w:rFonts w:ascii="Bookman Old Style" w:eastAsia="Arial Unicode MS" w:hAnsi="Bookman Old Style" w:cs="Arial Unicode MS"/>
          <w:sz w:val="24"/>
          <w:szCs w:val="24"/>
        </w:rPr>
        <w:t>dgment in default of appearance</w:t>
      </w:r>
      <w:r w:rsidRPr="008F7F29">
        <w:rPr>
          <w:rFonts w:ascii="Bookman Old Style" w:eastAsia="Arial Unicode MS" w:hAnsi="Bookman Old Style" w:cs="Arial Unicode MS"/>
          <w:sz w:val="24"/>
          <w:szCs w:val="24"/>
        </w:rPr>
        <w:t xml:space="preserve"> and defence</w:t>
      </w:r>
      <w:r w:rsidR="00C4192B">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pursuant to Order 12, Rule 1 of the High Court Rules. On 19</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January, 2011, the defendant applied</w:t>
      </w:r>
      <w:r w:rsidR="0088014A">
        <w:rPr>
          <w:rFonts w:ascii="Bookman Old Style" w:eastAsia="Arial Unicode MS" w:hAnsi="Bookman Old Style" w:cs="Arial Unicode MS"/>
          <w:sz w:val="24"/>
          <w:szCs w:val="24"/>
        </w:rPr>
        <w:t xml:space="preserve"> to Court to set aside the judg</w:t>
      </w:r>
      <w:r w:rsidRPr="008F7F29">
        <w:rPr>
          <w:rFonts w:ascii="Bookman Old Style" w:eastAsia="Arial Unicode MS" w:hAnsi="Bookman Old Style" w:cs="Arial Unicode MS"/>
          <w:sz w:val="24"/>
          <w:szCs w:val="24"/>
        </w:rPr>
        <w:t>ment in default of appearance</w:t>
      </w:r>
      <w:r w:rsidR="0088014A">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and defence.</w:t>
      </w:r>
      <w:r w:rsidR="00B00B5B">
        <w:rPr>
          <w:rFonts w:ascii="Bookman Old Style" w:eastAsia="Arial Unicode MS" w:hAnsi="Bookman Old Style" w:cs="Arial Unicode MS"/>
          <w:sz w:val="24"/>
          <w:szCs w:val="24"/>
        </w:rPr>
        <w:t xml:space="preserve"> </w:t>
      </w:r>
      <w:r w:rsidRPr="008F7F29">
        <w:rPr>
          <w:rFonts w:ascii="Bookman Old Style" w:eastAsia="Arial Unicode MS" w:hAnsi="Bookman Old Style" w:cs="Arial Unicode MS"/>
          <w:sz w:val="24"/>
          <w:szCs w:val="24"/>
        </w:rPr>
        <w:t>Eventually, on 24</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June, 2011, the plaintiff, and the 4</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defendant were permitted to file a consent order setting aside the judgment in default.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372947" w:rsidRDefault="00B00B5B"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lastRenderedPageBreak/>
        <w:t>Prior to this</w:t>
      </w:r>
      <w:r w:rsidR="00153D09" w:rsidRPr="008F7F29">
        <w:rPr>
          <w:rFonts w:ascii="Bookman Old Style" w:eastAsia="Arial Unicode MS" w:hAnsi="Bookman Old Style" w:cs="Arial Unicode MS"/>
          <w:sz w:val="24"/>
          <w:szCs w:val="24"/>
        </w:rPr>
        <w:t>, on 10</w:t>
      </w:r>
      <w:r w:rsidR="00153D09" w:rsidRPr="008F7F29">
        <w:rPr>
          <w:rFonts w:ascii="Bookman Old Style" w:eastAsia="Arial Unicode MS" w:hAnsi="Bookman Old Style" w:cs="Arial Unicode MS"/>
          <w:sz w:val="24"/>
          <w:szCs w:val="24"/>
          <w:vertAlign w:val="superscript"/>
        </w:rPr>
        <w:t>th</w:t>
      </w:r>
      <w:r w:rsidR="00153D09" w:rsidRPr="008F7F29">
        <w:rPr>
          <w:rFonts w:ascii="Bookman Old Style" w:eastAsia="Arial Unicode MS" w:hAnsi="Bookman Old Style" w:cs="Arial Unicode MS"/>
          <w:sz w:val="24"/>
          <w:szCs w:val="24"/>
        </w:rPr>
        <w:t xml:space="preserve"> January, 2011, </w:t>
      </w:r>
      <w:r w:rsidR="0088014A">
        <w:rPr>
          <w:rFonts w:ascii="Bookman Old Style" w:eastAsia="Arial Unicode MS" w:hAnsi="Bookman Old Style" w:cs="Arial Unicode MS"/>
          <w:sz w:val="24"/>
          <w:szCs w:val="24"/>
        </w:rPr>
        <w:t>Mr. Mutale, SC, filed the</w:t>
      </w:r>
      <w:r w:rsidR="00153D09" w:rsidRPr="008F7F29">
        <w:rPr>
          <w:rFonts w:ascii="Bookman Old Style" w:eastAsia="Arial Unicode MS" w:hAnsi="Bookman Old Style" w:cs="Arial Unicode MS"/>
          <w:sz w:val="24"/>
          <w:szCs w:val="24"/>
        </w:rPr>
        <w:t xml:space="preserve"> submissions in support of the application for an interim injunction</w:t>
      </w:r>
      <w:r w:rsidR="0088014A">
        <w:rPr>
          <w:rFonts w:ascii="Bookman Old Style" w:eastAsia="Arial Unicode MS" w:hAnsi="Bookman Old Style" w:cs="Arial Unicode MS"/>
          <w:sz w:val="24"/>
          <w:szCs w:val="24"/>
        </w:rPr>
        <w:t>, on behalf of the plaintiff</w:t>
      </w:r>
      <w:r w:rsidR="00153D09" w:rsidRPr="008F7F29">
        <w:rPr>
          <w:rFonts w:ascii="Bookman Old Style" w:eastAsia="Arial Unicode MS" w:hAnsi="Bookman Old Style" w:cs="Arial Unicode MS"/>
          <w:sz w:val="24"/>
          <w:szCs w:val="24"/>
        </w:rPr>
        <w:t xml:space="preserve">. Mr. Mutale, SC, </w:t>
      </w:r>
      <w:r w:rsidR="0088014A">
        <w:rPr>
          <w:rFonts w:ascii="Bookman Old Style" w:eastAsia="Arial Unicode MS" w:hAnsi="Bookman Old Style" w:cs="Arial Unicode MS"/>
          <w:sz w:val="24"/>
          <w:szCs w:val="24"/>
        </w:rPr>
        <w:t xml:space="preserve">argued </w:t>
      </w:r>
      <w:r w:rsidR="00153D09" w:rsidRPr="008F7F29">
        <w:rPr>
          <w:rFonts w:ascii="Bookman Old Style" w:eastAsia="Arial Unicode MS" w:hAnsi="Bookman Old Style" w:cs="Arial Unicode MS"/>
          <w:sz w:val="24"/>
          <w:szCs w:val="24"/>
        </w:rPr>
        <w:t>from the outset that this is the proper case in which I should exercise the jurisdiction to grant an interim injunction pending determination of the matter on its merits.</w:t>
      </w:r>
      <w:r>
        <w:rPr>
          <w:rFonts w:ascii="Bookman Old Style" w:eastAsia="Arial Unicode MS" w:hAnsi="Bookman Old Style" w:cs="Arial Unicode MS"/>
          <w:sz w:val="24"/>
          <w:szCs w:val="24"/>
        </w:rPr>
        <w:t xml:space="preserve"> </w:t>
      </w:r>
      <w:r w:rsidR="0088014A">
        <w:rPr>
          <w:rFonts w:ascii="Bookman Old Style" w:eastAsia="Arial Unicode MS" w:hAnsi="Bookman Old Style" w:cs="Arial Unicode MS"/>
          <w:sz w:val="24"/>
          <w:szCs w:val="24"/>
        </w:rPr>
        <w:t xml:space="preserve">Mr. Mutale, SC, </w:t>
      </w:r>
      <w:r w:rsidR="00153D09" w:rsidRPr="008F7F29">
        <w:rPr>
          <w:rFonts w:ascii="Bookman Old Style" w:eastAsia="Arial Unicode MS" w:hAnsi="Bookman Old Style" w:cs="Arial Unicode MS"/>
          <w:sz w:val="24"/>
          <w:szCs w:val="24"/>
        </w:rPr>
        <w:t>submitted</w:t>
      </w:r>
      <w:r w:rsidR="00C4192B">
        <w:rPr>
          <w:rFonts w:ascii="Bookman Old Style" w:eastAsia="Arial Unicode MS" w:hAnsi="Bookman Old Style" w:cs="Arial Unicode MS"/>
          <w:sz w:val="24"/>
          <w:szCs w:val="24"/>
        </w:rPr>
        <w:t xml:space="preserve"> as follows:</w:t>
      </w:r>
      <w:r w:rsidR="00153D09" w:rsidRPr="008F7F29">
        <w:rPr>
          <w:rFonts w:ascii="Bookman Old Style" w:eastAsia="Arial Unicode MS" w:hAnsi="Bookman Old Style" w:cs="Arial Unicode MS"/>
          <w:sz w:val="24"/>
          <w:szCs w:val="24"/>
        </w:rPr>
        <w:t xml:space="preserve"> that on the authority of </w:t>
      </w:r>
      <w:r w:rsidR="00153D09" w:rsidRPr="008F7F29">
        <w:rPr>
          <w:rFonts w:ascii="Bookman Old Style" w:eastAsia="Arial Unicode MS" w:hAnsi="Bookman Old Style" w:cs="Arial Unicode MS"/>
          <w:i/>
          <w:sz w:val="24"/>
          <w:szCs w:val="24"/>
        </w:rPr>
        <w:t>Shell and BP Zambia Limited v Conidaris and Others,</w:t>
      </w:r>
      <w:r w:rsidR="00C4192B">
        <w:rPr>
          <w:rStyle w:val="FootnoteReference"/>
          <w:rFonts w:ascii="Bookman Old Style" w:eastAsia="Arial Unicode MS" w:hAnsi="Bookman Old Style" w:cs="Arial Unicode MS"/>
          <w:i/>
          <w:sz w:val="24"/>
          <w:szCs w:val="24"/>
        </w:rPr>
        <w:footnoteReference w:id="2"/>
      </w:r>
      <w:r w:rsidR="00153D09" w:rsidRPr="008F7F29">
        <w:rPr>
          <w:rFonts w:ascii="Bookman Old Style" w:eastAsia="Arial Unicode MS" w:hAnsi="Bookman Old Style" w:cs="Arial Unicode MS"/>
          <w:sz w:val="24"/>
          <w:szCs w:val="24"/>
        </w:rPr>
        <w:t xml:space="preserve"> it is settled injunction law that a Court will not grant an injunction unless the right to relief is clear, and unless the injunction is necessary to protect the plai</w:t>
      </w:r>
      <w:r w:rsidR="00372947">
        <w:rPr>
          <w:rFonts w:ascii="Bookman Old Style" w:eastAsia="Arial Unicode MS" w:hAnsi="Bookman Old Style" w:cs="Arial Unicode MS"/>
          <w:sz w:val="24"/>
          <w:szCs w:val="24"/>
        </w:rPr>
        <w:t xml:space="preserve">ntiff from irreparable injury. </w:t>
      </w:r>
      <w:r w:rsidR="00C4192B">
        <w:rPr>
          <w:rFonts w:ascii="Bookman Old Style" w:eastAsia="Arial Unicode MS" w:hAnsi="Bookman Old Style" w:cs="Arial Unicode MS"/>
          <w:sz w:val="24"/>
          <w:szCs w:val="24"/>
        </w:rPr>
        <w:t>T</w:t>
      </w:r>
      <w:r w:rsidR="00153D09" w:rsidRPr="008F7F29">
        <w:rPr>
          <w:rFonts w:ascii="Bookman Old Style" w:eastAsia="Arial Unicode MS" w:hAnsi="Bookman Old Style" w:cs="Arial Unicode MS"/>
          <w:sz w:val="24"/>
          <w:szCs w:val="24"/>
        </w:rPr>
        <w:t xml:space="preserve">he </w:t>
      </w:r>
      <w:r w:rsidR="00372947">
        <w:rPr>
          <w:rFonts w:ascii="Bookman Old Style" w:eastAsia="Arial Unicode MS" w:hAnsi="Bookman Old Style" w:cs="Arial Unicode MS"/>
          <w:i/>
          <w:sz w:val="24"/>
          <w:szCs w:val="24"/>
        </w:rPr>
        <w:t>Shell B</w:t>
      </w:r>
      <w:r w:rsidR="00153D09" w:rsidRPr="008F7F29">
        <w:rPr>
          <w:rFonts w:ascii="Bookman Old Style" w:eastAsia="Arial Unicode MS" w:hAnsi="Bookman Old Style" w:cs="Arial Unicode MS"/>
          <w:i/>
          <w:sz w:val="24"/>
          <w:szCs w:val="24"/>
        </w:rPr>
        <w:t>P</w:t>
      </w:r>
      <w:r w:rsidR="00153D09" w:rsidRPr="008F7F29">
        <w:rPr>
          <w:rFonts w:ascii="Bookman Old Style" w:eastAsia="Arial Unicode MS" w:hAnsi="Bookman Old Style" w:cs="Arial Unicode MS"/>
          <w:sz w:val="24"/>
          <w:szCs w:val="24"/>
        </w:rPr>
        <w:t xml:space="preserve"> case goes on to qualify irreparable injury in the following terms: irreparable injury means injury which is substantial, and can never be adequately remedied, or atoned for by damages. Thus irreparable injury neither includes mere inconvenience, nor injury which cannot be possibly repaired.</w:t>
      </w:r>
      <w:r w:rsidR="00372947">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 xml:space="preserve">Mr. Mutale, SC, </w:t>
      </w:r>
      <w:r w:rsidR="004879FE">
        <w:rPr>
          <w:rFonts w:ascii="Bookman Old Style" w:eastAsia="Arial Unicode MS" w:hAnsi="Bookman Old Style" w:cs="Arial Unicode MS"/>
          <w:sz w:val="24"/>
          <w:szCs w:val="24"/>
        </w:rPr>
        <w:t xml:space="preserve">further </w:t>
      </w:r>
      <w:r w:rsidR="00153D09" w:rsidRPr="008F7F29">
        <w:rPr>
          <w:rFonts w:ascii="Bookman Old Style" w:eastAsia="Arial Unicode MS" w:hAnsi="Bookman Old Style" w:cs="Arial Unicode MS"/>
          <w:sz w:val="24"/>
          <w:szCs w:val="24"/>
        </w:rPr>
        <w:t xml:space="preserve">drew my attention to the case of </w:t>
      </w:r>
      <w:r w:rsidR="00153D09" w:rsidRPr="008F7F29">
        <w:rPr>
          <w:rFonts w:ascii="Bookman Old Style" w:eastAsia="Arial Unicode MS" w:hAnsi="Bookman Old Style" w:cs="Arial Unicode MS"/>
          <w:i/>
          <w:sz w:val="24"/>
          <w:szCs w:val="24"/>
        </w:rPr>
        <w:t>American Cynamid Company v Ethicon Limited</w:t>
      </w:r>
      <w:r w:rsidR="00372947">
        <w:rPr>
          <w:rStyle w:val="FootnoteReference"/>
          <w:rFonts w:ascii="Bookman Old Style" w:eastAsia="Arial Unicode MS" w:hAnsi="Bookman Old Style" w:cs="Arial Unicode MS"/>
          <w:i/>
          <w:sz w:val="24"/>
          <w:szCs w:val="24"/>
        </w:rPr>
        <w:footnoteReference w:id="3"/>
      </w:r>
      <w:r w:rsidR="00153D09" w:rsidRPr="008F7F29">
        <w:rPr>
          <w:rFonts w:ascii="Bookman Old Style" w:eastAsia="Arial Unicode MS" w:hAnsi="Bookman Old Style" w:cs="Arial Unicode MS"/>
          <w:sz w:val="24"/>
          <w:szCs w:val="24"/>
        </w:rPr>
        <w:t xml:space="preserve">. Mr. Mutale, SC, submitted on the basis of the </w:t>
      </w:r>
      <w:r w:rsidR="00153D09" w:rsidRPr="008F7F29">
        <w:rPr>
          <w:rFonts w:ascii="Bookman Old Style" w:eastAsia="Arial Unicode MS" w:hAnsi="Bookman Old Style" w:cs="Arial Unicode MS"/>
          <w:i/>
          <w:sz w:val="24"/>
          <w:szCs w:val="24"/>
        </w:rPr>
        <w:t>American Cynamid</w:t>
      </w:r>
      <w:r w:rsidR="00153D09" w:rsidRPr="008F7F29">
        <w:rPr>
          <w:rFonts w:ascii="Bookman Old Style" w:eastAsia="Arial Unicode MS" w:hAnsi="Bookman Old Style" w:cs="Arial Unicode MS"/>
          <w:sz w:val="24"/>
          <w:szCs w:val="24"/>
        </w:rPr>
        <w:t xml:space="preserve"> case that the objective of an interim injunction is to protect the plaintiff </w:t>
      </w:r>
      <w:r w:rsidR="00372947">
        <w:rPr>
          <w:rFonts w:ascii="Bookman Old Style" w:eastAsia="Arial Unicode MS" w:hAnsi="Bookman Old Style" w:cs="Arial Unicode MS"/>
          <w:sz w:val="24"/>
          <w:szCs w:val="24"/>
        </w:rPr>
        <w:t xml:space="preserve">against injury by violation of </w:t>
      </w:r>
      <w:r w:rsidR="00153D09" w:rsidRPr="008F7F29">
        <w:rPr>
          <w:rFonts w:ascii="Bookman Old Style" w:eastAsia="Arial Unicode MS" w:hAnsi="Bookman Old Style" w:cs="Arial Unicode MS"/>
          <w:sz w:val="24"/>
          <w:szCs w:val="24"/>
        </w:rPr>
        <w:t xml:space="preserve">his rights for which he could not be adequately compensated in damages recoverable in the action if the uncertainties were resolved in his favour at trial. </w:t>
      </w:r>
    </w:p>
    <w:p w:rsidR="00372947" w:rsidRDefault="00372947"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In the present case, Mr. Mutale, SC, argued that the plaintiff has satisfied the requirement that he has a clear right to relief in that he has </w:t>
      </w:r>
      <w:r w:rsidR="00372947">
        <w:rPr>
          <w:rFonts w:ascii="Bookman Old Style" w:eastAsia="Arial Unicode MS" w:hAnsi="Bookman Old Style" w:cs="Arial Unicode MS"/>
          <w:sz w:val="24"/>
          <w:szCs w:val="24"/>
        </w:rPr>
        <w:t xml:space="preserve">the right to the protection of </w:t>
      </w:r>
      <w:r w:rsidRPr="008F7F29">
        <w:rPr>
          <w:rFonts w:ascii="Bookman Old Style" w:eastAsia="Arial Unicode MS" w:hAnsi="Bookman Old Style" w:cs="Arial Unicode MS"/>
          <w:sz w:val="24"/>
          <w:szCs w:val="24"/>
        </w:rPr>
        <w:t xml:space="preserve">his integrity. </w:t>
      </w:r>
      <w:r w:rsidR="00C4192B">
        <w:rPr>
          <w:rFonts w:ascii="Bookman Old Style" w:eastAsia="Arial Unicode MS" w:hAnsi="Bookman Old Style" w:cs="Arial Unicode MS"/>
          <w:sz w:val="24"/>
          <w:szCs w:val="24"/>
        </w:rPr>
        <w:t xml:space="preserve">He </w:t>
      </w:r>
      <w:r w:rsidR="00372947">
        <w:rPr>
          <w:rFonts w:ascii="Bookman Old Style" w:eastAsia="Arial Unicode MS" w:hAnsi="Bookman Old Style" w:cs="Arial Unicode MS"/>
          <w:sz w:val="24"/>
          <w:szCs w:val="24"/>
        </w:rPr>
        <w:t>also</w:t>
      </w:r>
      <w:r w:rsidRPr="008F7F29">
        <w:rPr>
          <w:rFonts w:ascii="Bookman Old Style" w:eastAsia="Arial Unicode MS" w:hAnsi="Bookman Old Style" w:cs="Arial Unicode MS"/>
          <w:sz w:val="24"/>
          <w:szCs w:val="24"/>
        </w:rPr>
        <w:t xml:space="preserve"> pointed out that the plaintiff is the President of Zambia’s main oppo</w:t>
      </w:r>
      <w:r w:rsidR="00372947">
        <w:rPr>
          <w:rFonts w:ascii="Bookman Old Style" w:eastAsia="Arial Unicode MS" w:hAnsi="Bookman Old Style" w:cs="Arial Unicode MS"/>
          <w:sz w:val="24"/>
          <w:szCs w:val="24"/>
        </w:rPr>
        <w:t>sition political party;</w:t>
      </w:r>
      <w:r w:rsidRPr="008F7F29">
        <w:rPr>
          <w:rFonts w:ascii="Bookman Old Style" w:eastAsia="Arial Unicode MS" w:hAnsi="Bookman Old Style" w:cs="Arial Unicode MS"/>
          <w:sz w:val="24"/>
          <w:szCs w:val="24"/>
        </w:rPr>
        <w:t xml:space="preserve"> the Patriotic Front, which enjoys massive national wide support.</w:t>
      </w:r>
      <w:r w:rsidR="00C4192B">
        <w:rPr>
          <w:rFonts w:ascii="Bookman Old Style" w:eastAsia="Arial Unicode MS" w:hAnsi="Bookman Old Style" w:cs="Arial Unicode MS"/>
          <w:sz w:val="24"/>
          <w:szCs w:val="24"/>
        </w:rPr>
        <w:t xml:space="preserve"> And </w:t>
      </w:r>
      <w:r w:rsidRPr="008F7F29">
        <w:rPr>
          <w:rFonts w:ascii="Bookman Old Style" w:eastAsia="Arial Unicode MS" w:hAnsi="Bookman Old Style" w:cs="Arial Unicode MS"/>
          <w:sz w:val="24"/>
          <w:szCs w:val="24"/>
        </w:rPr>
        <w:t>has intention to contest the next presidential elections, and there is therefore need to protect him from the clearly defamatory, and malicious statements aimed at maligning and scandalising him, as demonstrated by the contents of paragraph 7 of the statement of claim.</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Mr. Mutale SC, contended further </w:t>
      </w:r>
      <w:r w:rsidR="00C4192B">
        <w:rPr>
          <w:rFonts w:ascii="Bookman Old Style" w:eastAsia="Arial Unicode MS" w:hAnsi="Bookman Old Style" w:cs="Arial Unicode MS"/>
          <w:sz w:val="24"/>
          <w:szCs w:val="24"/>
        </w:rPr>
        <w:t xml:space="preserve">as follows: </w:t>
      </w:r>
      <w:r w:rsidRPr="008F7F29">
        <w:rPr>
          <w:rFonts w:ascii="Bookman Old Style" w:eastAsia="Arial Unicode MS" w:hAnsi="Bookman Old Style" w:cs="Arial Unicode MS"/>
          <w:sz w:val="24"/>
          <w:szCs w:val="24"/>
        </w:rPr>
        <w:t>that unless the publication of defamatory statements is curtailed, the plaintiff will suffer irreparable injury which will eventually dim</w:t>
      </w:r>
      <w:r w:rsidR="00372947">
        <w:rPr>
          <w:rFonts w:ascii="Bookman Old Style" w:eastAsia="Arial Unicode MS" w:hAnsi="Bookman Old Style" w:cs="Arial Unicode MS"/>
          <w:sz w:val="24"/>
          <w:szCs w:val="24"/>
        </w:rPr>
        <w:t>inish his presidential fortunes.</w:t>
      </w:r>
      <w:r w:rsidRPr="008F7F29">
        <w:rPr>
          <w:rFonts w:ascii="Bookman Old Style" w:eastAsia="Arial Unicode MS" w:hAnsi="Bookman Old Style" w:cs="Arial Unicode MS"/>
          <w:sz w:val="24"/>
          <w:szCs w:val="24"/>
        </w:rPr>
        <w:t xml:space="preserve"> </w:t>
      </w:r>
      <w:r w:rsidR="00C4192B">
        <w:rPr>
          <w:rFonts w:ascii="Bookman Old Style" w:eastAsia="Arial Unicode MS" w:hAnsi="Bookman Old Style" w:cs="Arial Unicode MS"/>
          <w:sz w:val="24"/>
          <w:szCs w:val="24"/>
        </w:rPr>
        <w:t xml:space="preserve">He also </w:t>
      </w:r>
      <w:r w:rsidRPr="008F7F29">
        <w:rPr>
          <w:rFonts w:ascii="Bookman Old Style" w:eastAsia="Arial Unicode MS" w:hAnsi="Bookman Old Style" w:cs="Arial Unicode MS"/>
          <w:sz w:val="24"/>
          <w:szCs w:val="24"/>
        </w:rPr>
        <w:t xml:space="preserve">pressed that the opportunity, and strong likelihood of ascending to the position of republican president rarely presents itself in one’s lifetime and never even comes to the majority of the citizenry. </w:t>
      </w:r>
      <w:r w:rsidR="00C4192B">
        <w:rPr>
          <w:rFonts w:ascii="Bookman Old Style" w:eastAsia="Arial Unicode MS" w:hAnsi="Bookman Old Style" w:cs="Arial Unicode MS"/>
          <w:sz w:val="24"/>
          <w:szCs w:val="24"/>
        </w:rPr>
        <w:t xml:space="preserve">He </w:t>
      </w:r>
      <w:r w:rsidRPr="008F7F29">
        <w:rPr>
          <w:rFonts w:ascii="Bookman Old Style" w:eastAsia="Arial Unicode MS" w:hAnsi="Bookman Old Style" w:cs="Arial Unicode MS"/>
          <w:sz w:val="24"/>
          <w:szCs w:val="24"/>
        </w:rPr>
        <w:t xml:space="preserve">submitted that the loss of such an opportunity to ascend to such position cannot be adequately compensated by way of damages. </w:t>
      </w:r>
      <w:r w:rsidR="00B00B5B">
        <w:rPr>
          <w:rFonts w:ascii="Bookman Old Style" w:eastAsia="Arial Unicode MS" w:hAnsi="Bookman Old Style" w:cs="Arial Unicode MS"/>
          <w:sz w:val="24"/>
          <w:szCs w:val="24"/>
        </w:rPr>
        <w:t xml:space="preserve">He </w:t>
      </w:r>
      <w:r w:rsidRPr="008F7F29">
        <w:rPr>
          <w:rFonts w:ascii="Bookman Old Style" w:eastAsia="Arial Unicode MS" w:hAnsi="Bookman Old Style" w:cs="Arial Unicode MS"/>
          <w:sz w:val="24"/>
          <w:szCs w:val="24"/>
        </w:rPr>
        <w:t xml:space="preserve">urged me to take judicial notice of the fact that the plaintiff narrowly lost the 2008 presidential by-election by a margin of about 35 000 votes. </w:t>
      </w:r>
      <w:r w:rsidR="00C4192B">
        <w:rPr>
          <w:rFonts w:ascii="Bookman Old Style" w:eastAsia="Arial Unicode MS" w:hAnsi="Bookman Old Style" w:cs="Arial Unicode MS"/>
          <w:sz w:val="24"/>
          <w:szCs w:val="24"/>
        </w:rPr>
        <w:t xml:space="preserve">In this regard he </w:t>
      </w:r>
      <w:r w:rsidRPr="008F7F29">
        <w:rPr>
          <w:rFonts w:ascii="Bookman Old Style" w:eastAsia="Arial Unicode MS" w:hAnsi="Bookman Old Style" w:cs="Arial Unicode MS"/>
          <w:sz w:val="24"/>
          <w:szCs w:val="24"/>
        </w:rPr>
        <w:t xml:space="preserve">argued that that margin, is a clear indication that the plaintiff has very high prospects of ascending to the presidency of this country. </w:t>
      </w:r>
      <w:r w:rsidR="00C4192B">
        <w:rPr>
          <w:rFonts w:ascii="Bookman Old Style" w:eastAsia="Arial Unicode MS" w:hAnsi="Bookman Old Style" w:cs="Arial Unicode MS"/>
          <w:sz w:val="24"/>
          <w:szCs w:val="24"/>
        </w:rPr>
        <w:t xml:space="preserve"> He</w:t>
      </w:r>
      <w:r w:rsidRPr="008F7F29">
        <w:rPr>
          <w:rFonts w:ascii="Bookman Old Style" w:eastAsia="Arial Unicode MS" w:hAnsi="Bookman Old Style" w:cs="Arial Unicode MS"/>
          <w:sz w:val="24"/>
          <w:szCs w:val="24"/>
        </w:rPr>
        <w:t xml:space="preserve"> stressed that the damage caused to the plaintiff is irreparable.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372947"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Mr. Mutale SC, also submitted that although the erstwhile Chief Justice Ngulube said in the case of </w:t>
      </w:r>
      <w:r w:rsidRPr="008F7F29">
        <w:rPr>
          <w:rFonts w:ascii="Bookman Old Style" w:eastAsia="Arial Unicode MS" w:hAnsi="Bookman Old Style" w:cs="Arial Unicode MS"/>
          <w:i/>
          <w:sz w:val="24"/>
          <w:szCs w:val="24"/>
        </w:rPr>
        <w:t>Shamwana v Mwanawasa</w:t>
      </w:r>
      <w:r w:rsidRPr="008F7F29">
        <w:rPr>
          <w:rFonts w:ascii="Bookman Old Style" w:eastAsia="Arial Unicode MS" w:hAnsi="Bookman Old Style" w:cs="Arial Unicode MS"/>
          <w:sz w:val="24"/>
          <w:szCs w:val="24"/>
        </w:rPr>
        <w:t>,</w:t>
      </w:r>
      <w:r w:rsidR="00372947">
        <w:rPr>
          <w:rStyle w:val="FootnoteReference"/>
          <w:rFonts w:ascii="Bookman Old Style" w:eastAsia="Arial Unicode MS" w:hAnsi="Bookman Old Style" w:cs="Arial Unicode MS"/>
          <w:sz w:val="24"/>
          <w:szCs w:val="24"/>
        </w:rPr>
        <w:footnoteReference w:id="4"/>
      </w:r>
      <w:r w:rsidRPr="008F7F29">
        <w:rPr>
          <w:rFonts w:ascii="Bookman Old Style" w:eastAsia="Arial Unicode MS" w:hAnsi="Bookman Old Style" w:cs="Arial Unicode MS"/>
          <w:sz w:val="24"/>
          <w:szCs w:val="24"/>
        </w:rPr>
        <w:t xml:space="preserve"> that he did not lose sight of the principle that adequacy of monetary compensation is nearly always a ground for not gra</w:t>
      </w:r>
      <w:r w:rsidR="00372947">
        <w:rPr>
          <w:rFonts w:ascii="Bookman Old Style" w:eastAsia="Arial Unicode MS" w:hAnsi="Bookman Old Style" w:cs="Arial Unicode MS"/>
          <w:sz w:val="24"/>
          <w:szCs w:val="24"/>
        </w:rPr>
        <w:t>nting such interlocutory relief</w:t>
      </w:r>
      <w:r w:rsidR="00C4192B">
        <w:rPr>
          <w:rFonts w:ascii="Bookman Old Style" w:eastAsia="Arial Unicode MS" w:hAnsi="Bookman Old Style" w:cs="Arial Unicode MS"/>
          <w:sz w:val="24"/>
          <w:szCs w:val="24"/>
        </w:rPr>
        <w:t xml:space="preserve">, he </w:t>
      </w:r>
      <w:r w:rsidR="00372947">
        <w:rPr>
          <w:rFonts w:ascii="Bookman Old Style" w:eastAsia="Arial Unicode MS" w:hAnsi="Bookman Old Style" w:cs="Arial Unicode MS"/>
          <w:sz w:val="24"/>
          <w:szCs w:val="24"/>
        </w:rPr>
        <w:t>however</w:t>
      </w:r>
      <w:r w:rsidRPr="008F7F29">
        <w:rPr>
          <w:rFonts w:ascii="Bookman Old Style" w:eastAsia="Arial Unicode MS" w:hAnsi="Bookman Old Style" w:cs="Arial Unicode MS"/>
          <w:sz w:val="24"/>
          <w:szCs w:val="24"/>
        </w:rPr>
        <w:t xml:space="preserve"> submitted that an award of damages would not be sufficient compensation for the injury caused to be suffered by the defendants. </w:t>
      </w:r>
    </w:p>
    <w:p w:rsidR="00372947" w:rsidRDefault="00372947"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Mr. Mutale, SC, also drew my attention to the learned authors of </w:t>
      </w:r>
      <w:r w:rsidRPr="00372947">
        <w:rPr>
          <w:rFonts w:ascii="Bookman Old Style" w:eastAsia="Arial Unicode MS" w:hAnsi="Bookman Old Style" w:cs="Arial Unicode MS"/>
          <w:sz w:val="24"/>
          <w:szCs w:val="24"/>
          <w:u w:val="single"/>
        </w:rPr>
        <w:t>Gatley on Libel and Slander</w:t>
      </w:r>
      <w:r w:rsidR="00372947">
        <w:rPr>
          <w:rFonts w:ascii="Bookman Old Style" w:eastAsia="Arial Unicode MS" w:hAnsi="Bookman Old Style" w:cs="Arial Unicode MS"/>
          <w:sz w:val="24"/>
          <w:szCs w:val="24"/>
        </w:rPr>
        <w:t>.</w:t>
      </w:r>
      <w:r w:rsidR="00372947">
        <w:rPr>
          <w:rStyle w:val="FootnoteReference"/>
          <w:rFonts w:ascii="Bookman Old Style" w:eastAsia="Arial Unicode MS" w:hAnsi="Bookman Old Style" w:cs="Arial Unicode MS"/>
          <w:sz w:val="24"/>
          <w:szCs w:val="24"/>
        </w:rPr>
        <w:footnoteReference w:id="5"/>
      </w:r>
      <w:r w:rsidR="00372947">
        <w:rPr>
          <w:rFonts w:ascii="Bookman Old Style" w:eastAsia="Arial Unicode MS" w:hAnsi="Bookman Old Style" w:cs="Arial Unicode MS"/>
          <w:sz w:val="24"/>
          <w:szCs w:val="24"/>
        </w:rPr>
        <w:t xml:space="preserve"> </w:t>
      </w:r>
      <w:r w:rsidRPr="008F7F29">
        <w:rPr>
          <w:rFonts w:ascii="Bookman Old Style" w:eastAsia="Arial Unicode MS" w:hAnsi="Bookman Old Style" w:cs="Arial Unicode MS"/>
          <w:sz w:val="24"/>
          <w:szCs w:val="24"/>
        </w:rPr>
        <w:t xml:space="preserve">This is what the leaned authors had to say at page 640 regarding whether or not injunctive relief should be granted in libel matters: </w:t>
      </w:r>
    </w:p>
    <w:p w:rsidR="00153D09" w:rsidRPr="008F7F29" w:rsidRDefault="00153D09" w:rsidP="00153D09">
      <w:pPr>
        <w:spacing w:after="0" w:line="24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w:t>
      </w:r>
      <w:r w:rsidRPr="008F7F29">
        <w:rPr>
          <w:rFonts w:ascii="Bookman Old Style" w:eastAsia="Arial Unicode MS" w:hAnsi="Bookman Old Style" w:cs="Arial Unicode MS"/>
          <w:i/>
          <w:sz w:val="24"/>
          <w:szCs w:val="24"/>
        </w:rPr>
        <w:t>In the case of an atrocious libel wholly unjustified and inflicting the most serious injury on the plaintiff, it would be quite proper for the Court to exercise its jurisdiction.”</w:t>
      </w:r>
      <w:r w:rsidRPr="008F7F29">
        <w:rPr>
          <w:rFonts w:ascii="Bookman Old Style" w:eastAsia="Arial Unicode MS" w:hAnsi="Bookman Old Style" w:cs="Arial Unicode MS"/>
          <w:sz w:val="24"/>
          <w:szCs w:val="24"/>
        </w:rPr>
        <w:t xml:space="preserve">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In this case Mr. Mutale, SC, submitted </w:t>
      </w:r>
      <w:r w:rsidR="00C4192B">
        <w:rPr>
          <w:rFonts w:ascii="Bookman Old Style" w:eastAsia="Arial Unicode MS" w:hAnsi="Bookman Old Style" w:cs="Arial Unicode MS"/>
          <w:sz w:val="24"/>
          <w:szCs w:val="24"/>
        </w:rPr>
        <w:t xml:space="preserve">as follows: </w:t>
      </w:r>
      <w:r w:rsidRPr="008F7F29">
        <w:rPr>
          <w:rFonts w:ascii="Bookman Old Style" w:eastAsia="Arial Unicode MS" w:hAnsi="Bookman Old Style" w:cs="Arial Unicode MS"/>
          <w:sz w:val="24"/>
          <w:szCs w:val="24"/>
        </w:rPr>
        <w:t xml:space="preserve">that the libel is atrocious, and has inflicted the most serious injury to the plaintiff because it is </w:t>
      </w:r>
      <w:r w:rsidRPr="008F7F29">
        <w:rPr>
          <w:rFonts w:ascii="Bookman Old Style" w:eastAsia="Arial Unicode MS" w:hAnsi="Bookman Old Style" w:cs="Arial Unicode MS"/>
          <w:sz w:val="24"/>
          <w:szCs w:val="24"/>
        </w:rPr>
        <w:lastRenderedPageBreak/>
        <w:t xml:space="preserve">unjustifiable, and is deliberately calculated to negatively affect the character of the plaintiff in the estimation of right thinking members of society, leading up to the elections in the course of the year. </w:t>
      </w:r>
      <w:r w:rsidR="00A17008">
        <w:rPr>
          <w:rFonts w:ascii="Bookman Old Style" w:eastAsia="Arial Unicode MS" w:hAnsi="Bookman Old Style" w:cs="Arial Unicode MS"/>
          <w:sz w:val="24"/>
          <w:szCs w:val="24"/>
        </w:rPr>
        <w:t xml:space="preserve">He </w:t>
      </w:r>
      <w:r w:rsidRPr="008F7F29">
        <w:rPr>
          <w:rFonts w:ascii="Bookman Old Style" w:eastAsia="Arial Unicode MS" w:hAnsi="Bookman Old Style" w:cs="Arial Unicode MS"/>
          <w:sz w:val="24"/>
          <w:szCs w:val="24"/>
        </w:rPr>
        <w:t xml:space="preserve">reiterated his submission that this is a proper case in which I should exercise jurisdiction to grant an interim injunction to protect the plaintiff from further violation of his rights, and infliction of serious injury.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Mr. Mutale, SC, also submitted that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has gone further to produce, distribute, and sell CD’s and DVD’s of the programmes for commercial purposes. This is evidence, </w:t>
      </w:r>
      <w:r w:rsidR="00C4192B">
        <w:rPr>
          <w:rFonts w:ascii="Bookman Old Style" w:eastAsia="Arial Unicode MS" w:hAnsi="Bookman Old Style" w:cs="Arial Unicode MS"/>
          <w:sz w:val="24"/>
          <w:szCs w:val="24"/>
        </w:rPr>
        <w:t xml:space="preserve">it was </w:t>
      </w:r>
      <w:r w:rsidRPr="008F7F29">
        <w:rPr>
          <w:rFonts w:ascii="Bookman Old Style" w:eastAsia="Arial Unicode MS" w:hAnsi="Bookman Old Style" w:cs="Arial Unicode MS"/>
          <w:sz w:val="24"/>
          <w:szCs w:val="24"/>
        </w:rPr>
        <w:t>submitted, of the fact that the defendants have continued to publish the defamatory material complained of despite the plaintiff</w:t>
      </w:r>
      <w:r w:rsidR="00372947">
        <w:rPr>
          <w:rFonts w:ascii="Bookman Old Style" w:eastAsia="Arial Unicode MS" w:hAnsi="Bookman Old Style" w:cs="Arial Unicode MS"/>
          <w:sz w:val="24"/>
          <w:szCs w:val="24"/>
        </w:rPr>
        <w:t xml:space="preserve"> having instituted Court </w:t>
      </w:r>
      <w:r w:rsidR="004E212F">
        <w:rPr>
          <w:rFonts w:ascii="Bookman Old Style" w:eastAsia="Arial Unicode MS" w:hAnsi="Bookman Old Style" w:cs="Arial Unicode MS"/>
          <w:sz w:val="24"/>
          <w:szCs w:val="24"/>
        </w:rPr>
        <w:t xml:space="preserve">proceedings </w:t>
      </w:r>
      <w:r w:rsidRPr="008F7F29">
        <w:rPr>
          <w:rFonts w:ascii="Bookman Old Style" w:eastAsia="Arial Unicode MS" w:hAnsi="Bookman Old Style" w:cs="Arial Unicode MS"/>
          <w:sz w:val="24"/>
          <w:szCs w:val="24"/>
        </w:rPr>
        <w:t>for defamation of character.</w:t>
      </w:r>
      <w:r w:rsidR="00A17008">
        <w:rPr>
          <w:rFonts w:ascii="Bookman Old Style" w:eastAsia="Arial Unicode MS" w:hAnsi="Bookman Old Style" w:cs="Arial Unicode MS"/>
          <w:sz w:val="24"/>
          <w:szCs w:val="24"/>
        </w:rPr>
        <w:t xml:space="preserve"> He</w:t>
      </w:r>
      <w:r w:rsidRPr="008F7F29">
        <w:rPr>
          <w:rFonts w:ascii="Bookman Old Style" w:eastAsia="Arial Unicode MS" w:hAnsi="Bookman Old Style" w:cs="Arial Unicode MS"/>
          <w:sz w:val="24"/>
          <w:szCs w:val="24"/>
        </w:rPr>
        <w:t xml:space="preserve"> argued that the plaintiff therefore craves the indulgence of the Court by way of protection of the plaintiff from injury of his character, integrity and dignity. </w:t>
      </w:r>
    </w:p>
    <w:p w:rsidR="004E212F" w:rsidRDefault="004E212F" w:rsidP="00153D09">
      <w:pPr>
        <w:spacing w:after="0" w:line="360" w:lineRule="auto"/>
        <w:jc w:val="both"/>
        <w:rPr>
          <w:rFonts w:ascii="Bookman Old Style" w:eastAsia="Arial Unicode MS" w:hAnsi="Bookman Old Style" w:cs="Arial Unicode MS"/>
          <w:sz w:val="24"/>
          <w:szCs w:val="24"/>
        </w:rPr>
      </w:pPr>
    </w:p>
    <w:p w:rsidR="004E212F" w:rsidRPr="008F7F29" w:rsidRDefault="004E212F"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Mr. Mutale, SC, further submitted that where the defendants pleads the defences of justif</w:t>
      </w:r>
      <w:r w:rsidR="00C4192B">
        <w:rPr>
          <w:rFonts w:ascii="Bookman Old Style" w:eastAsia="Arial Unicode MS" w:hAnsi="Bookman Old Style" w:cs="Arial Unicode MS"/>
          <w:sz w:val="24"/>
          <w:szCs w:val="24"/>
        </w:rPr>
        <w:t>ication, and fair comment on a</w:t>
      </w:r>
      <w:r w:rsidRPr="008F7F29">
        <w:rPr>
          <w:rFonts w:ascii="Bookman Old Style" w:eastAsia="Arial Unicode MS" w:hAnsi="Bookman Old Style" w:cs="Arial Unicode MS"/>
          <w:sz w:val="24"/>
          <w:szCs w:val="24"/>
        </w:rPr>
        <w:t xml:space="preserve"> matter of public interest, the Court should satisfy itself that the defences so pleaded by the defendants have merit having regard to the defamatory material be</w:t>
      </w:r>
      <w:r w:rsidR="00C4192B">
        <w:rPr>
          <w:rFonts w:ascii="Bookman Old Style" w:eastAsia="Arial Unicode MS" w:hAnsi="Bookman Old Style" w:cs="Arial Unicode MS"/>
          <w:sz w:val="24"/>
          <w:szCs w:val="24"/>
        </w:rPr>
        <w:t xml:space="preserve">fore the Court. This assessment it was </w:t>
      </w:r>
      <w:r w:rsidR="004E212F">
        <w:rPr>
          <w:rFonts w:ascii="Bookman Old Style" w:eastAsia="Arial Unicode MS" w:hAnsi="Bookman Old Style" w:cs="Arial Unicode MS"/>
          <w:sz w:val="24"/>
          <w:szCs w:val="24"/>
        </w:rPr>
        <w:t xml:space="preserve">submitted </w:t>
      </w:r>
      <w:r w:rsidRPr="008F7F29">
        <w:rPr>
          <w:rFonts w:ascii="Bookman Old Style" w:eastAsia="Arial Unicode MS" w:hAnsi="Bookman Old Style" w:cs="Arial Unicode MS"/>
          <w:sz w:val="24"/>
          <w:szCs w:val="24"/>
        </w:rPr>
        <w:t xml:space="preserve">should inform the Court whether or not to grant the interim injunction sought. In aid of the preceding submission, my attention was drawn to </w:t>
      </w:r>
      <w:r w:rsidR="004E212F">
        <w:rPr>
          <w:rFonts w:ascii="Bookman Old Style" w:eastAsia="Arial Unicode MS" w:hAnsi="Bookman Old Style" w:cs="Arial Unicode MS"/>
          <w:sz w:val="24"/>
          <w:szCs w:val="24"/>
        </w:rPr>
        <w:t xml:space="preserve">Peter F. </w:t>
      </w:r>
      <w:r w:rsidRPr="008F7F29">
        <w:rPr>
          <w:rFonts w:ascii="Bookman Old Style" w:eastAsia="Arial Unicode MS" w:hAnsi="Bookman Old Style" w:cs="Arial Unicode MS"/>
          <w:sz w:val="24"/>
          <w:szCs w:val="24"/>
        </w:rPr>
        <w:t xml:space="preserve">Carter Ruck, </w:t>
      </w:r>
      <w:r w:rsidRPr="008F7F29">
        <w:rPr>
          <w:rFonts w:ascii="Bookman Old Style" w:eastAsia="Arial Unicode MS" w:hAnsi="Bookman Old Style" w:cs="Arial Unicode MS"/>
          <w:sz w:val="24"/>
          <w:szCs w:val="24"/>
          <w:u w:val="single"/>
        </w:rPr>
        <w:t>On Libel and Slander,</w:t>
      </w:r>
      <w:r w:rsidR="004E212F">
        <w:rPr>
          <w:rStyle w:val="FootnoteReference"/>
          <w:rFonts w:ascii="Bookman Old Style" w:eastAsia="Arial Unicode MS" w:hAnsi="Bookman Old Style" w:cs="Arial Unicode MS"/>
          <w:sz w:val="24"/>
          <w:szCs w:val="24"/>
          <w:u w:val="single"/>
        </w:rPr>
        <w:footnoteReference w:id="6"/>
      </w:r>
      <w:r w:rsidRPr="008F7F29">
        <w:rPr>
          <w:rFonts w:ascii="Bookman Old Style" w:eastAsia="Arial Unicode MS" w:hAnsi="Bookman Old Style" w:cs="Arial Unicode MS"/>
          <w:sz w:val="24"/>
          <w:szCs w:val="24"/>
        </w:rPr>
        <w:t xml:space="preserve"> at page 206. Mr. Mutale, SC argued that given the defendant’s publications and the wide innuendo attached to the same, it is the plaintiff’s contention that is not conceivable that the defendants can succeed in establishing the defence of justification, or any other defence that they may seek to plead at trial. The </w:t>
      </w:r>
      <w:r w:rsidRPr="008F7F29">
        <w:rPr>
          <w:rFonts w:ascii="Bookman Old Style" w:eastAsia="Arial Unicode MS" w:hAnsi="Bookman Old Style" w:cs="Arial Unicode MS"/>
          <w:sz w:val="24"/>
          <w:szCs w:val="24"/>
        </w:rPr>
        <w:lastRenderedPageBreak/>
        <w:t xml:space="preserve">plaintiff complains of in particular, the words comprised in paragraph 7 (a) and (b) of the statement of claim.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Mr. Mutale, SC, argued that it would lead to an absurdity for the Court to uphold a plea of justification and fair comment as a ground for not interfering or granting an interlocutory injunction in the absence of a critical scrutiny of the defences pleaded. Mr. Mutale SC, submitted that the plaintiff’s contention is that the defences of justification and fair comment as pleaded by the defendants are rather general, lack merit, and are only intended to defeat th</w:t>
      </w:r>
      <w:r w:rsidR="00C4192B">
        <w:rPr>
          <w:rFonts w:ascii="Bookman Old Style" w:eastAsia="Arial Unicode MS" w:hAnsi="Bookman Old Style" w:cs="Arial Unicode MS"/>
          <w:sz w:val="24"/>
          <w:szCs w:val="24"/>
        </w:rPr>
        <w:t>e plaintiff’s application for int</w:t>
      </w:r>
      <w:r w:rsidR="00960D57">
        <w:rPr>
          <w:rFonts w:ascii="Bookman Old Style" w:eastAsia="Arial Unicode MS" w:hAnsi="Bookman Old Style" w:cs="Arial Unicode MS"/>
          <w:sz w:val="24"/>
          <w:szCs w:val="24"/>
        </w:rPr>
        <w:t>erim injunction</w:t>
      </w:r>
      <w:r w:rsidRPr="008F7F29">
        <w:rPr>
          <w:rFonts w:ascii="Bookman Old Style" w:eastAsia="Arial Unicode MS" w:hAnsi="Bookman Old Style" w:cs="Arial Unicode MS"/>
          <w:sz w:val="24"/>
          <w:szCs w:val="24"/>
        </w:rPr>
        <w:t xml:space="preserve">.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5A6F2D"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Mr. Mutale SC, pressed that defendants have already published a series of the materials and as such no prejudice will be occasioned to either party in the event that the injunction is granted as prayed. Instead justice will be served as the further violation of the plaintiff’s rights and the unjustifiable infliction of serious injury on the plaintiff dignity and integrity will be prevented pending determination of the matter. </w:t>
      </w:r>
    </w:p>
    <w:p w:rsidR="005A6F2D" w:rsidRDefault="005A6F2D"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Mr. Mutale SC, </w:t>
      </w:r>
      <w:r w:rsidR="004E212F">
        <w:rPr>
          <w:rFonts w:ascii="Bookman Old Style" w:eastAsia="Arial Unicode MS" w:hAnsi="Bookman Old Style" w:cs="Arial Unicode MS"/>
          <w:sz w:val="24"/>
          <w:szCs w:val="24"/>
        </w:rPr>
        <w:t xml:space="preserve">again </w:t>
      </w:r>
      <w:r w:rsidRPr="008F7F29">
        <w:rPr>
          <w:rFonts w:ascii="Bookman Old Style" w:eastAsia="Arial Unicode MS" w:hAnsi="Bookman Old Style" w:cs="Arial Unicode MS"/>
          <w:sz w:val="24"/>
          <w:szCs w:val="24"/>
        </w:rPr>
        <w:t xml:space="preserve">drew my attention to the learned authors of Carte-Ruck on </w:t>
      </w:r>
      <w:r w:rsidRPr="008F7F29">
        <w:rPr>
          <w:rFonts w:ascii="Bookman Old Style" w:eastAsia="Arial Unicode MS" w:hAnsi="Bookman Old Style" w:cs="Arial Unicode MS"/>
          <w:sz w:val="24"/>
          <w:szCs w:val="24"/>
          <w:u w:val="single"/>
        </w:rPr>
        <w:t>Libel and Slander</w:t>
      </w:r>
      <w:r w:rsidRPr="008F7F29">
        <w:rPr>
          <w:rFonts w:ascii="Bookman Old Style" w:eastAsia="Arial Unicode MS" w:hAnsi="Bookman Old Style" w:cs="Arial Unicode MS"/>
          <w:sz w:val="24"/>
          <w:szCs w:val="24"/>
        </w:rPr>
        <w:t xml:space="preserve">, </w:t>
      </w:r>
      <w:r w:rsidR="004E212F">
        <w:rPr>
          <w:rFonts w:ascii="Bookman Old Style" w:eastAsia="Arial Unicode MS" w:hAnsi="Bookman Old Style" w:cs="Arial Unicode MS"/>
          <w:sz w:val="24"/>
          <w:szCs w:val="24"/>
        </w:rPr>
        <w:t xml:space="preserve">(supra) </w:t>
      </w:r>
      <w:r w:rsidRPr="008F7F29">
        <w:rPr>
          <w:rFonts w:ascii="Bookman Old Style" w:eastAsia="Arial Unicode MS" w:hAnsi="Bookman Old Style" w:cs="Arial Unicode MS"/>
          <w:sz w:val="24"/>
          <w:szCs w:val="24"/>
        </w:rPr>
        <w:t>who state at page 205 as follows:</w:t>
      </w:r>
    </w:p>
    <w:p w:rsidR="00153D09" w:rsidRPr="008F7F29" w:rsidRDefault="00153D09" w:rsidP="00153D09">
      <w:p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“The Court has power to restrain by injunction, the publication of libels or slanders, and this it will do when it is satisfied that there is a reasonable apprehension that a defendant unless so restrained, will continue to publish or repeat the publication of the defamatory matter of which complaint is made.”</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Furthermore, Mr. Mutale, SC, drew my attention to the learned authors of </w:t>
      </w:r>
      <w:r w:rsidR="004E212F">
        <w:rPr>
          <w:rFonts w:ascii="Bookman Old Style" w:eastAsia="Arial Unicode MS" w:hAnsi="Bookman Old Style" w:cs="Arial Unicode MS"/>
          <w:sz w:val="24"/>
          <w:szCs w:val="24"/>
          <w:u w:val="single"/>
        </w:rPr>
        <w:t>Gatley on L</w:t>
      </w:r>
      <w:r w:rsidRPr="008F7F29">
        <w:rPr>
          <w:rFonts w:ascii="Bookman Old Style" w:eastAsia="Arial Unicode MS" w:hAnsi="Bookman Old Style" w:cs="Arial Unicode MS"/>
          <w:sz w:val="24"/>
          <w:szCs w:val="24"/>
          <w:u w:val="single"/>
        </w:rPr>
        <w:t>ibel</w:t>
      </w:r>
      <w:r w:rsidRPr="008F7F29">
        <w:rPr>
          <w:rFonts w:ascii="Bookman Old Style" w:eastAsia="Arial Unicode MS" w:hAnsi="Bookman Old Style" w:cs="Arial Unicode MS"/>
          <w:sz w:val="24"/>
          <w:szCs w:val="24"/>
        </w:rPr>
        <w:t xml:space="preserve"> </w:t>
      </w:r>
      <w:r w:rsidRPr="008F7F29">
        <w:rPr>
          <w:rFonts w:ascii="Bookman Old Style" w:eastAsia="Arial Unicode MS" w:hAnsi="Bookman Old Style" w:cs="Arial Unicode MS"/>
          <w:sz w:val="24"/>
          <w:szCs w:val="24"/>
          <w:u w:val="single"/>
        </w:rPr>
        <w:t>and Slander (supra).</w:t>
      </w:r>
      <w:r w:rsidRPr="008F7F29">
        <w:rPr>
          <w:rFonts w:ascii="Bookman Old Style" w:eastAsia="Arial Unicode MS" w:hAnsi="Bookman Old Style" w:cs="Arial Unicode MS"/>
          <w:sz w:val="24"/>
          <w:szCs w:val="24"/>
        </w:rPr>
        <w:t xml:space="preserve"> This is what they have to say at page 639:</w:t>
      </w:r>
    </w:p>
    <w:p w:rsidR="00153D09" w:rsidRPr="008F7F29" w:rsidRDefault="00153D09" w:rsidP="00153D09">
      <w:pPr>
        <w:spacing w:after="0" w:line="36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 xml:space="preserve">“Where the defendant continues to publish the false or defamatory words, and immediate and irreparable injury to </w:t>
      </w:r>
      <w:r w:rsidR="004E212F">
        <w:rPr>
          <w:rFonts w:ascii="Bookman Old Style" w:eastAsia="Arial Unicode MS" w:hAnsi="Bookman Old Style" w:cs="Arial Unicode MS"/>
          <w:i/>
          <w:sz w:val="24"/>
          <w:szCs w:val="24"/>
        </w:rPr>
        <w:t xml:space="preserve">a </w:t>
      </w:r>
      <w:r w:rsidRPr="008F7F29">
        <w:rPr>
          <w:rFonts w:ascii="Bookman Old Style" w:eastAsia="Arial Unicode MS" w:hAnsi="Bookman Old Style" w:cs="Arial Unicode MS"/>
          <w:i/>
          <w:sz w:val="24"/>
          <w:szCs w:val="24"/>
        </w:rPr>
        <w:t>person or property is likely to result, the Court has jurisdiction to grant an interlocutory injunction restraining the defendant from further publishing the words until the hearing of the action, or until further Court Order.”</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Mr. Mutale SC, argued that the defendant’s have continued to date to televise the weekly series of the programmes.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has gone further to produce editions of the programmes in form of CD’s and DVD’s for commercial purposes. Mr. Mutale SC, submitted that this is clear evidence of the de</w:t>
      </w:r>
      <w:r w:rsidR="005A6F2D">
        <w:rPr>
          <w:rFonts w:ascii="Bookman Old Style" w:eastAsia="Arial Unicode MS" w:hAnsi="Bookman Old Style" w:cs="Arial Unicode MS"/>
          <w:sz w:val="24"/>
          <w:szCs w:val="24"/>
        </w:rPr>
        <w:t>fendant’s intention to continue</w:t>
      </w:r>
      <w:r w:rsidRPr="008F7F29">
        <w:rPr>
          <w:rFonts w:ascii="Bookman Old Style" w:eastAsia="Arial Unicode MS" w:hAnsi="Bookman Old Style" w:cs="Arial Unicode MS"/>
          <w:sz w:val="24"/>
          <w:szCs w:val="24"/>
        </w:rPr>
        <w:t xml:space="preserve"> publishing the defamatory matter and thereby continue to cause injury to the plaintiff. </w:t>
      </w:r>
      <w:r w:rsidR="004879FE">
        <w:rPr>
          <w:rFonts w:ascii="Bookman Old Style" w:eastAsia="Arial Unicode MS" w:hAnsi="Bookman Old Style" w:cs="Arial Unicode MS"/>
          <w:sz w:val="24"/>
          <w:szCs w:val="24"/>
        </w:rPr>
        <w:t xml:space="preserve">He also </w:t>
      </w:r>
      <w:r w:rsidRPr="008F7F29">
        <w:rPr>
          <w:rFonts w:ascii="Bookman Old Style" w:eastAsia="Arial Unicode MS" w:hAnsi="Bookman Old Style" w:cs="Arial Unicode MS"/>
          <w:sz w:val="24"/>
          <w:szCs w:val="24"/>
        </w:rPr>
        <w:t xml:space="preserve">submitted that the continued publication is in itself a sufficient ground to justify the granting of an interim injunction to protect the plaintiff from further injury pending determination of the matter.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Mr. Mutale SC, in his submissions, also re</w:t>
      </w:r>
      <w:r w:rsidR="004E212F">
        <w:rPr>
          <w:rFonts w:ascii="Bookman Old Style" w:eastAsia="Arial Unicode MS" w:hAnsi="Bookman Old Style" w:cs="Arial Unicode MS"/>
          <w:sz w:val="24"/>
          <w:szCs w:val="24"/>
        </w:rPr>
        <w:t xml:space="preserve">ferred </w:t>
      </w:r>
      <w:r w:rsidR="005A6F2D">
        <w:rPr>
          <w:rFonts w:ascii="Bookman Old Style" w:eastAsia="Arial Unicode MS" w:hAnsi="Bookman Old Style" w:cs="Arial Unicode MS"/>
          <w:sz w:val="24"/>
          <w:szCs w:val="24"/>
        </w:rPr>
        <w:t>to the learned author Sir Hugh F</w:t>
      </w:r>
      <w:r w:rsidR="004E212F">
        <w:rPr>
          <w:rFonts w:ascii="Bookman Old Style" w:eastAsia="Arial Unicode MS" w:hAnsi="Bookman Old Style" w:cs="Arial Unicode MS"/>
          <w:sz w:val="24"/>
          <w:szCs w:val="24"/>
        </w:rPr>
        <w:t>raser,</w:t>
      </w:r>
      <w:r w:rsidR="005A6F2D">
        <w:rPr>
          <w:rFonts w:ascii="Bookman Old Style" w:eastAsia="Arial Unicode MS" w:hAnsi="Bookman Old Style" w:cs="Arial Unicode MS"/>
          <w:sz w:val="24"/>
          <w:szCs w:val="24"/>
        </w:rPr>
        <w:t xml:space="preserve"> and his book entitled</w:t>
      </w:r>
      <w:r w:rsidR="00494BD4">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w:t>
      </w:r>
      <w:r w:rsidRPr="008F7F29">
        <w:rPr>
          <w:rFonts w:ascii="Bookman Old Style" w:eastAsia="Arial Unicode MS" w:hAnsi="Bookman Old Style" w:cs="Arial Unicode MS"/>
          <w:sz w:val="24"/>
          <w:szCs w:val="24"/>
          <w:u w:val="single"/>
        </w:rPr>
        <w:t>Principles and Practice of the Law of Libel and Slander</w:t>
      </w:r>
      <w:r w:rsidRPr="008F7F29">
        <w:rPr>
          <w:rFonts w:ascii="Bookman Old Style" w:eastAsia="Arial Unicode MS" w:hAnsi="Bookman Old Style" w:cs="Arial Unicode MS"/>
          <w:sz w:val="24"/>
          <w:szCs w:val="24"/>
        </w:rPr>
        <w:t>.</w:t>
      </w:r>
      <w:r w:rsidR="004E212F">
        <w:rPr>
          <w:rStyle w:val="FootnoteReference"/>
          <w:rFonts w:ascii="Bookman Old Style" w:eastAsia="Arial Unicode MS" w:hAnsi="Bookman Old Style" w:cs="Arial Unicode MS"/>
          <w:sz w:val="24"/>
          <w:szCs w:val="24"/>
        </w:rPr>
        <w:footnoteReference w:id="7"/>
      </w:r>
      <w:r w:rsidR="005A6F2D">
        <w:rPr>
          <w:rFonts w:ascii="Bookman Old Style" w:eastAsia="Arial Unicode MS" w:hAnsi="Bookman Old Style" w:cs="Arial Unicode MS"/>
          <w:sz w:val="24"/>
          <w:szCs w:val="24"/>
        </w:rPr>
        <w:t xml:space="preserve"> The learned authors s</w:t>
      </w:r>
      <w:r w:rsidRPr="008F7F29">
        <w:rPr>
          <w:rFonts w:ascii="Bookman Old Style" w:eastAsia="Arial Unicode MS" w:hAnsi="Bookman Old Style" w:cs="Arial Unicode MS"/>
          <w:sz w:val="24"/>
          <w:szCs w:val="24"/>
        </w:rPr>
        <w:t>tate as follows at page 299:</w:t>
      </w:r>
    </w:p>
    <w:p w:rsidR="00153D09" w:rsidRPr="008F7F29" w:rsidRDefault="00153D09" w:rsidP="00153D09">
      <w:p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“In order to obtain an interim injunction, the plaintiff must make his application promptly, he must also prove that the defendant intends to continue the publication complained of and that there is a pressing injury to a person or property threatened by the defendant’s proceedings as to make it desirable that the Court should interfere.”</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Mr. Mutale, SC argued that the plaintiff having made his application promptly, and having deposed on oath that the defendants do not only possess intentions of continuing with the publications, but have actually continued to produce more programmes defamatory of the plaintiff and publishing them on a weekly basis. Mr. Mutale SC, reiterated that this is a proper case in which the Court should interfere, and grant the injunction sought. </w:t>
      </w:r>
      <w:r w:rsidR="005A6F2D">
        <w:rPr>
          <w:rFonts w:ascii="Bookman Old Style" w:eastAsia="Arial Unicode MS" w:hAnsi="Bookman Old Style" w:cs="Arial Unicode MS"/>
          <w:sz w:val="24"/>
          <w:szCs w:val="24"/>
        </w:rPr>
        <w:t xml:space="preserve">He </w:t>
      </w:r>
      <w:r w:rsidRPr="008F7F29">
        <w:rPr>
          <w:rFonts w:ascii="Bookman Old Style" w:eastAsia="Arial Unicode MS" w:hAnsi="Bookman Old Style" w:cs="Arial Unicode MS"/>
          <w:sz w:val="24"/>
          <w:szCs w:val="24"/>
        </w:rPr>
        <w:t>pressed that unless the defendants are restrained by an injunction</w:t>
      </w:r>
      <w:r w:rsidR="005A6F2D">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the plaintiff </w:t>
      </w:r>
      <w:r w:rsidR="005A6F2D">
        <w:rPr>
          <w:rFonts w:ascii="Bookman Old Style" w:eastAsia="Arial Unicode MS" w:hAnsi="Bookman Old Style" w:cs="Arial Unicode MS"/>
          <w:sz w:val="24"/>
          <w:szCs w:val="24"/>
        </w:rPr>
        <w:t>will continue</w:t>
      </w:r>
      <w:r w:rsidRPr="008F7F29">
        <w:rPr>
          <w:rFonts w:ascii="Bookman Old Style" w:eastAsia="Arial Unicode MS" w:hAnsi="Bookman Old Style" w:cs="Arial Unicode MS"/>
          <w:sz w:val="24"/>
          <w:szCs w:val="24"/>
        </w:rPr>
        <w:t xml:space="preserve"> to suffer serious injury. Mr. Mutale SC, summed up his submissions </w:t>
      </w:r>
      <w:r w:rsidR="004E212F">
        <w:rPr>
          <w:rFonts w:ascii="Bookman Old Style" w:eastAsia="Arial Unicode MS" w:hAnsi="Bookman Old Style" w:cs="Arial Unicode MS"/>
          <w:sz w:val="24"/>
          <w:szCs w:val="24"/>
        </w:rPr>
        <w:t>by</w:t>
      </w:r>
      <w:r w:rsidRPr="008F7F29">
        <w:rPr>
          <w:rFonts w:ascii="Bookman Old Style" w:eastAsia="Arial Unicode MS" w:hAnsi="Bookman Old Style" w:cs="Arial Unicode MS"/>
          <w:sz w:val="24"/>
          <w:szCs w:val="24"/>
        </w:rPr>
        <w:t xml:space="preserve"> making an undertaking to abide by any order which I would make as to damages in </w:t>
      </w:r>
      <w:r w:rsidR="005A6F2D">
        <w:rPr>
          <w:rFonts w:ascii="Bookman Old Style" w:eastAsia="Arial Unicode MS" w:hAnsi="Bookman Old Style" w:cs="Arial Unicode MS"/>
          <w:sz w:val="24"/>
          <w:szCs w:val="24"/>
        </w:rPr>
        <w:t>the event that the interim</w:t>
      </w:r>
      <w:r w:rsidRPr="008F7F29">
        <w:rPr>
          <w:rFonts w:ascii="Bookman Old Style" w:eastAsia="Arial Unicode MS" w:hAnsi="Bookman Old Style" w:cs="Arial Unicode MS"/>
          <w:sz w:val="24"/>
          <w:szCs w:val="24"/>
        </w:rPr>
        <w:t xml:space="preserve"> injunction is granted at this stage, and later on</w:t>
      </w:r>
      <w:r w:rsidR="005A6F2D">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I form </w:t>
      </w:r>
      <w:r w:rsidRPr="008F7F29">
        <w:rPr>
          <w:rFonts w:ascii="Bookman Old Style" w:eastAsia="Arial Unicode MS" w:hAnsi="Bookman Old Style" w:cs="Arial Unicode MS"/>
          <w:sz w:val="24"/>
          <w:szCs w:val="24"/>
        </w:rPr>
        <w:lastRenderedPageBreak/>
        <w:t xml:space="preserve">the opinion that the defendants have suffered some loss or disadvantage by reason of the injunction, which the plaintiff ought to pay.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On 26</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January, 2011, the plaintiff filed into Court additional submissions. In the additional submissions, the plaintiff pointed out that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had filed a further affidavit in opposition to the summons in support of the application for an interim injunction. Mr. Mutale, SC, submitted that in the further affidavit,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exhibited</w:t>
      </w:r>
      <w:r w:rsidR="004E212F">
        <w:rPr>
          <w:rFonts w:ascii="Bookman Old Style" w:eastAsia="Arial Unicode MS" w:hAnsi="Bookman Old Style" w:cs="Arial Unicode MS"/>
          <w:sz w:val="24"/>
          <w:szCs w:val="24"/>
        </w:rPr>
        <w:t xml:space="preserve"> letters and cuttings, from the </w:t>
      </w:r>
      <w:r w:rsidR="004E212F" w:rsidRPr="004E212F">
        <w:rPr>
          <w:rFonts w:ascii="Bookman Old Style" w:eastAsia="Arial Unicode MS" w:hAnsi="Bookman Old Style" w:cs="Arial Unicode MS"/>
          <w:i/>
          <w:sz w:val="24"/>
          <w:szCs w:val="24"/>
        </w:rPr>
        <w:t>W</w:t>
      </w:r>
      <w:r w:rsidRPr="004E212F">
        <w:rPr>
          <w:rFonts w:ascii="Bookman Old Style" w:eastAsia="Arial Unicode MS" w:hAnsi="Bookman Old Style" w:cs="Arial Unicode MS"/>
          <w:i/>
          <w:sz w:val="24"/>
          <w:szCs w:val="24"/>
        </w:rPr>
        <w:t>eekly Post</w:t>
      </w:r>
      <w:r w:rsidRPr="008F7F29">
        <w:rPr>
          <w:rFonts w:ascii="Bookman Old Style" w:eastAsia="Arial Unicode MS" w:hAnsi="Bookman Old Style" w:cs="Arial Unicode MS"/>
          <w:sz w:val="24"/>
          <w:szCs w:val="24"/>
        </w:rPr>
        <w:t xml:space="preserve"> Newspaper in a bid to justify the defamatory publications. Mr. Mutale, SC, argued that the exhibits are not precise, and do not sufficiently justify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defendants defamatory publications.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Mr. Mutale, SC, drew my attention to </w:t>
      </w:r>
      <w:r w:rsidR="004E212F">
        <w:rPr>
          <w:rFonts w:ascii="Bookman Old Style" w:eastAsia="Arial Unicode MS" w:hAnsi="Bookman Old Style" w:cs="Arial Unicode MS"/>
          <w:sz w:val="24"/>
          <w:szCs w:val="24"/>
        </w:rPr>
        <w:t xml:space="preserve">statement from </w:t>
      </w:r>
      <w:r w:rsidRPr="008F7F29">
        <w:rPr>
          <w:rFonts w:ascii="Bookman Old Style" w:eastAsia="Arial Unicode MS" w:hAnsi="Bookman Old Style" w:cs="Arial Unicode MS"/>
          <w:sz w:val="24"/>
          <w:szCs w:val="24"/>
        </w:rPr>
        <w:t>the Halsbury’s Laws of England</w:t>
      </w:r>
      <w:r w:rsidR="004E212F">
        <w:rPr>
          <w:rStyle w:val="FootnoteReference"/>
          <w:rFonts w:ascii="Bookman Old Style" w:eastAsia="Arial Unicode MS" w:hAnsi="Bookman Old Style" w:cs="Arial Unicode MS"/>
          <w:sz w:val="24"/>
          <w:szCs w:val="24"/>
        </w:rPr>
        <w:footnoteReference w:id="8"/>
      </w:r>
      <w:r w:rsidRPr="008F7F29">
        <w:rPr>
          <w:rFonts w:ascii="Bookman Old Style" w:eastAsia="Arial Unicode MS" w:hAnsi="Bookman Old Style" w:cs="Arial Unicode MS"/>
          <w:sz w:val="24"/>
          <w:szCs w:val="24"/>
        </w:rPr>
        <w:t xml:space="preserve"> as follows:</w:t>
      </w:r>
    </w:p>
    <w:p w:rsidR="00153D09" w:rsidRPr="008F7F29" w:rsidRDefault="00153D09" w:rsidP="00153D09">
      <w:p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sz w:val="24"/>
          <w:szCs w:val="24"/>
        </w:rPr>
        <w:t>“</w:t>
      </w:r>
      <w:r w:rsidRPr="008F7F29">
        <w:rPr>
          <w:rFonts w:ascii="Bookman Old Style" w:eastAsia="Arial Unicode MS" w:hAnsi="Bookman Old Style" w:cs="Arial Unicode MS"/>
          <w:i/>
          <w:sz w:val="24"/>
          <w:szCs w:val="24"/>
        </w:rPr>
        <w:t xml:space="preserve">Justification like fraud, should not be pleaded, unless there is clear and sufficient evidence to support it.”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Mr. Mutale, SC, submitted that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has published many unsubstantiated, unjustifiable, and malicious assertions in his publications. </w:t>
      </w:r>
      <w:r w:rsidR="005A6F2D" w:rsidRPr="008F7F29">
        <w:rPr>
          <w:rFonts w:ascii="Bookman Old Style" w:eastAsia="Arial Unicode MS" w:hAnsi="Bookman Old Style" w:cs="Arial Unicode MS"/>
          <w:sz w:val="24"/>
          <w:szCs w:val="24"/>
        </w:rPr>
        <w:t>And</w:t>
      </w:r>
      <w:r w:rsidRPr="008F7F29">
        <w:rPr>
          <w:rFonts w:ascii="Bookman Old Style" w:eastAsia="Arial Unicode MS" w:hAnsi="Bookman Old Style" w:cs="Arial Unicode MS"/>
          <w:sz w:val="24"/>
          <w:szCs w:val="24"/>
        </w:rPr>
        <w:t xml:space="preserve"> yet he has only attempted to justify two issues through the exhibits marked “CC1 to CC6.” In this respect, </w:t>
      </w:r>
      <w:r w:rsidR="00494BD4">
        <w:rPr>
          <w:rFonts w:ascii="Bookman Old Style" w:eastAsia="Arial Unicode MS" w:hAnsi="Bookman Old Style" w:cs="Arial Unicode MS"/>
          <w:sz w:val="24"/>
          <w:szCs w:val="24"/>
        </w:rPr>
        <w:t xml:space="preserve">he </w:t>
      </w:r>
      <w:r w:rsidRPr="008F7F29">
        <w:rPr>
          <w:rFonts w:ascii="Bookman Old Style" w:eastAsia="Arial Unicode MS" w:hAnsi="Bookman Old Style" w:cs="Arial Unicode MS"/>
          <w:sz w:val="24"/>
          <w:szCs w:val="24"/>
        </w:rPr>
        <w:t>invited me</w:t>
      </w:r>
      <w:r w:rsidR="002A162E">
        <w:rPr>
          <w:rFonts w:ascii="Bookman Old Style" w:eastAsia="Arial Unicode MS" w:hAnsi="Bookman Old Style" w:cs="Arial Unicode MS"/>
          <w:sz w:val="24"/>
          <w:szCs w:val="24"/>
        </w:rPr>
        <w:t xml:space="preserve"> to</w:t>
      </w:r>
      <w:r w:rsidR="004E212F">
        <w:rPr>
          <w:rFonts w:ascii="Bookman Old Style" w:eastAsia="Arial Unicode MS" w:hAnsi="Bookman Old Style" w:cs="Arial Unicode MS"/>
          <w:sz w:val="24"/>
          <w:szCs w:val="24"/>
        </w:rPr>
        <w:t xml:space="preserve"> carefully</w:t>
      </w:r>
      <w:r w:rsidR="002A162E">
        <w:rPr>
          <w:rFonts w:ascii="Bookman Old Style" w:eastAsia="Arial Unicode MS" w:hAnsi="Bookman Old Style" w:cs="Arial Unicode MS"/>
          <w:sz w:val="24"/>
          <w:szCs w:val="24"/>
        </w:rPr>
        <w:t xml:space="preserve"> </w:t>
      </w:r>
      <w:r w:rsidRPr="008F7F29">
        <w:rPr>
          <w:rFonts w:ascii="Bookman Old Style" w:eastAsia="Arial Unicode MS" w:hAnsi="Bookman Old Style" w:cs="Arial Unicode MS"/>
          <w:sz w:val="24"/>
          <w:szCs w:val="24"/>
        </w:rPr>
        <w:t xml:space="preserve">peruse paragraph 7 of the statement of claim. Furthermore, </w:t>
      </w:r>
      <w:r w:rsidR="00494BD4">
        <w:rPr>
          <w:rFonts w:ascii="Bookman Old Style" w:eastAsia="Arial Unicode MS" w:hAnsi="Bookman Old Style" w:cs="Arial Unicode MS"/>
          <w:sz w:val="24"/>
          <w:szCs w:val="24"/>
        </w:rPr>
        <w:t xml:space="preserve">he </w:t>
      </w:r>
      <w:r w:rsidRPr="008F7F29">
        <w:rPr>
          <w:rFonts w:ascii="Bookman Old Style" w:eastAsia="Arial Unicode MS" w:hAnsi="Bookman Old Style" w:cs="Arial Unicode MS"/>
          <w:sz w:val="24"/>
          <w:szCs w:val="24"/>
        </w:rPr>
        <w:t>argued that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has only exhibited the letters signed by the plaintiff</w:t>
      </w:r>
      <w:r w:rsidR="002A162E">
        <w:rPr>
          <w:rFonts w:ascii="Bookman Old Style" w:eastAsia="Arial Unicode MS" w:hAnsi="Bookman Old Style" w:cs="Arial Unicode MS"/>
          <w:sz w:val="24"/>
          <w:szCs w:val="24"/>
        </w:rPr>
        <w:t xml:space="preserve"> in his former capacity</w:t>
      </w:r>
      <w:r w:rsidRPr="008F7F29">
        <w:rPr>
          <w:rFonts w:ascii="Bookman Old Style" w:eastAsia="Arial Unicode MS" w:hAnsi="Bookman Old Style" w:cs="Arial Unicode MS"/>
          <w:sz w:val="24"/>
          <w:szCs w:val="24"/>
        </w:rPr>
        <w:t xml:space="preserve"> as MMD National Secretary. But has not adduced any evidence of any scheme</w:t>
      </w:r>
      <w:r w:rsidR="002A162E">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s</w:t>
      </w:r>
      <w:r w:rsidR="002A162E">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as asserted in his publication. In this respect, I was invited to examine exhibits “CC5” and “CC6” of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defendant’s further affidavit.</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Mr. Mutale, SC, argued </w:t>
      </w:r>
      <w:r w:rsidR="004E212F">
        <w:rPr>
          <w:rFonts w:ascii="Bookman Old Style" w:eastAsia="Arial Unicode MS" w:hAnsi="Bookman Old Style" w:cs="Arial Unicode MS"/>
          <w:sz w:val="24"/>
          <w:szCs w:val="24"/>
        </w:rPr>
        <w:t xml:space="preserve">further </w:t>
      </w:r>
      <w:r w:rsidRPr="008F7F29">
        <w:rPr>
          <w:rFonts w:ascii="Bookman Old Style" w:eastAsia="Arial Unicode MS" w:hAnsi="Bookman Old Style" w:cs="Arial Unicode MS"/>
          <w:sz w:val="24"/>
          <w:szCs w:val="24"/>
        </w:rPr>
        <w:t>that exhibits “CC5” and “CC6” in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defendant’s further affidavit confirm that the plaintiff was</w:t>
      </w:r>
      <w:r w:rsidR="006B7598">
        <w:rPr>
          <w:rFonts w:ascii="Bookman Old Style" w:eastAsia="Arial Unicode MS" w:hAnsi="Bookman Old Style" w:cs="Arial Unicode MS"/>
          <w:sz w:val="24"/>
          <w:szCs w:val="24"/>
        </w:rPr>
        <w:t xml:space="preserve"> an agent of the MMD. Thus he did not execute the</w:t>
      </w:r>
      <w:r w:rsidRPr="008F7F29">
        <w:rPr>
          <w:rFonts w:ascii="Bookman Old Style" w:eastAsia="Arial Unicode MS" w:hAnsi="Bookman Old Style" w:cs="Arial Unicode MS"/>
          <w:sz w:val="24"/>
          <w:szCs w:val="24"/>
        </w:rPr>
        <w:t xml:space="preserve"> duties in a personal capacity. Mr. Mutale, </w:t>
      </w:r>
      <w:r w:rsidRPr="008F7F29">
        <w:rPr>
          <w:rFonts w:ascii="Bookman Old Style" w:eastAsia="Arial Unicode MS" w:hAnsi="Bookman Old Style" w:cs="Arial Unicode MS"/>
          <w:sz w:val="24"/>
          <w:szCs w:val="24"/>
        </w:rPr>
        <w:lastRenderedPageBreak/>
        <w:t xml:space="preserve">SC, submitted that the exhibits which are </w:t>
      </w:r>
      <w:r w:rsidR="006B7598">
        <w:rPr>
          <w:rFonts w:ascii="Bookman Old Style" w:eastAsia="Arial Unicode MS" w:hAnsi="Bookman Old Style" w:cs="Arial Unicode MS"/>
          <w:sz w:val="24"/>
          <w:szCs w:val="24"/>
        </w:rPr>
        <w:t xml:space="preserve">now </w:t>
      </w:r>
      <w:r w:rsidRPr="008F7F29">
        <w:rPr>
          <w:rFonts w:ascii="Bookman Old Style" w:eastAsia="Arial Unicode MS" w:hAnsi="Bookman Old Style" w:cs="Arial Unicode MS"/>
          <w:sz w:val="24"/>
          <w:szCs w:val="24"/>
        </w:rPr>
        <w:t>more than 19 years old cannot therefore be a basis for determining the plaintiff’s character</w:t>
      </w:r>
      <w:r w:rsidR="002A162E">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and his potential as a Presidential candidate in the 2011 presidential elections. Furthermore, Mr. Mutale, SC, submitted that exhibits “CK1” to “CC4,” are also more than 19 years old and relate to a period when the plaintiff was a Minister in the MMD Government. Mr. Mutale, SC, contends that it is common knowledge that status of the plaintiff changed in 2000, when t</w:t>
      </w:r>
      <w:r w:rsidR="002A162E">
        <w:rPr>
          <w:rFonts w:ascii="Bookman Old Style" w:eastAsia="Arial Unicode MS" w:hAnsi="Bookman Old Style" w:cs="Arial Unicode MS"/>
          <w:sz w:val="24"/>
          <w:szCs w:val="24"/>
        </w:rPr>
        <w:t>he formed the Patriotic Front and become</w:t>
      </w:r>
      <w:r w:rsidRPr="008F7F29">
        <w:rPr>
          <w:rFonts w:ascii="Bookman Old Style" w:eastAsia="Arial Unicode MS" w:hAnsi="Bookman Old Style" w:cs="Arial Unicode MS"/>
          <w:sz w:val="24"/>
          <w:szCs w:val="24"/>
        </w:rPr>
        <w:t xml:space="preserve"> its President.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Mr. Mutale, SC</w:t>
      </w:r>
      <w:r w:rsidR="006B7598">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also observed that the defendants have pleaded justification as a defence. However, Mr. Mutale SC, contends that the defendant’s have not furnished the particulars of the schemes, and plots allegedly undertaken by the plaintiff in his political activities. In the premises, Mr. Mutale, SC, submitted that in the absence of such particulars, the plea of justification is not sustainable. In this regard, my attention was drawn to the Halsbury Laws of England</w:t>
      </w:r>
      <w:r w:rsidR="006B7598">
        <w:rPr>
          <w:rStyle w:val="FootnoteReference"/>
          <w:rFonts w:ascii="Bookman Old Style" w:eastAsia="Arial Unicode MS" w:hAnsi="Bookman Old Style" w:cs="Arial Unicode MS"/>
          <w:sz w:val="24"/>
          <w:szCs w:val="24"/>
        </w:rPr>
        <w:footnoteReference w:id="9"/>
      </w:r>
      <w:r w:rsidRPr="008F7F29">
        <w:rPr>
          <w:rFonts w:ascii="Bookman Old Style" w:eastAsia="Arial Unicode MS" w:hAnsi="Bookman Old Style" w:cs="Arial Unicode MS"/>
          <w:sz w:val="24"/>
          <w:szCs w:val="24"/>
        </w:rPr>
        <w:t xml:space="preserve"> </w:t>
      </w:r>
      <w:r w:rsidR="006B7598">
        <w:rPr>
          <w:rFonts w:ascii="Bookman Old Style" w:eastAsia="Arial Unicode MS" w:hAnsi="Bookman Old Style" w:cs="Arial Unicode MS"/>
          <w:sz w:val="24"/>
          <w:szCs w:val="24"/>
        </w:rPr>
        <w:t xml:space="preserve">in </w:t>
      </w:r>
      <w:r w:rsidRPr="008F7F29">
        <w:rPr>
          <w:rFonts w:ascii="Bookman Old Style" w:eastAsia="Arial Unicode MS" w:hAnsi="Bookman Old Style" w:cs="Arial Unicode MS"/>
          <w:sz w:val="24"/>
          <w:szCs w:val="24"/>
        </w:rPr>
        <w:t xml:space="preserve">which </w:t>
      </w:r>
      <w:r w:rsidR="006B7598">
        <w:rPr>
          <w:rFonts w:ascii="Bookman Old Style" w:eastAsia="Arial Unicode MS" w:hAnsi="Bookman Old Style" w:cs="Arial Unicode MS"/>
          <w:sz w:val="24"/>
          <w:szCs w:val="24"/>
        </w:rPr>
        <w:t>it is stated</w:t>
      </w:r>
      <w:r w:rsidRPr="008F7F29">
        <w:rPr>
          <w:rFonts w:ascii="Bookman Old Style" w:eastAsia="Arial Unicode MS" w:hAnsi="Bookman Old Style" w:cs="Arial Unicode MS"/>
          <w:sz w:val="24"/>
          <w:szCs w:val="24"/>
        </w:rPr>
        <w:t xml:space="preserve"> as follows:</w:t>
      </w:r>
    </w:p>
    <w:p w:rsidR="00153D09" w:rsidRPr="008F7F29" w:rsidRDefault="00153D09" w:rsidP="00153D09">
      <w:pPr>
        <w:spacing w:after="0" w:line="240" w:lineRule="auto"/>
        <w:jc w:val="both"/>
        <w:rPr>
          <w:rFonts w:ascii="Bookman Old Style" w:eastAsia="Arial Unicode MS" w:hAnsi="Bookman Old Style" w:cs="Arial Unicode MS"/>
          <w:i/>
          <w:sz w:val="24"/>
          <w:szCs w:val="24"/>
        </w:rPr>
      </w:pPr>
      <w:r w:rsidRPr="008F7F29">
        <w:rPr>
          <w:rFonts w:ascii="Bookman Old Style" w:eastAsia="Arial Unicode MS" w:hAnsi="Bookman Old Style" w:cs="Arial Unicode MS"/>
          <w:i/>
          <w:sz w:val="24"/>
          <w:szCs w:val="24"/>
        </w:rPr>
        <w:t>“A defendant who pleads justification to a general charge must give full particulars of the facts he relies on as showing that the defamatory statement is true, to prevent the plaintiff from being taken by surprise.”</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494BD4"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Mr. Mutale, SC, further observed that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acknowledges in paragraph 5 of his further affidavit that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has continued to publish the defamatory materials complained of. Mr. Mutale, SC pointed out that the plaintiff’s action is not confined to the two programmes; namely, “</w:t>
      </w:r>
      <w:r w:rsidRPr="008F7F29">
        <w:rPr>
          <w:rFonts w:ascii="Bookman Old Style" w:eastAsia="Arial Unicode MS" w:hAnsi="Bookman Old Style" w:cs="Arial Unicode MS"/>
          <w:i/>
          <w:sz w:val="24"/>
          <w:szCs w:val="24"/>
        </w:rPr>
        <w:t>Stand up for Zambia</w:t>
      </w:r>
      <w:r w:rsidRPr="008F7F29">
        <w:rPr>
          <w:rFonts w:ascii="Bookman Old Style" w:eastAsia="Arial Unicode MS" w:hAnsi="Bookman Old Style" w:cs="Arial Unicode MS"/>
          <w:sz w:val="24"/>
          <w:szCs w:val="24"/>
        </w:rPr>
        <w:t xml:space="preserve">,” and the </w:t>
      </w:r>
      <w:r w:rsidRPr="008F7F29">
        <w:rPr>
          <w:rFonts w:ascii="Bookman Old Style" w:eastAsia="Arial Unicode MS" w:hAnsi="Bookman Old Style" w:cs="Arial Unicode MS"/>
          <w:i/>
          <w:sz w:val="24"/>
          <w:szCs w:val="24"/>
        </w:rPr>
        <w:t>“Unholy Alliance</w:t>
      </w:r>
      <w:r w:rsidRPr="008F7F29">
        <w:rPr>
          <w:rFonts w:ascii="Bookman Old Style" w:eastAsia="Arial Unicode MS" w:hAnsi="Bookman Old Style" w:cs="Arial Unicode MS"/>
          <w:sz w:val="24"/>
          <w:szCs w:val="24"/>
        </w:rPr>
        <w:t>” and the “</w:t>
      </w:r>
      <w:r w:rsidR="00494BD4">
        <w:rPr>
          <w:rFonts w:ascii="Bookman Old Style" w:eastAsia="Arial Unicode MS" w:hAnsi="Bookman Old Style" w:cs="Arial Unicode MS"/>
          <w:i/>
          <w:sz w:val="24"/>
          <w:szCs w:val="24"/>
        </w:rPr>
        <w:t>Ve</w:t>
      </w:r>
      <w:r w:rsidRPr="008F7F29">
        <w:rPr>
          <w:rFonts w:ascii="Bookman Old Style" w:eastAsia="Arial Unicode MS" w:hAnsi="Bookman Old Style" w:cs="Arial Unicode MS"/>
          <w:i/>
          <w:sz w:val="24"/>
          <w:szCs w:val="24"/>
        </w:rPr>
        <w:t>nom of the Cobra</w:t>
      </w:r>
      <w:r w:rsidRPr="008F7F29">
        <w:rPr>
          <w:rFonts w:ascii="Bookman Old Style" w:eastAsia="Arial Unicode MS" w:hAnsi="Bookman Old Style" w:cs="Arial Unicode MS"/>
          <w:sz w:val="24"/>
          <w:szCs w:val="24"/>
        </w:rPr>
        <w:t xml:space="preserve">.” But relates to all </w:t>
      </w:r>
      <w:r w:rsidR="002A162E">
        <w:rPr>
          <w:rFonts w:ascii="Bookman Old Style" w:eastAsia="Arial Unicode MS" w:hAnsi="Bookman Old Style" w:cs="Arial Unicode MS"/>
          <w:sz w:val="24"/>
          <w:szCs w:val="24"/>
        </w:rPr>
        <w:t xml:space="preserve">the </w:t>
      </w:r>
      <w:r w:rsidRPr="008F7F29">
        <w:rPr>
          <w:rFonts w:ascii="Bookman Old Style" w:eastAsia="Arial Unicode MS" w:hAnsi="Bookman Old Style" w:cs="Arial Unicode MS"/>
          <w:sz w:val="24"/>
          <w:szCs w:val="24"/>
        </w:rPr>
        <w:t>programmes under the rubric of “</w:t>
      </w:r>
      <w:r w:rsidRPr="008F7F29">
        <w:rPr>
          <w:rFonts w:ascii="Bookman Old Style" w:eastAsia="Arial Unicode MS" w:hAnsi="Bookman Old Style" w:cs="Arial Unicode MS"/>
          <w:i/>
          <w:sz w:val="24"/>
          <w:szCs w:val="24"/>
        </w:rPr>
        <w:t>Stand up for Zambia</w:t>
      </w:r>
      <w:r w:rsidRPr="008F7F29">
        <w:rPr>
          <w:rFonts w:ascii="Bookman Old Style" w:eastAsia="Arial Unicode MS" w:hAnsi="Bookman Old Style" w:cs="Arial Unicode MS"/>
          <w:sz w:val="24"/>
          <w:szCs w:val="24"/>
        </w:rPr>
        <w:t>,” that contain publications defamatory of the plaintiff. Mr. Mutale SC, reiterated that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defendant has produced, and continues to distribute for commercial purposes CD’s and DVD’s containing programmes “</w:t>
      </w:r>
      <w:r w:rsidRPr="006B7598">
        <w:rPr>
          <w:rFonts w:ascii="Bookman Old Style" w:eastAsia="Arial Unicode MS" w:hAnsi="Bookman Old Style" w:cs="Arial Unicode MS"/>
          <w:i/>
          <w:sz w:val="24"/>
          <w:szCs w:val="24"/>
        </w:rPr>
        <w:t xml:space="preserve">Stand up for </w:t>
      </w:r>
      <w:r w:rsidRPr="006B7598">
        <w:rPr>
          <w:rFonts w:ascii="Bookman Old Style" w:eastAsia="Arial Unicode MS" w:hAnsi="Bookman Old Style" w:cs="Arial Unicode MS"/>
          <w:i/>
          <w:sz w:val="24"/>
          <w:szCs w:val="24"/>
        </w:rPr>
        <w:lastRenderedPageBreak/>
        <w:t>Zambia”</w:t>
      </w:r>
      <w:r w:rsidRPr="008F7F29">
        <w:rPr>
          <w:rFonts w:ascii="Bookman Old Style" w:eastAsia="Arial Unicode MS" w:hAnsi="Bookman Old Style" w:cs="Arial Unicode MS"/>
          <w:sz w:val="24"/>
          <w:szCs w:val="24"/>
        </w:rPr>
        <w:t xml:space="preserve">. Mr. Mutale, SC, submitted that the distribution of the CDs and DVDs have exacerbated the plaintiff’s injury to his character and reputation. </w:t>
      </w:r>
    </w:p>
    <w:p w:rsidR="00494BD4" w:rsidRDefault="00494BD4"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and 2</w:t>
      </w:r>
      <w:r w:rsidRPr="008F7F29">
        <w:rPr>
          <w:rFonts w:ascii="Bookman Old Style" w:eastAsia="Arial Unicode MS" w:hAnsi="Bookman Old Style" w:cs="Arial Unicode MS"/>
          <w:sz w:val="24"/>
          <w:szCs w:val="24"/>
          <w:vertAlign w:val="superscript"/>
        </w:rPr>
        <w:t>nd</w:t>
      </w:r>
      <w:r w:rsidRPr="008F7F29">
        <w:rPr>
          <w:rFonts w:ascii="Bookman Old Style" w:eastAsia="Arial Unicode MS" w:hAnsi="Bookman Old Style" w:cs="Arial Unicode MS"/>
          <w:sz w:val="24"/>
          <w:szCs w:val="24"/>
        </w:rPr>
        <w:t xml:space="preserve"> defendants filed their submissions on 17</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December, 2010.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and 2</w:t>
      </w:r>
      <w:r w:rsidRPr="008F7F29">
        <w:rPr>
          <w:rFonts w:ascii="Bookman Old Style" w:eastAsia="Arial Unicode MS" w:hAnsi="Bookman Old Style" w:cs="Arial Unicode MS"/>
          <w:sz w:val="24"/>
          <w:szCs w:val="24"/>
          <w:vertAlign w:val="superscript"/>
        </w:rPr>
        <w:t>nd</w:t>
      </w:r>
      <w:r w:rsidRPr="008F7F29">
        <w:rPr>
          <w:rFonts w:ascii="Bookman Old Style" w:eastAsia="Arial Unicode MS" w:hAnsi="Bookman Old Style" w:cs="Arial Unicode MS"/>
          <w:sz w:val="24"/>
          <w:szCs w:val="24"/>
        </w:rPr>
        <w:t xml:space="preserve"> defendant</w:t>
      </w:r>
      <w:r w:rsidR="002A162E">
        <w:rPr>
          <w:rFonts w:ascii="Bookman Old Style" w:eastAsia="Arial Unicode MS" w:hAnsi="Bookman Old Style" w:cs="Arial Unicode MS"/>
          <w:sz w:val="24"/>
          <w:szCs w:val="24"/>
        </w:rPr>
        <w:t>s</w:t>
      </w:r>
      <w:r w:rsidRPr="008F7F29">
        <w:rPr>
          <w:rFonts w:ascii="Bookman Old Style" w:eastAsia="Arial Unicode MS" w:hAnsi="Bookman Old Style" w:cs="Arial Unicode MS"/>
          <w:sz w:val="24"/>
          <w:szCs w:val="24"/>
        </w:rPr>
        <w:t xml:space="preserve"> indicated from the outset that they are relying on the defences of justi</w:t>
      </w:r>
      <w:r w:rsidR="002A162E">
        <w:rPr>
          <w:rFonts w:ascii="Bookman Old Style" w:eastAsia="Arial Unicode MS" w:hAnsi="Bookman Old Style" w:cs="Arial Unicode MS"/>
          <w:sz w:val="24"/>
          <w:szCs w:val="24"/>
        </w:rPr>
        <w:t>fication and fair comment on a</w:t>
      </w:r>
      <w:r w:rsidRPr="008F7F29">
        <w:rPr>
          <w:rFonts w:ascii="Bookman Old Style" w:eastAsia="Arial Unicode MS" w:hAnsi="Bookman Old Style" w:cs="Arial Unicode MS"/>
          <w:sz w:val="24"/>
          <w:szCs w:val="24"/>
        </w:rPr>
        <w:t xml:space="preserve"> matter of public interest. In light of these defences, Mr. Nkonde, SC, submitted that this is</w:t>
      </w:r>
      <w:r w:rsidR="006B7598">
        <w:rPr>
          <w:rFonts w:ascii="Bookman Old Style" w:eastAsia="Arial Unicode MS" w:hAnsi="Bookman Old Style" w:cs="Arial Unicode MS"/>
          <w:sz w:val="24"/>
          <w:szCs w:val="24"/>
        </w:rPr>
        <w:t xml:space="preserve"> not a proper</w:t>
      </w:r>
      <w:r w:rsidR="002A162E">
        <w:rPr>
          <w:rFonts w:ascii="Bookman Old Style" w:eastAsia="Arial Unicode MS" w:hAnsi="Bookman Old Style" w:cs="Arial Unicode MS"/>
          <w:sz w:val="24"/>
          <w:szCs w:val="24"/>
        </w:rPr>
        <w:t xml:space="preserve"> case for the grant of an</w:t>
      </w:r>
      <w:r w:rsidRPr="008F7F29">
        <w:rPr>
          <w:rFonts w:ascii="Bookman Old Style" w:eastAsia="Arial Unicode MS" w:hAnsi="Bookman Old Style" w:cs="Arial Unicode MS"/>
          <w:sz w:val="24"/>
          <w:szCs w:val="24"/>
        </w:rPr>
        <w:t xml:space="preserve"> interim injunction.</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In contending, that the interim injunction should not be granted, Mr. Nkonde SC, relied on a plethora of authorities. First, my attention was drawn to the case of </w:t>
      </w:r>
      <w:r w:rsidRPr="00494BD4">
        <w:rPr>
          <w:rFonts w:ascii="Bookman Old Style" w:eastAsia="Arial Unicode MS" w:hAnsi="Bookman Old Style" w:cs="Arial Unicode MS"/>
          <w:i/>
          <w:sz w:val="24"/>
          <w:szCs w:val="24"/>
        </w:rPr>
        <w:t>Bonnard v Perryman</w:t>
      </w:r>
      <w:r w:rsidRPr="00494BD4">
        <w:rPr>
          <w:rFonts w:ascii="Bookman Old Style" w:eastAsia="Arial Unicode MS" w:hAnsi="Bookman Old Style" w:cs="Arial Unicode MS"/>
          <w:sz w:val="24"/>
          <w:szCs w:val="24"/>
        </w:rPr>
        <w:t>.</w:t>
      </w:r>
      <w:r w:rsidR="006B7598" w:rsidRPr="00494BD4">
        <w:rPr>
          <w:rStyle w:val="FootnoteReference"/>
          <w:rFonts w:ascii="Bookman Old Style" w:eastAsia="Arial Unicode MS" w:hAnsi="Bookman Old Style" w:cs="Arial Unicode MS"/>
          <w:sz w:val="24"/>
          <w:szCs w:val="24"/>
        </w:rPr>
        <w:footnoteReference w:id="10"/>
      </w:r>
      <w:r w:rsidRPr="00494BD4">
        <w:rPr>
          <w:rFonts w:ascii="Bookman Old Style" w:eastAsia="Arial Unicode MS" w:hAnsi="Bookman Old Style" w:cs="Arial Unicode MS"/>
          <w:sz w:val="24"/>
          <w:szCs w:val="24"/>
        </w:rPr>
        <w:t xml:space="preserve"> </w:t>
      </w:r>
      <w:r w:rsidRPr="008F7F29">
        <w:rPr>
          <w:rFonts w:ascii="Bookman Old Style" w:eastAsia="Arial Unicode MS" w:hAnsi="Bookman Old Style" w:cs="Arial Unicode MS"/>
          <w:sz w:val="24"/>
          <w:szCs w:val="24"/>
        </w:rPr>
        <w:t xml:space="preserve">The </w:t>
      </w:r>
      <w:r w:rsidRPr="008F7F29">
        <w:rPr>
          <w:rFonts w:ascii="Bookman Old Style" w:eastAsia="Arial Unicode MS" w:hAnsi="Bookman Old Style" w:cs="Arial Unicode MS"/>
          <w:i/>
          <w:sz w:val="24"/>
          <w:szCs w:val="24"/>
        </w:rPr>
        <w:t xml:space="preserve">Bonnard </w:t>
      </w:r>
      <w:r w:rsidR="002A162E">
        <w:rPr>
          <w:rFonts w:ascii="Bookman Old Style" w:eastAsia="Arial Unicode MS" w:hAnsi="Bookman Old Style" w:cs="Arial Unicode MS"/>
          <w:i/>
          <w:sz w:val="24"/>
          <w:szCs w:val="24"/>
        </w:rPr>
        <w:t xml:space="preserve">v Perryman </w:t>
      </w:r>
      <w:r w:rsidRPr="008F7F29">
        <w:rPr>
          <w:rFonts w:ascii="Bookman Old Style" w:eastAsia="Arial Unicode MS" w:hAnsi="Bookman Old Style" w:cs="Arial Unicode MS"/>
          <w:i/>
          <w:sz w:val="24"/>
          <w:szCs w:val="24"/>
        </w:rPr>
        <w:t>case</w:t>
      </w:r>
      <w:r w:rsidR="006B7598">
        <w:rPr>
          <w:rFonts w:ascii="Bookman Old Style" w:eastAsia="Arial Unicode MS" w:hAnsi="Bookman Old Style" w:cs="Arial Unicode MS"/>
          <w:sz w:val="24"/>
          <w:szCs w:val="24"/>
        </w:rPr>
        <w:t>, Mr. Nko</w:t>
      </w:r>
      <w:r w:rsidRPr="008F7F29">
        <w:rPr>
          <w:rFonts w:ascii="Bookman Old Style" w:eastAsia="Arial Unicode MS" w:hAnsi="Bookman Old Style" w:cs="Arial Unicode MS"/>
          <w:sz w:val="24"/>
          <w:szCs w:val="24"/>
        </w:rPr>
        <w:t>nde SC</w:t>
      </w:r>
      <w:r w:rsidR="002A162E">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submitted, lays down the </w:t>
      </w:r>
      <w:r w:rsidR="002A162E">
        <w:rPr>
          <w:rFonts w:ascii="Bookman Old Style" w:eastAsia="Arial Unicode MS" w:hAnsi="Bookman Old Style" w:cs="Arial Unicode MS"/>
          <w:sz w:val="24"/>
          <w:szCs w:val="24"/>
        </w:rPr>
        <w:t xml:space="preserve">fundamental </w:t>
      </w:r>
      <w:r w:rsidRPr="008F7F29">
        <w:rPr>
          <w:rFonts w:ascii="Bookman Old Style" w:eastAsia="Arial Unicode MS" w:hAnsi="Bookman Old Style" w:cs="Arial Unicode MS"/>
          <w:sz w:val="24"/>
          <w:szCs w:val="24"/>
        </w:rPr>
        <w:t xml:space="preserve">principle that the Court will not restrain the publication of an article even through it is defamatory when the defendant asserts that the intends to justify it, or to make a fair comment on a matter of public interest. </w:t>
      </w:r>
      <w:r w:rsidR="00494BD4">
        <w:rPr>
          <w:rFonts w:ascii="Bookman Old Style" w:eastAsia="Arial Unicode MS" w:hAnsi="Bookman Old Style" w:cs="Arial Unicode MS"/>
          <w:sz w:val="24"/>
          <w:szCs w:val="24"/>
        </w:rPr>
        <w:t xml:space="preserve">He </w:t>
      </w:r>
      <w:r w:rsidRPr="008F7F29">
        <w:rPr>
          <w:rFonts w:ascii="Bookman Old Style" w:eastAsia="Arial Unicode MS" w:hAnsi="Bookman Old Style" w:cs="Arial Unicode MS"/>
          <w:sz w:val="24"/>
          <w:szCs w:val="24"/>
        </w:rPr>
        <w:t xml:space="preserve">also submitted that the </w:t>
      </w:r>
      <w:r w:rsidRPr="008F7F29">
        <w:rPr>
          <w:rFonts w:ascii="Bookman Old Style" w:eastAsia="Arial Unicode MS" w:hAnsi="Bookman Old Style" w:cs="Arial Unicode MS"/>
          <w:i/>
          <w:sz w:val="24"/>
          <w:szCs w:val="24"/>
        </w:rPr>
        <w:t>Bonnard</w:t>
      </w:r>
      <w:r w:rsidR="00494BD4">
        <w:rPr>
          <w:rFonts w:ascii="Bookman Old Style" w:eastAsia="Arial Unicode MS" w:hAnsi="Bookman Old Style" w:cs="Arial Unicode MS"/>
          <w:i/>
          <w:sz w:val="24"/>
          <w:szCs w:val="24"/>
        </w:rPr>
        <w:t>v Perryman</w:t>
      </w:r>
      <w:r w:rsidRPr="008F7F29">
        <w:rPr>
          <w:rFonts w:ascii="Bookman Old Style" w:eastAsia="Arial Unicode MS" w:hAnsi="Bookman Old Style" w:cs="Arial Unicode MS"/>
          <w:i/>
          <w:sz w:val="24"/>
          <w:szCs w:val="24"/>
        </w:rPr>
        <w:t xml:space="preserve"> case</w:t>
      </w:r>
      <w:r w:rsidR="006B7598">
        <w:rPr>
          <w:rFonts w:ascii="Bookman Old Style" w:eastAsia="Arial Unicode MS" w:hAnsi="Bookman Old Style" w:cs="Arial Unicode MS"/>
          <w:sz w:val="24"/>
          <w:szCs w:val="24"/>
        </w:rPr>
        <w:t xml:space="preserve"> was cited </w:t>
      </w:r>
      <w:r w:rsidR="002A162E">
        <w:rPr>
          <w:rFonts w:ascii="Bookman Old Style" w:eastAsia="Arial Unicode MS" w:hAnsi="Bookman Old Style" w:cs="Arial Unicode MS"/>
          <w:sz w:val="24"/>
          <w:szCs w:val="24"/>
        </w:rPr>
        <w:t xml:space="preserve">with approval </w:t>
      </w:r>
      <w:r w:rsidR="006B7598">
        <w:rPr>
          <w:rFonts w:ascii="Bookman Old Style" w:eastAsia="Arial Unicode MS" w:hAnsi="Bookman Old Style" w:cs="Arial Unicode MS"/>
          <w:sz w:val="24"/>
          <w:szCs w:val="24"/>
        </w:rPr>
        <w:t>by the erstwhile C</w:t>
      </w:r>
      <w:r w:rsidRPr="008F7F29">
        <w:rPr>
          <w:rFonts w:ascii="Bookman Old Style" w:eastAsia="Arial Unicode MS" w:hAnsi="Bookman Old Style" w:cs="Arial Unicode MS"/>
          <w:sz w:val="24"/>
          <w:szCs w:val="24"/>
        </w:rPr>
        <w:t xml:space="preserve">hief Justice Ngulube in, in the case of </w:t>
      </w:r>
      <w:r w:rsidRPr="008F7F29">
        <w:rPr>
          <w:rFonts w:ascii="Bookman Old Style" w:eastAsia="Arial Unicode MS" w:hAnsi="Bookman Old Style" w:cs="Arial Unicode MS"/>
          <w:i/>
          <w:sz w:val="24"/>
          <w:szCs w:val="24"/>
        </w:rPr>
        <w:t xml:space="preserve">Shamwana v Mwanawasa </w:t>
      </w:r>
      <w:r w:rsidRPr="006B7598">
        <w:rPr>
          <w:rFonts w:ascii="Bookman Old Style" w:eastAsia="Arial Unicode MS" w:hAnsi="Bookman Old Style" w:cs="Arial Unicode MS"/>
          <w:sz w:val="24"/>
          <w:szCs w:val="24"/>
        </w:rPr>
        <w:t>(supra)</w:t>
      </w:r>
      <w:r w:rsidR="002A162E">
        <w:rPr>
          <w:rFonts w:ascii="Bookman Old Style" w:eastAsia="Arial Unicode MS" w:hAnsi="Bookman Old Style" w:cs="Arial Unicode MS"/>
          <w:sz w:val="24"/>
          <w:szCs w:val="24"/>
        </w:rPr>
        <w:t>.</w:t>
      </w:r>
      <w:r w:rsidRPr="006B7598">
        <w:rPr>
          <w:rFonts w:ascii="Bookman Old Style" w:eastAsia="Arial Unicode MS" w:hAnsi="Bookman Old Style" w:cs="Arial Unicode MS"/>
          <w:sz w:val="24"/>
          <w:szCs w:val="24"/>
        </w:rPr>
        <w:t xml:space="preserve"> </w:t>
      </w:r>
      <w:r w:rsidR="002A162E" w:rsidRPr="006B7598">
        <w:rPr>
          <w:rFonts w:ascii="Bookman Old Style" w:eastAsia="Arial Unicode MS" w:hAnsi="Bookman Old Style" w:cs="Arial Unicode MS"/>
          <w:sz w:val="24"/>
          <w:szCs w:val="24"/>
        </w:rPr>
        <w:t>Second</w:t>
      </w:r>
      <w:r w:rsidR="002A162E">
        <w:rPr>
          <w:rFonts w:ascii="Bookman Old Style" w:eastAsia="Arial Unicode MS" w:hAnsi="Bookman Old Style" w:cs="Arial Unicode MS"/>
          <w:sz w:val="24"/>
          <w:szCs w:val="24"/>
        </w:rPr>
        <w:t>,</w:t>
      </w:r>
      <w:r w:rsidR="006B7598" w:rsidRPr="006B7598">
        <w:rPr>
          <w:rFonts w:ascii="Bookman Old Style" w:eastAsia="Arial Unicode MS" w:hAnsi="Bookman Old Style" w:cs="Arial Unicode MS"/>
          <w:sz w:val="24"/>
          <w:szCs w:val="24"/>
        </w:rPr>
        <w:t xml:space="preserve"> </w:t>
      </w:r>
      <w:r w:rsidR="00494BD4">
        <w:rPr>
          <w:rFonts w:ascii="Bookman Old Style" w:eastAsia="Arial Unicode MS" w:hAnsi="Bookman Old Style" w:cs="Arial Unicode MS"/>
          <w:sz w:val="24"/>
          <w:szCs w:val="24"/>
        </w:rPr>
        <w:t xml:space="preserve">he </w:t>
      </w:r>
      <w:r w:rsidR="006B7598" w:rsidRPr="006B7598">
        <w:rPr>
          <w:rFonts w:ascii="Bookman Old Style" w:eastAsia="Arial Unicode MS" w:hAnsi="Bookman Old Style" w:cs="Arial Unicode MS"/>
          <w:sz w:val="24"/>
          <w:szCs w:val="24"/>
        </w:rPr>
        <w:t>referred</w:t>
      </w:r>
      <w:r w:rsidR="002A162E">
        <w:rPr>
          <w:rFonts w:ascii="Bookman Old Style" w:eastAsia="Arial Unicode MS" w:hAnsi="Bookman Old Style" w:cs="Arial Unicode MS"/>
          <w:sz w:val="24"/>
          <w:szCs w:val="24"/>
        </w:rPr>
        <w:t xml:space="preserve"> me</w:t>
      </w:r>
      <w:r w:rsidR="006B7598" w:rsidRPr="006B7598">
        <w:rPr>
          <w:rFonts w:ascii="Bookman Old Style" w:eastAsia="Arial Unicode MS" w:hAnsi="Bookman Old Style" w:cs="Arial Unicode MS"/>
          <w:sz w:val="24"/>
          <w:szCs w:val="24"/>
        </w:rPr>
        <w:t xml:space="preserve"> to the case of</w:t>
      </w:r>
      <w:r w:rsidR="006B7598">
        <w:rPr>
          <w:rFonts w:ascii="Bookman Old Style" w:eastAsia="Arial Unicode MS" w:hAnsi="Bookman Old Style" w:cs="Arial Unicode MS"/>
          <w:i/>
          <w:sz w:val="24"/>
          <w:szCs w:val="24"/>
        </w:rPr>
        <w:t xml:space="preserve"> Fraser v Evans.</w:t>
      </w:r>
      <w:r w:rsidR="006B7598">
        <w:rPr>
          <w:rStyle w:val="FootnoteReference"/>
          <w:rFonts w:ascii="Bookman Old Style" w:eastAsia="Arial Unicode MS" w:hAnsi="Bookman Old Style" w:cs="Arial Unicode MS"/>
          <w:i/>
          <w:sz w:val="24"/>
          <w:szCs w:val="24"/>
        </w:rPr>
        <w:footnoteReference w:id="11"/>
      </w:r>
      <w:r w:rsidR="006B7598">
        <w:rPr>
          <w:rFonts w:ascii="Bookman Old Style" w:eastAsia="Arial Unicode MS" w:hAnsi="Bookman Old Style" w:cs="Arial Unicode MS"/>
          <w:i/>
          <w:sz w:val="24"/>
          <w:szCs w:val="24"/>
        </w:rPr>
        <w:t xml:space="preserve"> </w:t>
      </w:r>
      <w:r w:rsidR="006B7598">
        <w:rPr>
          <w:rFonts w:ascii="Bookman Old Style" w:eastAsia="Arial Unicode MS" w:hAnsi="Bookman Old Style" w:cs="Arial Unicode MS"/>
          <w:sz w:val="24"/>
          <w:szCs w:val="24"/>
        </w:rPr>
        <w:t xml:space="preserve"> </w:t>
      </w:r>
      <w:r w:rsidR="006B7598" w:rsidRPr="006B7598">
        <w:rPr>
          <w:rFonts w:ascii="Bookman Old Style" w:eastAsia="Arial Unicode MS" w:hAnsi="Bookman Old Style" w:cs="Arial Unicode MS"/>
          <w:i/>
          <w:sz w:val="24"/>
          <w:szCs w:val="24"/>
        </w:rPr>
        <w:t>Fraser v Evans</w:t>
      </w:r>
      <w:r w:rsidR="006B7598">
        <w:rPr>
          <w:rFonts w:ascii="Bookman Old Style" w:eastAsia="Arial Unicode MS" w:hAnsi="Bookman Old Style" w:cs="Arial Unicode MS"/>
          <w:sz w:val="24"/>
          <w:szCs w:val="24"/>
        </w:rPr>
        <w:t xml:space="preserve"> case followed the decision in </w:t>
      </w:r>
      <w:r w:rsidR="006B7598" w:rsidRPr="006B7598">
        <w:rPr>
          <w:rFonts w:ascii="Bookman Old Style" w:eastAsia="Arial Unicode MS" w:hAnsi="Bookman Old Style" w:cs="Arial Unicode MS"/>
          <w:i/>
          <w:sz w:val="24"/>
          <w:szCs w:val="24"/>
        </w:rPr>
        <w:t>Bonnard v Perryman</w:t>
      </w:r>
      <w:r w:rsidR="006B7598">
        <w:rPr>
          <w:rFonts w:ascii="Bookman Old Style" w:eastAsia="Arial Unicode MS" w:hAnsi="Bookman Old Style" w:cs="Arial Unicode MS"/>
          <w:sz w:val="24"/>
          <w:szCs w:val="24"/>
        </w:rPr>
        <w:t xml:space="preserve">, I will revert to </w:t>
      </w:r>
      <w:r w:rsidR="00494BD4">
        <w:rPr>
          <w:rFonts w:ascii="Bookman Old Style" w:eastAsia="Arial Unicode MS" w:hAnsi="Bookman Old Style" w:cs="Arial Unicode MS"/>
          <w:sz w:val="24"/>
          <w:szCs w:val="24"/>
        </w:rPr>
        <w:t xml:space="preserve">it. </w:t>
      </w:r>
      <w:r w:rsidRPr="008F7F29">
        <w:rPr>
          <w:rFonts w:ascii="Bookman Old Style" w:eastAsia="Arial Unicode MS" w:hAnsi="Bookman Old Style" w:cs="Arial Unicode MS"/>
          <w:sz w:val="24"/>
          <w:szCs w:val="24"/>
        </w:rPr>
        <w:t xml:space="preserve">Third, my attention was drawn to the case of </w:t>
      </w:r>
      <w:r w:rsidRPr="008F7F29">
        <w:rPr>
          <w:rFonts w:ascii="Bookman Old Style" w:eastAsia="Arial Unicode MS" w:hAnsi="Bookman Old Style" w:cs="Arial Unicode MS"/>
          <w:i/>
          <w:sz w:val="24"/>
          <w:szCs w:val="24"/>
        </w:rPr>
        <w:t>Gulf Oil GB Limited v Page and Others</w:t>
      </w:r>
      <w:r w:rsidR="006B7598">
        <w:rPr>
          <w:rFonts w:ascii="Bookman Old Style" w:eastAsia="Arial Unicode MS" w:hAnsi="Bookman Old Style" w:cs="Arial Unicode MS"/>
          <w:i/>
          <w:sz w:val="24"/>
          <w:szCs w:val="24"/>
        </w:rPr>
        <w:t>.</w:t>
      </w:r>
      <w:r w:rsidR="00DF6F51">
        <w:rPr>
          <w:rStyle w:val="FootnoteReference"/>
          <w:rFonts w:ascii="Bookman Old Style" w:eastAsia="Arial Unicode MS" w:hAnsi="Bookman Old Style" w:cs="Arial Unicode MS"/>
          <w:i/>
          <w:sz w:val="24"/>
          <w:szCs w:val="24"/>
        </w:rPr>
        <w:footnoteReference w:id="12"/>
      </w:r>
      <w:r w:rsidR="00DF6F51">
        <w:rPr>
          <w:rFonts w:ascii="Bookman Old Style" w:eastAsia="Arial Unicode MS" w:hAnsi="Bookman Old Style" w:cs="Arial Unicode MS"/>
          <w:i/>
          <w:sz w:val="24"/>
          <w:szCs w:val="24"/>
        </w:rPr>
        <w:t xml:space="preserve"> </w:t>
      </w:r>
      <w:r w:rsidR="00494BD4">
        <w:rPr>
          <w:rFonts w:ascii="Bookman Old Style" w:eastAsia="Arial Unicode MS" w:hAnsi="Bookman Old Style" w:cs="Arial Unicode MS"/>
          <w:i/>
          <w:sz w:val="24"/>
          <w:szCs w:val="24"/>
        </w:rPr>
        <w:t xml:space="preserve">He </w:t>
      </w:r>
      <w:r w:rsidRPr="008F7F29">
        <w:rPr>
          <w:rFonts w:ascii="Bookman Old Style" w:eastAsia="Arial Unicode MS" w:hAnsi="Bookman Old Style" w:cs="Arial Unicode MS"/>
          <w:sz w:val="24"/>
          <w:szCs w:val="24"/>
        </w:rPr>
        <w:t xml:space="preserve">submitted </w:t>
      </w:r>
      <w:r w:rsidR="002A162E">
        <w:rPr>
          <w:rFonts w:ascii="Bookman Old Style" w:eastAsia="Arial Unicode MS" w:hAnsi="Bookman Old Style" w:cs="Arial Unicode MS"/>
          <w:sz w:val="24"/>
          <w:szCs w:val="24"/>
        </w:rPr>
        <w:t xml:space="preserve">in this regard </w:t>
      </w:r>
      <w:r w:rsidRPr="008F7F29">
        <w:rPr>
          <w:rFonts w:ascii="Bookman Old Style" w:eastAsia="Arial Unicode MS" w:hAnsi="Bookman Old Style" w:cs="Arial Unicode MS"/>
          <w:sz w:val="24"/>
          <w:szCs w:val="24"/>
        </w:rPr>
        <w:t xml:space="preserve">that the principle laid down in the </w:t>
      </w:r>
      <w:r w:rsidRPr="008F7F29">
        <w:rPr>
          <w:rFonts w:ascii="Bookman Old Style" w:eastAsia="Arial Unicode MS" w:hAnsi="Bookman Old Style" w:cs="Arial Unicode MS"/>
          <w:i/>
          <w:sz w:val="24"/>
          <w:szCs w:val="24"/>
        </w:rPr>
        <w:t xml:space="preserve">Bonnard </w:t>
      </w:r>
      <w:r w:rsidR="002A162E">
        <w:rPr>
          <w:rFonts w:ascii="Bookman Old Style" w:eastAsia="Arial Unicode MS" w:hAnsi="Bookman Old Style" w:cs="Arial Unicode MS"/>
          <w:i/>
          <w:sz w:val="24"/>
          <w:szCs w:val="24"/>
        </w:rPr>
        <w:t xml:space="preserve">v Perryman </w:t>
      </w:r>
      <w:r w:rsidRPr="008F7F29">
        <w:rPr>
          <w:rFonts w:ascii="Bookman Old Style" w:eastAsia="Arial Unicode MS" w:hAnsi="Bookman Old Style" w:cs="Arial Unicode MS"/>
          <w:i/>
          <w:sz w:val="24"/>
          <w:szCs w:val="24"/>
        </w:rPr>
        <w:t>case</w:t>
      </w:r>
      <w:r w:rsidRPr="008F7F29">
        <w:rPr>
          <w:rFonts w:ascii="Bookman Old Style" w:eastAsia="Arial Unicode MS" w:hAnsi="Bookman Old Style" w:cs="Arial Unicode MS"/>
          <w:sz w:val="24"/>
          <w:szCs w:val="24"/>
        </w:rPr>
        <w:t xml:space="preserve"> is not without exceptions as was </w:t>
      </w:r>
      <w:r w:rsidR="002A162E">
        <w:rPr>
          <w:rFonts w:ascii="Bookman Old Style" w:eastAsia="Arial Unicode MS" w:hAnsi="Bookman Old Style" w:cs="Arial Unicode MS"/>
          <w:sz w:val="24"/>
          <w:szCs w:val="24"/>
        </w:rPr>
        <w:t xml:space="preserve">held </w:t>
      </w:r>
      <w:r w:rsidR="00DF6F51">
        <w:rPr>
          <w:rFonts w:ascii="Bookman Old Style" w:eastAsia="Arial Unicode MS" w:hAnsi="Bookman Old Style" w:cs="Arial Unicode MS"/>
          <w:sz w:val="24"/>
          <w:szCs w:val="24"/>
        </w:rPr>
        <w:t xml:space="preserve">in </w:t>
      </w:r>
      <w:r w:rsidRPr="008F7F29">
        <w:rPr>
          <w:rFonts w:ascii="Bookman Old Style" w:eastAsia="Arial Unicode MS" w:hAnsi="Bookman Old Style" w:cs="Arial Unicode MS"/>
          <w:sz w:val="24"/>
          <w:szCs w:val="24"/>
        </w:rPr>
        <w:t xml:space="preserve">the </w:t>
      </w:r>
      <w:r w:rsidRPr="008F7F29">
        <w:rPr>
          <w:rFonts w:ascii="Bookman Old Style" w:eastAsia="Arial Unicode MS" w:hAnsi="Bookman Old Style" w:cs="Arial Unicode MS"/>
          <w:i/>
          <w:sz w:val="24"/>
          <w:szCs w:val="24"/>
        </w:rPr>
        <w:t>Gulf Oil case</w:t>
      </w:r>
      <w:r w:rsidR="00DF6F51">
        <w:rPr>
          <w:rFonts w:ascii="Bookman Old Style" w:eastAsia="Arial Unicode MS" w:hAnsi="Bookman Old Style" w:cs="Arial Unicode MS"/>
          <w:sz w:val="24"/>
          <w:szCs w:val="24"/>
        </w:rPr>
        <w:t xml:space="preserve">. I will </w:t>
      </w:r>
      <w:r w:rsidR="002A162E">
        <w:rPr>
          <w:rFonts w:ascii="Bookman Old Style" w:eastAsia="Arial Unicode MS" w:hAnsi="Bookman Old Style" w:cs="Arial Unicode MS"/>
          <w:sz w:val="24"/>
          <w:szCs w:val="24"/>
        </w:rPr>
        <w:t xml:space="preserve">also </w:t>
      </w:r>
      <w:r w:rsidR="00DF6F51">
        <w:rPr>
          <w:rFonts w:ascii="Bookman Old Style" w:eastAsia="Arial Unicode MS" w:hAnsi="Bookman Old Style" w:cs="Arial Unicode MS"/>
          <w:sz w:val="24"/>
          <w:szCs w:val="24"/>
        </w:rPr>
        <w:t xml:space="preserve">address the </w:t>
      </w:r>
      <w:r w:rsidR="00DF6F51" w:rsidRPr="00DF6F51">
        <w:rPr>
          <w:rFonts w:ascii="Bookman Old Style" w:eastAsia="Arial Unicode MS" w:hAnsi="Bookman Old Style" w:cs="Arial Unicode MS"/>
          <w:i/>
          <w:sz w:val="24"/>
          <w:szCs w:val="24"/>
        </w:rPr>
        <w:t>Gulf Oil</w:t>
      </w:r>
      <w:r w:rsidR="00DF6F51">
        <w:rPr>
          <w:rFonts w:ascii="Bookman Old Style" w:eastAsia="Arial Unicode MS" w:hAnsi="Bookman Old Style" w:cs="Arial Unicode MS"/>
          <w:sz w:val="24"/>
          <w:szCs w:val="24"/>
        </w:rPr>
        <w:t xml:space="preserve"> case in more detail in due course.</w:t>
      </w:r>
      <w:r w:rsidR="00494BD4">
        <w:rPr>
          <w:rFonts w:ascii="Bookman Old Style" w:eastAsia="Arial Unicode MS" w:hAnsi="Bookman Old Style" w:cs="Arial Unicode MS"/>
          <w:sz w:val="24"/>
          <w:szCs w:val="24"/>
        </w:rPr>
        <w:t xml:space="preserve"> </w:t>
      </w:r>
      <w:r w:rsidR="00DF6F51">
        <w:rPr>
          <w:rFonts w:ascii="Bookman Old Style" w:eastAsia="Arial Unicode MS" w:hAnsi="Bookman Old Style" w:cs="Arial Unicode MS"/>
          <w:sz w:val="24"/>
          <w:szCs w:val="24"/>
        </w:rPr>
        <w:t>Be that as it may</w:t>
      </w:r>
      <w:r w:rsidRPr="008F7F29">
        <w:rPr>
          <w:rFonts w:ascii="Bookman Old Style" w:eastAsia="Arial Unicode MS" w:hAnsi="Bookman Old Style" w:cs="Arial Unicode MS"/>
          <w:sz w:val="24"/>
          <w:szCs w:val="24"/>
        </w:rPr>
        <w:t xml:space="preserve">, Mr. Nkonde SC, submitted </w:t>
      </w:r>
      <w:r w:rsidR="00494BD4">
        <w:rPr>
          <w:rFonts w:ascii="Bookman Old Style" w:eastAsia="Arial Unicode MS" w:hAnsi="Bookman Old Style" w:cs="Arial Unicode MS"/>
          <w:sz w:val="24"/>
          <w:szCs w:val="24"/>
        </w:rPr>
        <w:t xml:space="preserve">that in essence </w:t>
      </w:r>
      <w:r w:rsidR="00585B57">
        <w:rPr>
          <w:rFonts w:ascii="Bookman Old Style" w:eastAsia="Arial Unicode MS" w:hAnsi="Bookman Old Style" w:cs="Arial Unicode MS"/>
          <w:sz w:val="24"/>
          <w:szCs w:val="24"/>
        </w:rPr>
        <w:t xml:space="preserve">the </w:t>
      </w:r>
      <w:r w:rsidR="00585B57" w:rsidRPr="00585B57">
        <w:rPr>
          <w:rFonts w:ascii="Bookman Old Style" w:eastAsia="Arial Unicode MS" w:hAnsi="Bookman Old Style" w:cs="Arial Unicode MS"/>
          <w:i/>
          <w:sz w:val="24"/>
          <w:szCs w:val="24"/>
        </w:rPr>
        <w:t>Gulf Oil case</w:t>
      </w:r>
      <w:r w:rsidR="00585B57">
        <w:rPr>
          <w:rFonts w:ascii="Bookman Old Style" w:eastAsia="Arial Unicode MS" w:hAnsi="Bookman Old Style" w:cs="Arial Unicode MS"/>
          <w:sz w:val="24"/>
          <w:szCs w:val="24"/>
        </w:rPr>
        <w:t xml:space="preserve"> is an exception to the principle stated in </w:t>
      </w:r>
      <w:r w:rsidR="00585B57" w:rsidRPr="00494BD4">
        <w:rPr>
          <w:rFonts w:ascii="Bookman Old Style" w:eastAsia="Arial Unicode MS" w:hAnsi="Bookman Old Style" w:cs="Arial Unicode MS"/>
          <w:i/>
          <w:sz w:val="24"/>
          <w:szCs w:val="24"/>
        </w:rPr>
        <w:t>Bonnard v Perryman</w:t>
      </w:r>
      <w:r w:rsidR="00585B57">
        <w:rPr>
          <w:rFonts w:ascii="Bookman Old Style" w:eastAsia="Arial Unicode MS" w:hAnsi="Bookman Old Style" w:cs="Arial Unicode MS"/>
          <w:sz w:val="24"/>
          <w:szCs w:val="24"/>
        </w:rPr>
        <w:t xml:space="preserve">. However, he argued that this case does not fall within that exception.  </w:t>
      </w:r>
    </w:p>
    <w:p w:rsidR="00585B57" w:rsidRDefault="00585B57" w:rsidP="00153D09">
      <w:pPr>
        <w:spacing w:after="0" w:line="360" w:lineRule="auto"/>
        <w:jc w:val="both"/>
        <w:rPr>
          <w:rFonts w:ascii="Bookman Old Style" w:eastAsia="Arial Unicode MS" w:hAnsi="Bookman Old Style" w:cs="Arial Unicode MS"/>
          <w:sz w:val="24"/>
          <w:szCs w:val="24"/>
        </w:rPr>
      </w:pPr>
    </w:p>
    <w:p w:rsidR="00DF6F51" w:rsidRDefault="00DF6F51"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lastRenderedPageBreak/>
        <w:t>In applying the principles adumbrated above to the facts of this case</w:t>
      </w:r>
      <w:r>
        <w:rPr>
          <w:rFonts w:ascii="Bookman Old Style" w:eastAsia="Arial Unicode MS" w:hAnsi="Bookman Old Style" w:cs="Arial Unicode MS"/>
          <w:sz w:val="24"/>
          <w:szCs w:val="24"/>
        </w:rPr>
        <w:t>,</w:t>
      </w:r>
      <w:r w:rsidR="00DF6F51">
        <w:rPr>
          <w:rFonts w:ascii="Bookman Old Style" w:eastAsia="Arial Unicode MS" w:hAnsi="Bookman Old Style" w:cs="Arial Unicode MS"/>
          <w:sz w:val="24"/>
          <w:szCs w:val="24"/>
        </w:rPr>
        <w:t xml:space="preserve"> Mr. Nkonde, SC, argued</w:t>
      </w:r>
      <w:r w:rsidR="00494BD4">
        <w:rPr>
          <w:rFonts w:ascii="Bookman Old Style" w:eastAsia="Arial Unicode MS" w:hAnsi="Bookman Old Style" w:cs="Arial Unicode MS"/>
          <w:sz w:val="24"/>
          <w:szCs w:val="24"/>
        </w:rPr>
        <w:t xml:space="preserve"> that first </w:t>
      </w:r>
      <w:r w:rsidRPr="008F7F29">
        <w:rPr>
          <w:rFonts w:ascii="Bookman Old Style" w:eastAsia="Arial Unicode MS" w:hAnsi="Bookman Old Style" w:cs="Arial Unicode MS"/>
          <w:sz w:val="24"/>
          <w:szCs w:val="24"/>
        </w:rPr>
        <w:t xml:space="preserve">the plaintiff is a public figure; a leader of the opposition party, who is aspiring to be President of the republic of Zambia. </w:t>
      </w:r>
      <w:r w:rsidR="00585B57">
        <w:rPr>
          <w:rFonts w:ascii="Bookman Old Style" w:eastAsia="Arial Unicode MS" w:hAnsi="Bookman Old Style" w:cs="Arial Unicode MS"/>
          <w:sz w:val="24"/>
          <w:szCs w:val="24"/>
        </w:rPr>
        <w:t>S</w:t>
      </w:r>
      <w:r w:rsidRPr="008F7F29">
        <w:rPr>
          <w:rFonts w:ascii="Bookman Old Style" w:eastAsia="Arial Unicode MS" w:hAnsi="Bookman Old Style" w:cs="Arial Unicode MS"/>
          <w:sz w:val="24"/>
          <w:szCs w:val="24"/>
        </w:rPr>
        <w:t>ince the plaintiff is a public figure</w:t>
      </w:r>
      <w:r w:rsidR="00494BD4">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his conduct is a matter of public interest. Second, that on the facts of this case there is no combination of claims </w:t>
      </w:r>
      <w:r w:rsidR="00585B57">
        <w:rPr>
          <w:rFonts w:ascii="Bookman Old Style" w:eastAsia="Arial Unicode MS" w:hAnsi="Bookman Old Style" w:cs="Arial Unicode MS"/>
          <w:sz w:val="24"/>
          <w:szCs w:val="24"/>
        </w:rPr>
        <w:t xml:space="preserve">to include </w:t>
      </w:r>
      <w:r w:rsidRPr="008F7F29">
        <w:rPr>
          <w:rFonts w:ascii="Bookman Old Style" w:eastAsia="Arial Unicode MS" w:hAnsi="Bookman Old Style" w:cs="Arial Unicode MS"/>
          <w:sz w:val="24"/>
          <w:szCs w:val="24"/>
        </w:rPr>
        <w:t>conspiracy. Thus the only claim against the</w:t>
      </w:r>
      <w:r>
        <w:rPr>
          <w:rFonts w:ascii="Bookman Old Style" w:eastAsia="Arial Unicode MS" w:hAnsi="Bookman Old Style" w:cs="Arial Unicode MS"/>
          <w:sz w:val="24"/>
          <w:szCs w:val="24"/>
        </w:rPr>
        <w:t xml:space="preserve"> defendant is for libel. Third, </w:t>
      </w:r>
      <w:r w:rsidRPr="008F7F29">
        <w:rPr>
          <w:rFonts w:ascii="Bookman Old Style" w:eastAsia="Arial Unicode MS" w:hAnsi="Bookman Old Style" w:cs="Arial Unicode MS"/>
          <w:sz w:val="24"/>
          <w:szCs w:val="24"/>
        </w:rPr>
        <w:t>that the Court should refuse an interim injunction when a defendant intends to rely on the defences of justification</w:t>
      </w:r>
      <w:r w:rsidR="00485375">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or fair comment.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On 17</w:t>
      </w:r>
      <w:r w:rsidRPr="008F7F29">
        <w:rPr>
          <w:rFonts w:ascii="Bookman Old Style" w:eastAsia="Arial Unicode MS" w:hAnsi="Bookman Old Style" w:cs="Arial Unicode MS"/>
          <w:sz w:val="24"/>
          <w:szCs w:val="24"/>
          <w:vertAlign w:val="superscript"/>
        </w:rPr>
        <w:t>th</w:t>
      </w:r>
      <w:r w:rsidRPr="008F7F29">
        <w:rPr>
          <w:rFonts w:ascii="Bookman Old Style" w:eastAsia="Arial Unicode MS" w:hAnsi="Bookman Old Style" w:cs="Arial Unicode MS"/>
          <w:sz w:val="24"/>
          <w:szCs w:val="24"/>
        </w:rPr>
        <w:t xml:space="preserve"> January, 2011, the 1</w:t>
      </w:r>
      <w:r w:rsidRPr="008F7F29">
        <w:rPr>
          <w:rFonts w:ascii="Bookman Old Style" w:eastAsia="Arial Unicode MS" w:hAnsi="Bookman Old Style" w:cs="Arial Unicode MS"/>
          <w:sz w:val="24"/>
          <w:szCs w:val="24"/>
          <w:vertAlign w:val="superscript"/>
        </w:rPr>
        <w:t>st</w:t>
      </w:r>
      <w:r w:rsidRPr="008F7F29">
        <w:rPr>
          <w:rFonts w:ascii="Bookman Old Style" w:eastAsia="Arial Unicode MS" w:hAnsi="Bookman Old Style" w:cs="Arial Unicode MS"/>
          <w:sz w:val="24"/>
          <w:szCs w:val="24"/>
        </w:rPr>
        <w:t xml:space="preserve"> and 2</w:t>
      </w:r>
      <w:r w:rsidRPr="008F7F29">
        <w:rPr>
          <w:rFonts w:ascii="Bookman Old Style" w:eastAsia="Arial Unicode MS" w:hAnsi="Bookman Old Style" w:cs="Arial Unicode MS"/>
          <w:sz w:val="24"/>
          <w:szCs w:val="24"/>
          <w:vertAlign w:val="superscript"/>
        </w:rPr>
        <w:t>nd</w:t>
      </w:r>
      <w:r w:rsidRPr="008F7F29">
        <w:rPr>
          <w:rFonts w:ascii="Bookman Old Style" w:eastAsia="Arial Unicode MS" w:hAnsi="Bookman Old Style" w:cs="Arial Unicode MS"/>
          <w:sz w:val="24"/>
          <w:szCs w:val="24"/>
        </w:rPr>
        <w:t xml:space="preserve"> defendants fi</w:t>
      </w:r>
      <w:r w:rsidR="00585B57">
        <w:rPr>
          <w:rFonts w:ascii="Bookman Old Style" w:eastAsia="Arial Unicode MS" w:hAnsi="Bookman Old Style" w:cs="Arial Unicode MS"/>
          <w:sz w:val="24"/>
          <w:szCs w:val="24"/>
        </w:rPr>
        <w:t>led A</w:t>
      </w:r>
      <w:r w:rsidRPr="008F7F29">
        <w:rPr>
          <w:rFonts w:ascii="Bookman Old Style" w:eastAsia="Arial Unicode MS" w:hAnsi="Bookman Old Style" w:cs="Arial Unicode MS"/>
          <w:sz w:val="24"/>
          <w:szCs w:val="24"/>
        </w:rPr>
        <w:t>dditional submissions</w:t>
      </w:r>
      <w:r w:rsidR="00585B57">
        <w:rPr>
          <w:rFonts w:ascii="Bookman Old Style" w:eastAsia="Arial Unicode MS" w:hAnsi="Bookman Old Style" w:cs="Arial Unicode MS"/>
          <w:sz w:val="24"/>
          <w:szCs w:val="24"/>
        </w:rPr>
        <w:t>. Mr. Nkonde, SC, prefaced the A</w:t>
      </w:r>
      <w:r w:rsidRPr="008F7F29">
        <w:rPr>
          <w:rFonts w:ascii="Bookman Old Style" w:eastAsia="Arial Unicode MS" w:hAnsi="Bookman Old Style" w:cs="Arial Unicode MS"/>
          <w:sz w:val="24"/>
          <w:szCs w:val="24"/>
        </w:rPr>
        <w:t xml:space="preserve">dditional submissions by referring to the case of </w:t>
      </w:r>
      <w:r w:rsidRPr="008F7F29">
        <w:rPr>
          <w:rFonts w:ascii="Bookman Old Style" w:eastAsia="Arial Unicode MS" w:hAnsi="Bookman Old Style" w:cs="Arial Unicode MS"/>
          <w:i/>
          <w:sz w:val="24"/>
          <w:szCs w:val="24"/>
        </w:rPr>
        <w:t>Femis Bank Anguilla Limited and Others v Lazar and Another</w:t>
      </w:r>
      <w:r w:rsidRPr="008F7F29">
        <w:rPr>
          <w:rFonts w:ascii="Bookman Old Style" w:eastAsia="Arial Unicode MS" w:hAnsi="Bookman Old Style" w:cs="Arial Unicode MS"/>
          <w:sz w:val="24"/>
          <w:szCs w:val="24"/>
        </w:rPr>
        <w:t>.</w:t>
      </w:r>
      <w:r w:rsidR="00DF6F51">
        <w:rPr>
          <w:rStyle w:val="FootnoteReference"/>
          <w:rFonts w:ascii="Bookman Old Style" w:eastAsia="Arial Unicode MS" w:hAnsi="Bookman Old Style" w:cs="Arial Unicode MS"/>
          <w:sz w:val="24"/>
          <w:szCs w:val="24"/>
        </w:rPr>
        <w:footnoteReference w:id="13"/>
      </w:r>
      <w:r w:rsidRPr="008F7F29">
        <w:rPr>
          <w:rFonts w:ascii="Bookman Old Style" w:eastAsia="Arial Unicode MS" w:hAnsi="Bookman Old Style" w:cs="Arial Unicode MS"/>
          <w:sz w:val="24"/>
          <w:szCs w:val="24"/>
        </w:rPr>
        <w:t xml:space="preserve"> Mr. Nkonde, SC, submitted that once conspiracy is claimed, as was the case in the </w:t>
      </w:r>
      <w:r w:rsidRPr="008F7F29">
        <w:rPr>
          <w:rFonts w:ascii="Bookman Old Style" w:eastAsia="Arial Unicode MS" w:hAnsi="Bookman Old Style" w:cs="Arial Unicode MS"/>
          <w:i/>
          <w:sz w:val="24"/>
          <w:szCs w:val="24"/>
        </w:rPr>
        <w:t>Femis Bank case,</w:t>
      </w:r>
      <w:r>
        <w:rPr>
          <w:rFonts w:ascii="Bookman Old Style" w:eastAsia="Arial Unicode MS" w:hAnsi="Bookman Old Style" w:cs="Arial Unicode MS"/>
          <w:sz w:val="24"/>
          <w:szCs w:val="24"/>
        </w:rPr>
        <w:t xml:space="preserve"> the p</w:t>
      </w:r>
      <w:r w:rsidRPr="008F7F29">
        <w:rPr>
          <w:rFonts w:ascii="Bookman Old Style" w:eastAsia="Arial Unicode MS" w:hAnsi="Bookman Old Style" w:cs="Arial Unicode MS"/>
          <w:sz w:val="24"/>
          <w:szCs w:val="24"/>
        </w:rPr>
        <w:t>ublic interest in freedom of speech becomes irrelevant in exercising t</w:t>
      </w:r>
      <w:r w:rsidR="00DF6F51">
        <w:rPr>
          <w:rFonts w:ascii="Bookman Old Style" w:eastAsia="Arial Unicode MS" w:hAnsi="Bookman Old Style" w:cs="Arial Unicode MS"/>
          <w:sz w:val="24"/>
          <w:szCs w:val="24"/>
        </w:rPr>
        <w:t>he discretion whether or not</w:t>
      </w:r>
      <w:r w:rsidRPr="008F7F29">
        <w:rPr>
          <w:rFonts w:ascii="Bookman Old Style" w:eastAsia="Arial Unicode MS" w:hAnsi="Bookman Old Style" w:cs="Arial Unicode MS"/>
          <w:sz w:val="24"/>
          <w:szCs w:val="24"/>
        </w:rPr>
        <w:t xml:space="preserve"> to grant an interim injunction.</w:t>
      </w:r>
      <w:r w:rsidR="00585B57">
        <w:rPr>
          <w:rFonts w:ascii="Bookman Old Style" w:eastAsia="Arial Unicode MS" w:hAnsi="Bookman Old Style" w:cs="Arial Unicode MS"/>
          <w:sz w:val="24"/>
          <w:szCs w:val="24"/>
        </w:rPr>
        <w:t xml:space="preserve"> </w:t>
      </w:r>
      <w:r w:rsidR="00DF6F51">
        <w:rPr>
          <w:rFonts w:ascii="Bookman Old Style" w:eastAsia="Arial Unicode MS" w:hAnsi="Bookman Old Style" w:cs="Arial Unicode MS"/>
          <w:sz w:val="24"/>
          <w:szCs w:val="24"/>
        </w:rPr>
        <w:t xml:space="preserve">Thus </w:t>
      </w:r>
      <w:r w:rsidR="00494BD4">
        <w:rPr>
          <w:rFonts w:ascii="Bookman Old Style" w:eastAsia="Arial Unicode MS" w:hAnsi="Bookman Old Style" w:cs="Arial Unicode MS"/>
          <w:sz w:val="24"/>
          <w:szCs w:val="24"/>
        </w:rPr>
        <w:t xml:space="preserve">he </w:t>
      </w:r>
      <w:r w:rsidR="00585B57">
        <w:rPr>
          <w:rFonts w:ascii="Bookman Old Style" w:eastAsia="Arial Unicode MS" w:hAnsi="Bookman Old Style" w:cs="Arial Unicode MS"/>
          <w:sz w:val="24"/>
          <w:szCs w:val="24"/>
        </w:rPr>
        <w:t xml:space="preserve">argued </w:t>
      </w:r>
      <w:r w:rsidRPr="008F7F29">
        <w:rPr>
          <w:rFonts w:ascii="Bookman Old Style" w:eastAsia="Arial Unicode MS" w:hAnsi="Bookman Old Style" w:cs="Arial Unicode MS"/>
          <w:sz w:val="24"/>
          <w:szCs w:val="24"/>
        </w:rPr>
        <w:t xml:space="preserve">that despite the </w:t>
      </w:r>
      <w:r w:rsidRPr="008F7F29">
        <w:rPr>
          <w:rFonts w:ascii="Bookman Old Style" w:eastAsia="Arial Unicode MS" w:hAnsi="Bookman Old Style" w:cs="Arial Unicode MS"/>
          <w:i/>
          <w:sz w:val="24"/>
          <w:szCs w:val="24"/>
        </w:rPr>
        <w:t>Femis Bank</w:t>
      </w:r>
      <w:r w:rsidRPr="008F7F29">
        <w:rPr>
          <w:rFonts w:ascii="Bookman Old Style" w:eastAsia="Arial Unicode MS" w:hAnsi="Bookman Old Style" w:cs="Arial Unicode MS"/>
          <w:sz w:val="24"/>
          <w:szCs w:val="24"/>
        </w:rPr>
        <w:t xml:space="preserve"> case being a claim in conspiracy, the Court still refused to exercise its discretion to grant the interim injunction.</w:t>
      </w:r>
      <w:r w:rsidR="00DF6F51">
        <w:rPr>
          <w:rFonts w:ascii="Bookman Old Style" w:eastAsia="Arial Unicode MS" w:hAnsi="Bookman Old Style" w:cs="Arial Unicode MS"/>
          <w:sz w:val="24"/>
          <w:szCs w:val="24"/>
        </w:rPr>
        <w:t xml:space="preserve"> I will revert to the </w:t>
      </w:r>
      <w:r w:rsidR="00DF6F51" w:rsidRPr="00DF6F51">
        <w:rPr>
          <w:rFonts w:ascii="Bookman Old Style" w:eastAsia="Arial Unicode MS" w:hAnsi="Bookman Old Style" w:cs="Arial Unicode MS"/>
          <w:i/>
          <w:sz w:val="24"/>
          <w:szCs w:val="24"/>
        </w:rPr>
        <w:t>Femis Bank</w:t>
      </w:r>
      <w:r w:rsidR="00DF6F51">
        <w:rPr>
          <w:rFonts w:ascii="Bookman Old Style" w:eastAsia="Arial Unicode MS" w:hAnsi="Bookman Old Style" w:cs="Arial Unicode MS"/>
          <w:sz w:val="24"/>
          <w:szCs w:val="24"/>
        </w:rPr>
        <w:t xml:space="preserve"> case later. </w:t>
      </w:r>
    </w:p>
    <w:p w:rsidR="00585B57" w:rsidRDefault="00585B57" w:rsidP="00153D09">
      <w:pPr>
        <w:spacing w:after="0" w:line="360" w:lineRule="auto"/>
        <w:jc w:val="both"/>
        <w:rPr>
          <w:rFonts w:ascii="Bookman Old Style" w:eastAsia="Arial Unicode MS" w:hAnsi="Bookman Old Style" w:cs="Arial Unicode MS"/>
          <w:sz w:val="24"/>
          <w:szCs w:val="24"/>
        </w:rPr>
      </w:pPr>
    </w:p>
    <w:p w:rsidR="00153D09" w:rsidRPr="008F7F29" w:rsidRDefault="00585B57"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Professor Mvunga, SC, filed the </w:t>
      </w:r>
      <w:r w:rsidR="00153D09" w:rsidRPr="008F7F29">
        <w:rPr>
          <w:rFonts w:ascii="Bookman Old Style" w:eastAsia="Arial Unicode MS" w:hAnsi="Bookman Old Style" w:cs="Arial Unicode MS"/>
          <w:sz w:val="24"/>
          <w:szCs w:val="24"/>
        </w:rPr>
        <w:t>3</w:t>
      </w:r>
      <w:r w:rsidR="00153D09" w:rsidRPr="008F7F29">
        <w:rPr>
          <w:rFonts w:ascii="Bookman Old Style" w:eastAsia="Arial Unicode MS" w:hAnsi="Bookman Old Style" w:cs="Arial Unicode MS"/>
          <w:sz w:val="24"/>
          <w:szCs w:val="24"/>
          <w:vertAlign w:val="superscript"/>
        </w:rPr>
        <w:t>rd</w:t>
      </w:r>
      <w:r w:rsidR="00153D09" w:rsidRPr="008F7F29">
        <w:rPr>
          <w:rFonts w:ascii="Bookman Old Style" w:eastAsia="Arial Unicode MS" w:hAnsi="Bookman Old Style" w:cs="Arial Unicode MS"/>
          <w:sz w:val="24"/>
          <w:szCs w:val="24"/>
        </w:rPr>
        <w:t xml:space="preserve"> defendant</w:t>
      </w:r>
      <w:r>
        <w:rPr>
          <w:rFonts w:ascii="Bookman Old Style" w:eastAsia="Arial Unicode MS" w:hAnsi="Bookman Old Style" w:cs="Arial Unicode MS"/>
          <w:sz w:val="24"/>
          <w:szCs w:val="24"/>
        </w:rPr>
        <w:t>’s</w:t>
      </w:r>
      <w:r w:rsidR="00153D09" w:rsidRPr="008F7F29">
        <w:rPr>
          <w:rFonts w:ascii="Bookman Old Style" w:eastAsia="Arial Unicode MS" w:hAnsi="Bookman Old Style" w:cs="Arial Unicode MS"/>
          <w:sz w:val="24"/>
          <w:szCs w:val="24"/>
        </w:rPr>
        <w:t xml:space="preserve"> submissions on 10</w:t>
      </w:r>
      <w:r w:rsidR="00153D09" w:rsidRPr="008F7F29">
        <w:rPr>
          <w:rFonts w:ascii="Bookman Old Style" w:eastAsia="Arial Unicode MS" w:hAnsi="Bookman Old Style" w:cs="Arial Unicode MS"/>
          <w:sz w:val="24"/>
          <w:szCs w:val="24"/>
          <w:vertAlign w:val="superscript"/>
        </w:rPr>
        <w:t>th</w:t>
      </w:r>
      <w:r w:rsidR="00153D09" w:rsidRPr="008F7F29">
        <w:rPr>
          <w:rFonts w:ascii="Bookman Old Style" w:eastAsia="Arial Unicode MS" w:hAnsi="Bookman Old Style" w:cs="Arial Unicode MS"/>
          <w:sz w:val="24"/>
          <w:szCs w:val="24"/>
        </w:rPr>
        <w:t xml:space="preserve"> January, 2011. </w:t>
      </w:r>
      <w:r w:rsidR="00494BD4">
        <w:rPr>
          <w:rFonts w:ascii="Bookman Old Style" w:eastAsia="Arial Unicode MS" w:hAnsi="Bookman Old Style" w:cs="Arial Unicode MS"/>
          <w:sz w:val="24"/>
          <w:szCs w:val="24"/>
        </w:rPr>
        <w:t xml:space="preserve">He </w:t>
      </w:r>
      <w:r w:rsidR="00153D09" w:rsidRPr="008F7F29">
        <w:rPr>
          <w:rFonts w:ascii="Bookman Old Style" w:eastAsia="Arial Unicode MS" w:hAnsi="Bookman Old Style" w:cs="Arial Unicode MS"/>
          <w:sz w:val="24"/>
          <w:szCs w:val="24"/>
        </w:rPr>
        <w:t xml:space="preserve">submitted that while an interim injunction can be granted where an award of damages cannot atone the injury, such injunction is not available in instances such as this case. </w:t>
      </w:r>
      <w:r w:rsidR="00494BD4">
        <w:rPr>
          <w:rFonts w:ascii="Bookman Old Style" w:eastAsia="Arial Unicode MS" w:hAnsi="Bookman Old Style" w:cs="Arial Unicode MS"/>
          <w:sz w:val="24"/>
          <w:szCs w:val="24"/>
        </w:rPr>
        <w:t xml:space="preserve">He </w:t>
      </w:r>
      <w:r w:rsidR="00153D09" w:rsidRPr="008F7F29">
        <w:rPr>
          <w:rFonts w:ascii="Bookman Old Style" w:eastAsia="Arial Unicode MS" w:hAnsi="Bookman Old Style" w:cs="Arial Unicode MS"/>
          <w:sz w:val="24"/>
          <w:szCs w:val="24"/>
        </w:rPr>
        <w:t>observed that the defendant in his defence has raised the defence of fair comment</w:t>
      </w:r>
      <w:r w:rsidR="00485375">
        <w:rPr>
          <w:rFonts w:ascii="Bookman Old Style" w:eastAsia="Arial Unicode MS" w:hAnsi="Bookman Old Style" w:cs="Arial Unicode MS"/>
          <w:sz w:val="24"/>
          <w:szCs w:val="24"/>
        </w:rPr>
        <w:t>,</w:t>
      </w:r>
      <w:r w:rsidR="00153D09" w:rsidRPr="008F7F29">
        <w:rPr>
          <w:rFonts w:ascii="Bookman Old Style" w:eastAsia="Arial Unicode MS" w:hAnsi="Bookman Old Style" w:cs="Arial Unicode MS"/>
          <w:sz w:val="24"/>
          <w:szCs w:val="24"/>
        </w:rPr>
        <w:t xml:space="preserve"> and qualified privilege. </w:t>
      </w:r>
      <w:r w:rsidR="00494BD4">
        <w:rPr>
          <w:rFonts w:ascii="Bookman Old Style" w:eastAsia="Arial Unicode MS" w:hAnsi="Bookman Old Style" w:cs="Arial Unicode MS"/>
          <w:sz w:val="24"/>
          <w:szCs w:val="24"/>
        </w:rPr>
        <w:t xml:space="preserve">He </w:t>
      </w:r>
      <w:r w:rsidR="00153D09">
        <w:rPr>
          <w:rFonts w:ascii="Bookman Old Style" w:eastAsia="Arial Unicode MS" w:hAnsi="Bookman Old Style" w:cs="Arial Unicode MS"/>
          <w:sz w:val="24"/>
          <w:szCs w:val="24"/>
        </w:rPr>
        <w:t xml:space="preserve">further </w:t>
      </w:r>
      <w:r w:rsidR="00153D09" w:rsidRPr="008F7F29">
        <w:rPr>
          <w:rFonts w:ascii="Bookman Old Style" w:eastAsia="Arial Unicode MS" w:hAnsi="Bookman Old Style" w:cs="Arial Unicode MS"/>
          <w:sz w:val="24"/>
          <w:szCs w:val="24"/>
        </w:rPr>
        <w:t>submitted that an injunction cannot be granted where these defences are pleaded unless the plaintiff can show that the defence will fail, or that there is malice in the publication. Further</w:t>
      </w:r>
      <w:r>
        <w:rPr>
          <w:rFonts w:ascii="Bookman Old Style" w:eastAsia="Arial Unicode MS" w:hAnsi="Bookman Old Style" w:cs="Arial Unicode MS"/>
          <w:sz w:val="24"/>
          <w:szCs w:val="24"/>
        </w:rPr>
        <w:t>more</w:t>
      </w:r>
      <w:r w:rsidR="00153D09" w:rsidRPr="008F7F29">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he argued</w:t>
      </w:r>
      <w:r w:rsidR="00153D09" w:rsidRPr="008F7F29">
        <w:rPr>
          <w:rFonts w:ascii="Bookman Old Style" w:eastAsia="Arial Unicode MS" w:hAnsi="Bookman Old Style" w:cs="Arial Unicode MS"/>
          <w:sz w:val="24"/>
          <w:szCs w:val="24"/>
        </w:rPr>
        <w:t xml:space="preserve"> that the Court has jurisdiction to restrain publication of defamatory matter even where damages </w:t>
      </w:r>
      <w:r w:rsidR="00153D09" w:rsidRPr="008F7F29">
        <w:rPr>
          <w:rFonts w:ascii="Bookman Old Style" w:eastAsia="Arial Unicode MS" w:hAnsi="Bookman Old Style" w:cs="Arial Unicode MS"/>
          <w:sz w:val="24"/>
          <w:szCs w:val="24"/>
        </w:rPr>
        <w:lastRenderedPageBreak/>
        <w:t>have not accrued</w:t>
      </w:r>
      <w:r w:rsidR="00153D09">
        <w:rPr>
          <w:rFonts w:ascii="Bookman Old Style" w:eastAsia="Arial Unicode MS" w:hAnsi="Bookman Old Style" w:cs="Arial Unicode MS"/>
          <w:sz w:val="24"/>
          <w:szCs w:val="24"/>
        </w:rPr>
        <w:t>,</w:t>
      </w:r>
      <w:r w:rsidR="00153D09" w:rsidRPr="008F7F29">
        <w:rPr>
          <w:rFonts w:ascii="Bookman Old Style" w:eastAsia="Arial Unicode MS" w:hAnsi="Bookman Old Style" w:cs="Arial Unicode MS"/>
          <w:sz w:val="24"/>
          <w:szCs w:val="24"/>
        </w:rPr>
        <w:t xml:space="preserve"> but are merely eminent. In aid of this submission </w:t>
      </w:r>
      <w:r>
        <w:rPr>
          <w:rFonts w:ascii="Bookman Old Style" w:eastAsia="Arial Unicode MS" w:hAnsi="Bookman Old Style" w:cs="Arial Unicode MS"/>
          <w:sz w:val="24"/>
          <w:szCs w:val="24"/>
        </w:rPr>
        <w:t xml:space="preserve">he </w:t>
      </w:r>
      <w:r w:rsidR="00DF6F51">
        <w:rPr>
          <w:rFonts w:ascii="Bookman Old Style" w:eastAsia="Arial Unicode MS" w:hAnsi="Bookman Old Style" w:cs="Arial Unicode MS"/>
          <w:sz w:val="24"/>
          <w:szCs w:val="24"/>
        </w:rPr>
        <w:t xml:space="preserve">relied on the </w:t>
      </w:r>
      <w:r w:rsidR="00153D09" w:rsidRPr="008F7F29">
        <w:rPr>
          <w:rFonts w:ascii="Bookman Old Style" w:eastAsia="Arial Unicode MS" w:hAnsi="Bookman Old Style" w:cs="Arial Unicode MS"/>
          <w:sz w:val="24"/>
          <w:szCs w:val="24"/>
        </w:rPr>
        <w:t>Halsbury Laws of England.</w:t>
      </w:r>
      <w:r w:rsidR="00DF6F51">
        <w:rPr>
          <w:rStyle w:val="FootnoteReference"/>
          <w:rFonts w:ascii="Bookman Old Style" w:eastAsia="Arial Unicode MS" w:hAnsi="Bookman Old Style" w:cs="Arial Unicode MS"/>
          <w:sz w:val="24"/>
          <w:szCs w:val="24"/>
        </w:rPr>
        <w:footnoteReference w:id="14"/>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Professor Mvunga, SC, went on to argue as follows: it is for the plaintiff to show that the utterances, and images are defamatory, false, and published with actual malice. Further, the plaintiff must prove that he has reason to believe that publication or further publication of the words is threatened or intended. And that if this occurs</w:t>
      </w:r>
      <w:r w:rsidR="00DF6F51">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the plaintiff will suffer injury that cannot be adequately compensated by an award of damages. In support of this submission Professor Mvunga drew may attention to the case of </w:t>
      </w:r>
      <w:r w:rsidRPr="008F7F29">
        <w:rPr>
          <w:rFonts w:ascii="Bookman Old Style" w:eastAsia="Arial Unicode MS" w:hAnsi="Bookman Old Style" w:cs="Arial Unicode MS"/>
          <w:i/>
          <w:sz w:val="24"/>
          <w:szCs w:val="24"/>
        </w:rPr>
        <w:t>Munson v Tussands Limited</w:t>
      </w:r>
      <w:r>
        <w:rPr>
          <w:rFonts w:ascii="Bookman Old Style" w:eastAsia="Arial Unicode MS" w:hAnsi="Bookman Old Style" w:cs="Arial Unicode MS"/>
          <w:i/>
          <w:sz w:val="24"/>
          <w:szCs w:val="24"/>
        </w:rPr>
        <w:t>,</w:t>
      </w:r>
      <w:r w:rsidR="00DF6F51">
        <w:rPr>
          <w:rStyle w:val="FootnoteReference"/>
          <w:rFonts w:ascii="Bookman Old Style" w:eastAsia="Arial Unicode MS" w:hAnsi="Bookman Old Style" w:cs="Arial Unicode MS"/>
          <w:i/>
          <w:sz w:val="24"/>
          <w:szCs w:val="24"/>
        </w:rPr>
        <w:footnoteReference w:id="15"/>
      </w:r>
      <w:r w:rsidRPr="008F7F29">
        <w:rPr>
          <w:rFonts w:ascii="Bookman Old Style" w:eastAsia="Arial Unicode MS" w:hAnsi="Bookman Old Style" w:cs="Arial Unicode MS"/>
          <w:sz w:val="24"/>
          <w:szCs w:val="24"/>
        </w:rPr>
        <w:t xml:space="preserve"> and the Halsbury Laws of England.</w:t>
      </w:r>
      <w:r w:rsidR="00FF2A4D">
        <w:rPr>
          <w:rStyle w:val="FootnoteReference"/>
          <w:rFonts w:ascii="Bookman Old Style" w:eastAsia="Arial Unicode MS" w:hAnsi="Bookman Old Style" w:cs="Arial Unicode MS"/>
          <w:sz w:val="24"/>
          <w:szCs w:val="24"/>
        </w:rPr>
        <w:footnoteReference w:id="16"/>
      </w:r>
      <w:r w:rsidRPr="008F7F29">
        <w:rPr>
          <w:rFonts w:ascii="Bookman Old Style" w:eastAsia="Arial Unicode MS" w:hAnsi="Bookman Old Style" w:cs="Arial Unicode MS"/>
          <w:sz w:val="24"/>
          <w:szCs w:val="24"/>
        </w:rPr>
        <w:t xml:space="preserve"> And as already stated, Professor Mvunga, SC, argued that where fair comment and privilege are pleaded, an injunction is not available unless the plaintiff can show malice in the publication. For this submission</w:t>
      </w:r>
      <w:r>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Professor Mvunga, SC, again relied on the </w:t>
      </w:r>
      <w:r w:rsidR="00585B57">
        <w:rPr>
          <w:rFonts w:ascii="Bookman Old Style" w:eastAsia="Arial Unicode MS" w:hAnsi="Bookman Old Style" w:cs="Arial Unicode MS"/>
          <w:i/>
          <w:sz w:val="24"/>
          <w:szCs w:val="24"/>
        </w:rPr>
        <w:t>William Cou</w:t>
      </w:r>
      <w:r w:rsidRPr="00F423FA">
        <w:rPr>
          <w:rFonts w:ascii="Bookman Old Style" w:eastAsia="Arial Unicode MS" w:hAnsi="Bookman Old Style" w:cs="Arial Unicode MS"/>
          <w:i/>
          <w:sz w:val="24"/>
          <w:szCs w:val="24"/>
        </w:rPr>
        <w:t>lson and Sons case</w:t>
      </w:r>
      <w:r w:rsidRPr="008F7F29">
        <w:rPr>
          <w:rFonts w:ascii="Bookman Old Style" w:eastAsia="Arial Unicode MS" w:hAnsi="Bookman Old Style" w:cs="Arial Unicode MS"/>
          <w:sz w:val="24"/>
          <w:szCs w:val="24"/>
        </w:rPr>
        <w:t>,</w:t>
      </w:r>
      <w:r w:rsidR="00FF2A4D">
        <w:rPr>
          <w:rFonts w:ascii="Bookman Old Style" w:eastAsia="Arial Unicode MS" w:hAnsi="Bookman Old Style" w:cs="Arial Unicode MS"/>
          <w:sz w:val="24"/>
          <w:szCs w:val="24"/>
        </w:rPr>
        <w:t xml:space="preserve"> (supra)</w:t>
      </w:r>
      <w:r w:rsidRPr="008F7F29">
        <w:rPr>
          <w:rFonts w:ascii="Bookman Old Style" w:eastAsia="Arial Unicode MS" w:hAnsi="Bookman Old Style" w:cs="Arial Unicode MS"/>
          <w:sz w:val="24"/>
          <w:szCs w:val="24"/>
        </w:rPr>
        <w:t xml:space="preserve"> and the Halsbury Laws, of England</w:t>
      </w:r>
      <w:r w:rsidR="00FF2A4D">
        <w:rPr>
          <w:rFonts w:ascii="Bookman Old Style" w:eastAsia="Arial Unicode MS" w:hAnsi="Bookman Old Style" w:cs="Arial Unicode MS"/>
          <w:sz w:val="24"/>
          <w:szCs w:val="24"/>
        </w:rPr>
        <w:t>.</w:t>
      </w:r>
      <w:r w:rsidR="00FF2A4D">
        <w:rPr>
          <w:rStyle w:val="FootnoteReference"/>
          <w:rFonts w:ascii="Bookman Old Style" w:eastAsia="Arial Unicode MS" w:hAnsi="Bookman Old Style" w:cs="Arial Unicode MS"/>
          <w:sz w:val="24"/>
          <w:szCs w:val="24"/>
        </w:rPr>
        <w:footnoteReference w:id="17"/>
      </w:r>
    </w:p>
    <w:p w:rsidR="00FF2A4D" w:rsidRPr="008F7F29" w:rsidRDefault="00FF2A4D" w:rsidP="00153D09">
      <w:pPr>
        <w:spacing w:after="0" w:line="360" w:lineRule="auto"/>
        <w:jc w:val="both"/>
        <w:rPr>
          <w:rFonts w:ascii="Bookman Old Style" w:eastAsia="Arial Unicode MS" w:hAnsi="Bookman Old Style" w:cs="Arial Unicode MS"/>
          <w:sz w:val="24"/>
          <w:szCs w:val="24"/>
        </w:rPr>
      </w:pPr>
    </w:p>
    <w:p w:rsidR="00153D09" w:rsidRPr="008F7F29" w:rsidRDefault="00585B57"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Professor Mvunga , SC, </w:t>
      </w:r>
      <w:r w:rsidR="00153D09" w:rsidRPr="008F7F29">
        <w:rPr>
          <w:rFonts w:ascii="Bookman Old Style" w:eastAsia="Arial Unicode MS" w:hAnsi="Bookman Old Style" w:cs="Arial Unicode MS"/>
          <w:sz w:val="24"/>
          <w:szCs w:val="24"/>
        </w:rPr>
        <w:t xml:space="preserve">argued </w:t>
      </w:r>
      <w:r>
        <w:rPr>
          <w:rFonts w:ascii="Bookman Old Style" w:eastAsia="Arial Unicode MS" w:hAnsi="Bookman Old Style" w:cs="Arial Unicode MS"/>
          <w:sz w:val="24"/>
          <w:szCs w:val="24"/>
        </w:rPr>
        <w:t xml:space="preserve">further </w:t>
      </w:r>
      <w:r w:rsidR="00153D09" w:rsidRPr="008F7F29">
        <w:rPr>
          <w:rFonts w:ascii="Bookman Old Style" w:eastAsia="Arial Unicode MS" w:hAnsi="Bookman Old Style" w:cs="Arial Unicode MS"/>
          <w:sz w:val="24"/>
          <w:szCs w:val="24"/>
        </w:rPr>
        <w:t>as follows: that in this case neither the statement of claim nor the affidavit in support show any malice. And neither is there any indication by the plaintiff that the defences will fail. In any event professor Mvunga submitted that at this stage the plaintiff cannot satisfy the Court that there was malice or that the defence will fail because these are tria</w:t>
      </w:r>
      <w:r w:rsidR="00153D09">
        <w:rPr>
          <w:rFonts w:ascii="Bookman Old Style" w:eastAsia="Arial Unicode MS" w:hAnsi="Bookman Old Style" w:cs="Arial Unicode MS"/>
          <w:sz w:val="24"/>
          <w:szCs w:val="24"/>
        </w:rPr>
        <w:t>ble</w:t>
      </w:r>
      <w:r w:rsidR="00153D09" w:rsidRPr="008F7F29">
        <w:rPr>
          <w:rFonts w:ascii="Bookman Old Style" w:eastAsia="Arial Unicode MS" w:hAnsi="Bookman Old Style" w:cs="Arial Unicode MS"/>
          <w:sz w:val="24"/>
          <w:szCs w:val="24"/>
        </w:rPr>
        <w:t xml:space="preserve"> issues. Further</w:t>
      </w:r>
      <w:r w:rsidR="00153D09">
        <w:rPr>
          <w:rFonts w:ascii="Bookman Old Style" w:eastAsia="Arial Unicode MS" w:hAnsi="Bookman Old Style" w:cs="Arial Unicode MS"/>
          <w:sz w:val="24"/>
          <w:szCs w:val="24"/>
        </w:rPr>
        <w:t>,</w:t>
      </w:r>
      <w:r w:rsidR="00153D09" w:rsidRPr="008F7F29">
        <w:rPr>
          <w:rFonts w:ascii="Bookman Old Style" w:eastAsia="Arial Unicode MS" w:hAnsi="Bookman Old Style" w:cs="Arial Unicode MS"/>
          <w:sz w:val="24"/>
          <w:szCs w:val="24"/>
        </w:rPr>
        <w:t xml:space="preserve"> the plaintiff can only succeed in respect of malice</w:t>
      </w:r>
      <w:r w:rsidR="00153D09">
        <w:rPr>
          <w:rFonts w:ascii="Bookman Old Style" w:eastAsia="Arial Unicode MS" w:hAnsi="Bookman Old Style" w:cs="Arial Unicode MS"/>
          <w:sz w:val="24"/>
          <w:szCs w:val="24"/>
        </w:rPr>
        <w:t>,</w:t>
      </w:r>
      <w:r w:rsidR="00153D09" w:rsidRPr="008F7F29">
        <w:rPr>
          <w:rFonts w:ascii="Bookman Old Style" w:eastAsia="Arial Unicode MS" w:hAnsi="Bookman Old Style" w:cs="Arial Unicode MS"/>
          <w:sz w:val="24"/>
          <w:szCs w:val="24"/>
        </w:rPr>
        <w:t xml:space="preserve"> if </w:t>
      </w:r>
      <w:r w:rsidR="00153D09" w:rsidRPr="00F423FA">
        <w:rPr>
          <w:rFonts w:ascii="Bookman Old Style" w:eastAsia="Arial Unicode MS" w:hAnsi="Bookman Old Style" w:cs="Arial Unicode MS"/>
          <w:i/>
          <w:sz w:val="24"/>
          <w:szCs w:val="24"/>
        </w:rPr>
        <w:t>prima facie</w:t>
      </w:r>
      <w:r w:rsidR="00153D09">
        <w:rPr>
          <w:rFonts w:ascii="Bookman Old Style" w:eastAsia="Arial Unicode MS" w:hAnsi="Bookman Old Style" w:cs="Arial Unicode MS"/>
          <w:i/>
          <w:sz w:val="24"/>
          <w:szCs w:val="24"/>
        </w:rPr>
        <w:t>,</w:t>
      </w:r>
      <w:r w:rsidR="00153D09" w:rsidRPr="008F7F29">
        <w:rPr>
          <w:rFonts w:ascii="Bookman Old Style" w:eastAsia="Arial Unicode MS" w:hAnsi="Bookman Old Style" w:cs="Arial Unicode MS"/>
          <w:sz w:val="24"/>
          <w:szCs w:val="24"/>
        </w:rPr>
        <w:t xml:space="preserve"> if he can establish that the publication was extended to person that had no reciprocal</w:t>
      </w:r>
      <w:r w:rsidR="00153D09">
        <w:rPr>
          <w:rFonts w:ascii="Bookman Old Style" w:eastAsia="Arial Unicode MS" w:hAnsi="Bookman Old Style" w:cs="Arial Unicode MS"/>
          <w:sz w:val="24"/>
          <w:szCs w:val="24"/>
        </w:rPr>
        <w:t>,</w:t>
      </w:r>
      <w:r w:rsidR="00153D09" w:rsidRPr="008F7F29">
        <w:rPr>
          <w:rFonts w:ascii="Bookman Old Style" w:eastAsia="Arial Unicode MS" w:hAnsi="Bookman Old Style" w:cs="Arial Unicode MS"/>
          <w:sz w:val="24"/>
          <w:szCs w:val="24"/>
        </w:rPr>
        <w:t xml:space="preserve"> and corresponding interest and duty in the matter.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Professor Mvunga, SC, pointed out that this an election year, and the Zambian electorate has a reciprocal interest, and duty to weigh the character, personality, and reputation of its leaders in seeking to identify whom to put in </w:t>
      </w:r>
      <w:r w:rsidRPr="008F7F29">
        <w:rPr>
          <w:rFonts w:ascii="Bookman Old Style" w:eastAsia="Arial Unicode MS" w:hAnsi="Bookman Old Style" w:cs="Arial Unicode MS"/>
          <w:sz w:val="24"/>
          <w:szCs w:val="24"/>
        </w:rPr>
        <w:lastRenderedPageBreak/>
        <w:t>positions of national leadership. Professor Mvunga,SC, argued that the plaintiff cannot shield himself from an inquiry of his national attributes of suitability to the office of President. Professor Mvunga, SC,</w:t>
      </w:r>
      <w:r>
        <w:rPr>
          <w:rFonts w:ascii="Bookman Old Style" w:eastAsia="Arial Unicode MS" w:hAnsi="Bookman Old Style" w:cs="Arial Unicode MS"/>
          <w:sz w:val="24"/>
          <w:szCs w:val="24"/>
        </w:rPr>
        <w:t xml:space="preserve"> went on to argue</w:t>
      </w:r>
      <w:r w:rsidRPr="008F7F29">
        <w:rPr>
          <w:rFonts w:ascii="Bookman Old Style" w:eastAsia="Arial Unicode MS" w:hAnsi="Bookman Old Style" w:cs="Arial Unicode MS"/>
          <w:sz w:val="24"/>
          <w:szCs w:val="24"/>
        </w:rPr>
        <w:t xml:space="preserve"> that, it is quite obvious that there is reciprocity of interest between 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as a television company</w:t>
      </w:r>
      <w:r>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and the Zambian electorate. Professor Mvunga, SC, suggested that the plaintiff is merely frightened, and an injunction cannot be granted out of mere fear.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Pr="008F7F2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Furthermore, Professor Mvunga, SC, </w:t>
      </w:r>
      <w:r w:rsidR="00585B57">
        <w:rPr>
          <w:rFonts w:ascii="Bookman Old Style" w:eastAsia="Arial Unicode MS" w:hAnsi="Bookman Old Style" w:cs="Arial Unicode MS"/>
          <w:sz w:val="24"/>
          <w:szCs w:val="24"/>
        </w:rPr>
        <w:t xml:space="preserve">also </w:t>
      </w:r>
      <w:r w:rsidRPr="008F7F29">
        <w:rPr>
          <w:rFonts w:ascii="Bookman Old Style" w:eastAsia="Arial Unicode MS" w:hAnsi="Bookman Old Style" w:cs="Arial Unicode MS"/>
          <w:sz w:val="24"/>
          <w:szCs w:val="24"/>
        </w:rPr>
        <w:t xml:space="preserve">submitted that an injunction is as an equitable remedy. And therefore in exercising the jurisdiction, </w:t>
      </w:r>
      <w:r w:rsidR="00B55846">
        <w:rPr>
          <w:rFonts w:ascii="Bookman Old Style" w:eastAsia="Arial Unicode MS" w:hAnsi="Bookman Old Style" w:cs="Arial Unicode MS"/>
          <w:sz w:val="24"/>
          <w:szCs w:val="24"/>
        </w:rPr>
        <w:t xml:space="preserve">whether, or not to grant it, </w:t>
      </w:r>
      <w:r w:rsidRPr="008F7F29">
        <w:rPr>
          <w:rFonts w:ascii="Bookman Old Style" w:eastAsia="Arial Unicode MS" w:hAnsi="Bookman Old Style" w:cs="Arial Unicode MS"/>
          <w:sz w:val="24"/>
          <w:szCs w:val="24"/>
        </w:rPr>
        <w:t xml:space="preserve">the Court should always look at the conduct of the parties. In this case, </w:t>
      </w:r>
      <w:r w:rsidR="00494BD4">
        <w:rPr>
          <w:rFonts w:ascii="Bookman Old Style" w:eastAsia="Arial Unicode MS" w:hAnsi="Bookman Old Style" w:cs="Arial Unicode MS"/>
          <w:sz w:val="24"/>
          <w:szCs w:val="24"/>
        </w:rPr>
        <w:t xml:space="preserve">he </w:t>
      </w:r>
      <w:r w:rsidRPr="008F7F29">
        <w:rPr>
          <w:rFonts w:ascii="Bookman Old Style" w:eastAsia="Arial Unicode MS" w:hAnsi="Bookman Old Style" w:cs="Arial Unicode MS"/>
          <w:sz w:val="24"/>
          <w:szCs w:val="24"/>
        </w:rPr>
        <w:t>submitted that the plaintiff has an insatiable taste of disparagingly attacking his opponents</w:t>
      </w:r>
      <w:r w:rsidR="00485375">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and adversaries at every opportunity. </w:t>
      </w:r>
      <w:r w:rsidR="00494BD4">
        <w:rPr>
          <w:rFonts w:ascii="Bookman Old Style" w:eastAsia="Arial Unicode MS" w:hAnsi="Bookman Old Style" w:cs="Arial Unicode MS"/>
          <w:sz w:val="24"/>
          <w:szCs w:val="24"/>
        </w:rPr>
        <w:t xml:space="preserve">He </w:t>
      </w:r>
      <w:r w:rsidRPr="008F7F29">
        <w:rPr>
          <w:rFonts w:ascii="Bookman Old Style" w:eastAsia="Arial Unicode MS" w:hAnsi="Bookman Old Style" w:cs="Arial Unicode MS"/>
          <w:sz w:val="24"/>
          <w:szCs w:val="24"/>
        </w:rPr>
        <w:t>argued that he who attacks others should also expect to be attacked by others in their defence. In such a situation,</w:t>
      </w:r>
      <w:r w:rsidR="00585B57">
        <w:rPr>
          <w:rFonts w:ascii="Bookman Old Style" w:eastAsia="Arial Unicode MS" w:hAnsi="Bookman Old Style" w:cs="Arial Unicode MS"/>
          <w:sz w:val="24"/>
          <w:szCs w:val="24"/>
        </w:rPr>
        <w:t xml:space="preserve"> Professor Mvunga, SC, argued</w:t>
      </w:r>
      <w:r w:rsidRPr="008F7F29">
        <w:rPr>
          <w:rFonts w:ascii="Bookman Old Style" w:eastAsia="Arial Unicode MS" w:hAnsi="Bookman Old Style" w:cs="Arial Unicode MS"/>
          <w:sz w:val="24"/>
          <w:szCs w:val="24"/>
        </w:rPr>
        <w:t xml:space="preserve"> that equity should not intervene on behalf of the plaintiff. Lastly</w:t>
      </w:r>
      <w:r w:rsidR="00FF2A4D">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w:t>
      </w:r>
      <w:r w:rsidR="00494BD4">
        <w:rPr>
          <w:rFonts w:ascii="Bookman Old Style" w:eastAsia="Arial Unicode MS" w:hAnsi="Bookman Old Style" w:cs="Arial Unicode MS"/>
          <w:sz w:val="24"/>
          <w:szCs w:val="24"/>
        </w:rPr>
        <w:t xml:space="preserve">he </w:t>
      </w:r>
      <w:r w:rsidRPr="008F7F29">
        <w:rPr>
          <w:rFonts w:ascii="Bookman Old Style" w:eastAsia="Arial Unicode MS" w:hAnsi="Bookman Old Style" w:cs="Arial Unicode MS"/>
          <w:sz w:val="24"/>
          <w:szCs w:val="24"/>
        </w:rPr>
        <w:t>submitted that as regards the threat of intention by the 3</w:t>
      </w:r>
      <w:r w:rsidRPr="008F7F29">
        <w:rPr>
          <w:rFonts w:ascii="Bookman Old Style" w:eastAsia="Arial Unicode MS" w:hAnsi="Bookman Old Style" w:cs="Arial Unicode MS"/>
          <w:sz w:val="24"/>
          <w:szCs w:val="24"/>
          <w:vertAlign w:val="superscript"/>
        </w:rPr>
        <w:t>rd</w:t>
      </w:r>
      <w:r w:rsidRPr="008F7F29">
        <w:rPr>
          <w:rFonts w:ascii="Bookman Old Style" w:eastAsia="Arial Unicode MS" w:hAnsi="Bookman Old Style" w:cs="Arial Unicode MS"/>
          <w:sz w:val="24"/>
          <w:szCs w:val="24"/>
        </w:rPr>
        <w:t xml:space="preserve"> defendant to repeat the publication</w:t>
      </w:r>
      <w:r w:rsidR="00C6162E">
        <w:rPr>
          <w:rFonts w:ascii="Bookman Old Style" w:eastAsia="Arial Unicode MS" w:hAnsi="Bookman Old Style" w:cs="Arial Unicode MS"/>
          <w:sz w:val="24"/>
          <w:szCs w:val="24"/>
        </w:rPr>
        <w:t>,</w:t>
      </w:r>
      <w:r w:rsidRPr="008F7F29">
        <w:rPr>
          <w:rFonts w:ascii="Bookman Old Style" w:eastAsia="Arial Unicode MS" w:hAnsi="Bookman Old Style" w:cs="Arial Unicode MS"/>
          <w:sz w:val="24"/>
          <w:szCs w:val="24"/>
        </w:rPr>
        <w:t xml:space="preserve"> there is no such proof, and indeed that the plaintiff will suffer such injury as cannot be atoned in damages as envisaged in the case of </w:t>
      </w:r>
      <w:r w:rsidRPr="008F7F29">
        <w:rPr>
          <w:rFonts w:ascii="Bookman Old Style" w:eastAsia="Arial Unicode MS" w:hAnsi="Bookman Old Style" w:cs="Arial Unicode MS"/>
          <w:i/>
          <w:sz w:val="24"/>
          <w:szCs w:val="24"/>
        </w:rPr>
        <w:t>Manson v Tussands, Limited</w:t>
      </w:r>
      <w:r w:rsidRPr="008F7F29">
        <w:rPr>
          <w:rFonts w:ascii="Bookman Old Style" w:eastAsia="Arial Unicode MS" w:hAnsi="Bookman Old Style" w:cs="Arial Unicode MS"/>
          <w:sz w:val="24"/>
          <w:szCs w:val="24"/>
        </w:rPr>
        <w:t xml:space="preserve"> (supra). On the basis of these submissions, arguments, and authorities, </w:t>
      </w:r>
      <w:r w:rsidR="00494BD4">
        <w:rPr>
          <w:rFonts w:ascii="Bookman Old Style" w:eastAsia="Arial Unicode MS" w:hAnsi="Bookman Old Style" w:cs="Arial Unicode MS"/>
          <w:sz w:val="24"/>
          <w:szCs w:val="24"/>
        </w:rPr>
        <w:t xml:space="preserve">he </w:t>
      </w:r>
      <w:r w:rsidRPr="008F7F29">
        <w:rPr>
          <w:rFonts w:ascii="Bookman Old Style" w:eastAsia="Arial Unicode MS" w:hAnsi="Bookman Old Style" w:cs="Arial Unicode MS"/>
          <w:sz w:val="24"/>
          <w:szCs w:val="24"/>
        </w:rPr>
        <w:t>urged me to dismiss the application</w:t>
      </w:r>
      <w:r w:rsidR="00C6162E">
        <w:rPr>
          <w:rFonts w:ascii="Bookman Old Style" w:eastAsia="Arial Unicode MS" w:hAnsi="Bookman Old Style" w:cs="Arial Unicode MS"/>
          <w:sz w:val="24"/>
          <w:szCs w:val="24"/>
        </w:rPr>
        <w:t xml:space="preserve"> for the</w:t>
      </w:r>
      <w:r w:rsidR="00585B57">
        <w:rPr>
          <w:rFonts w:ascii="Bookman Old Style" w:eastAsia="Arial Unicode MS" w:hAnsi="Bookman Old Style" w:cs="Arial Unicode MS"/>
          <w:sz w:val="24"/>
          <w:szCs w:val="24"/>
        </w:rPr>
        <w:t xml:space="preserve"> interim injunction</w:t>
      </w:r>
      <w:r w:rsidRPr="008F7F29">
        <w:rPr>
          <w:rFonts w:ascii="Bookman Old Style" w:eastAsia="Arial Unicode MS" w:hAnsi="Bookman Old Style" w:cs="Arial Unicode MS"/>
          <w:sz w:val="24"/>
          <w:szCs w:val="24"/>
        </w:rPr>
        <w:t xml:space="preserve">. </w:t>
      </w:r>
    </w:p>
    <w:p w:rsidR="00153D09" w:rsidRPr="008F7F29" w:rsidRDefault="00153D09" w:rsidP="00153D09">
      <w:pPr>
        <w:spacing w:after="0" w:line="360" w:lineRule="auto"/>
        <w:jc w:val="both"/>
        <w:rPr>
          <w:rFonts w:ascii="Bookman Old Style" w:eastAsia="Arial Unicode MS" w:hAnsi="Bookman Old Style" w:cs="Arial Unicode MS"/>
          <w:sz w:val="24"/>
          <w:szCs w:val="24"/>
        </w:rPr>
      </w:pPr>
    </w:p>
    <w:p w:rsidR="00153D09" w:rsidRDefault="00153D09" w:rsidP="00153D09">
      <w:pPr>
        <w:spacing w:after="0" w:line="360" w:lineRule="auto"/>
        <w:jc w:val="both"/>
        <w:rPr>
          <w:rFonts w:ascii="Bookman Old Style" w:eastAsia="Arial Unicode MS" w:hAnsi="Bookman Old Style" w:cs="Arial Unicode MS"/>
          <w:sz w:val="24"/>
          <w:szCs w:val="24"/>
        </w:rPr>
      </w:pPr>
      <w:r w:rsidRPr="008F7F29">
        <w:rPr>
          <w:rFonts w:ascii="Bookman Old Style" w:eastAsia="Arial Unicode MS" w:hAnsi="Bookman Old Style" w:cs="Arial Unicode MS"/>
          <w:sz w:val="24"/>
          <w:szCs w:val="24"/>
        </w:rPr>
        <w:t xml:space="preserve">I am indebted to counsel for their well researched and </w:t>
      </w:r>
      <w:r w:rsidR="00FF2A4D">
        <w:rPr>
          <w:rFonts w:ascii="Bookman Old Style" w:eastAsia="Arial Unicode MS" w:hAnsi="Bookman Old Style" w:cs="Arial Unicode MS"/>
          <w:sz w:val="24"/>
          <w:szCs w:val="24"/>
        </w:rPr>
        <w:t xml:space="preserve">spirited </w:t>
      </w:r>
      <w:r w:rsidRPr="008F7F29">
        <w:rPr>
          <w:rFonts w:ascii="Bookman Old Style" w:eastAsia="Arial Unicode MS" w:hAnsi="Bookman Old Style" w:cs="Arial Unicode MS"/>
          <w:sz w:val="24"/>
          <w:szCs w:val="24"/>
        </w:rPr>
        <w:t>submissions.</w:t>
      </w:r>
      <w:r>
        <w:rPr>
          <w:rFonts w:ascii="Bookman Old Style" w:eastAsia="Arial Unicode MS" w:hAnsi="Bookman Old Style" w:cs="Arial Unicode MS"/>
          <w:sz w:val="24"/>
          <w:szCs w:val="24"/>
        </w:rPr>
        <w:t xml:space="preserve"> Generally, an injunction is available to compel a party to take certain steps; a mandatory injunction, or to restrain a party from taking steps; a prohibitory or negative injunction. An injunction may either be issued on</w:t>
      </w:r>
      <w:r w:rsidR="00585B57">
        <w:rPr>
          <w:rFonts w:ascii="Bookman Old Style" w:eastAsia="Arial Unicode MS" w:hAnsi="Bookman Old Style" w:cs="Arial Unicode MS"/>
          <w:sz w:val="24"/>
          <w:szCs w:val="24"/>
        </w:rPr>
        <w:t xml:space="preserve"> a permanent basis; a permanent, </w:t>
      </w:r>
      <w:r>
        <w:rPr>
          <w:rFonts w:ascii="Bookman Old Style" w:eastAsia="Arial Unicode MS" w:hAnsi="Bookman Old Style" w:cs="Arial Unicode MS"/>
          <w:sz w:val="24"/>
          <w:szCs w:val="24"/>
        </w:rPr>
        <w:t>or perpetual injunction. It ma</w:t>
      </w:r>
      <w:r w:rsidR="00585B57">
        <w:rPr>
          <w:rFonts w:ascii="Bookman Old Style" w:eastAsia="Arial Unicode MS" w:hAnsi="Bookman Old Style" w:cs="Arial Unicode MS"/>
          <w:sz w:val="24"/>
          <w:szCs w:val="24"/>
        </w:rPr>
        <w:t>y also be issued on a temporary</w:t>
      </w:r>
      <w:r>
        <w:rPr>
          <w:rFonts w:ascii="Bookman Old Style" w:eastAsia="Arial Unicode MS" w:hAnsi="Bookman Old Style" w:cs="Arial Unicode MS"/>
          <w:sz w:val="24"/>
          <w:szCs w:val="24"/>
        </w:rPr>
        <w:t xml:space="preserve"> basis; an interim injunction. The fundamental principle upon which an injunction is granted, whether interim, or </w:t>
      </w:r>
      <w:r w:rsidR="00FF2A4D">
        <w:rPr>
          <w:rFonts w:ascii="Bookman Old Style" w:eastAsia="Arial Unicode MS" w:hAnsi="Bookman Old Style" w:cs="Arial Unicode MS"/>
          <w:sz w:val="24"/>
          <w:szCs w:val="24"/>
        </w:rPr>
        <w:t>perpetual</w:t>
      </w:r>
      <w:r>
        <w:rPr>
          <w:rFonts w:ascii="Bookman Old Style" w:eastAsia="Arial Unicode MS" w:hAnsi="Bookman Old Style" w:cs="Arial Unicode MS"/>
          <w:sz w:val="24"/>
          <w:szCs w:val="24"/>
        </w:rPr>
        <w:t>, is that the injury to be inflicted would be of such a character that the claimant could not be practically compensated in damages.</w:t>
      </w:r>
    </w:p>
    <w:p w:rsidR="00153D09" w:rsidRDefault="00153D09" w:rsidP="00153D09">
      <w:pPr>
        <w:spacing w:after="0" w:line="360" w:lineRule="auto"/>
        <w:jc w:val="both"/>
        <w:rPr>
          <w:rFonts w:ascii="Bookman Old Style" w:eastAsia="Arial Unicode MS" w:hAnsi="Bookman Old Style" w:cs="Arial Unicode MS"/>
          <w:sz w:val="24"/>
          <w:szCs w:val="24"/>
        </w:rPr>
      </w:pPr>
    </w:p>
    <w:p w:rsidR="00153D09" w:rsidRDefault="00153D09"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Injunctions may be granted in all ca</w:t>
      </w:r>
      <w:r w:rsidR="00FF2A4D">
        <w:rPr>
          <w:rFonts w:ascii="Bookman Old Style" w:eastAsia="Arial Unicode MS" w:hAnsi="Bookman Old Style" w:cs="Arial Unicode MS"/>
          <w:sz w:val="24"/>
          <w:szCs w:val="24"/>
        </w:rPr>
        <w:t xml:space="preserve">ses in which it appears to the Court to be </w:t>
      </w:r>
      <w:r w:rsidR="00FF2A4D" w:rsidRPr="00FF2A4D">
        <w:rPr>
          <w:rFonts w:ascii="Bookman Old Style" w:eastAsia="Arial Unicode MS" w:hAnsi="Bookman Old Style" w:cs="Arial Unicode MS"/>
          <w:i/>
          <w:sz w:val="24"/>
          <w:szCs w:val="24"/>
        </w:rPr>
        <w:t>“j</w:t>
      </w:r>
      <w:r w:rsidRPr="00FF2A4D">
        <w:rPr>
          <w:rFonts w:ascii="Bookman Old Style" w:eastAsia="Arial Unicode MS" w:hAnsi="Bookman Old Style" w:cs="Arial Unicode MS"/>
          <w:i/>
          <w:sz w:val="24"/>
          <w:szCs w:val="24"/>
        </w:rPr>
        <w:t>ust, and conven</w:t>
      </w:r>
      <w:r w:rsidR="00FF2A4D" w:rsidRPr="00FF2A4D">
        <w:rPr>
          <w:rFonts w:ascii="Bookman Old Style" w:eastAsia="Arial Unicode MS" w:hAnsi="Bookman Old Style" w:cs="Arial Unicode MS"/>
          <w:i/>
          <w:sz w:val="24"/>
          <w:szCs w:val="24"/>
        </w:rPr>
        <w:t>ient</w:t>
      </w:r>
      <w:r w:rsidR="00FF2A4D">
        <w:rPr>
          <w:rFonts w:ascii="Bookman Old Style" w:eastAsia="Arial Unicode MS" w:hAnsi="Bookman Old Style" w:cs="Arial Unicode MS"/>
          <w:sz w:val="24"/>
          <w:szCs w:val="24"/>
        </w:rPr>
        <w:t>” to do so. But the words [just and c</w:t>
      </w:r>
      <w:r>
        <w:rPr>
          <w:rFonts w:ascii="Bookman Old Style" w:eastAsia="Arial Unicode MS" w:hAnsi="Bookman Old Style" w:cs="Arial Unicode MS"/>
          <w:sz w:val="24"/>
          <w:szCs w:val="24"/>
        </w:rPr>
        <w:t>onvenient] do not confer an arbitrary discretion on the Court.</w:t>
      </w:r>
      <w:r>
        <w:rPr>
          <w:rStyle w:val="FootnoteReference"/>
          <w:rFonts w:ascii="Bookman Old Style" w:eastAsia="Arial Unicode MS" w:hAnsi="Bookman Old Style" w:cs="Arial Unicode MS"/>
          <w:sz w:val="24"/>
          <w:szCs w:val="24"/>
        </w:rPr>
        <w:footnoteReference w:id="18"/>
      </w:r>
      <w:r>
        <w:rPr>
          <w:rFonts w:ascii="Bookman Old Style" w:eastAsia="Arial Unicode MS" w:hAnsi="Bookman Old Style" w:cs="Arial Unicode MS"/>
          <w:sz w:val="24"/>
          <w:szCs w:val="24"/>
        </w:rPr>
        <w:t xml:space="preserve"> The grant of an injunction being an equitable remedy is always discretionary</w:t>
      </w:r>
      <w:r w:rsidR="00585B57">
        <w:rPr>
          <w:rFonts w:ascii="Bookman Old Style" w:eastAsia="Arial Unicode MS" w:hAnsi="Bookman Old Style" w:cs="Arial Unicode MS"/>
          <w:sz w:val="24"/>
          <w:szCs w:val="24"/>
        </w:rPr>
        <w:t>. A</w:t>
      </w:r>
      <w:r>
        <w:rPr>
          <w:rFonts w:ascii="Bookman Old Style" w:eastAsia="Arial Unicode MS" w:hAnsi="Bookman Old Style" w:cs="Arial Unicode MS"/>
          <w:sz w:val="24"/>
          <w:szCs w:val="24"/>
        </w:rPr>
        <w:t>nd this discretion belongs to the trial judge; an appellate Court may not substitute its own views on the merits of the case but may only intervene if the judge misdirected himself in law, took into account irrelevant matter</w:t>
      </w:r>
      <w:r w:rsidR="00FF2A4D">
        <w:rPr>
          <w:rFonts w:ascii="Bookman Old Style" w:eastAsia="Arial Unicode MS" w:hAnsi="Bookman Old Style" w:cs="Arial Unicode MS"/>
          <w:sz w:val="24"/>
          <w:szCs w:val="24"/>
        </w:rPr>
        <w:t>s</w:t>
      </w:r>
      <w:r>
        <w:rPr>
          <w:rFonts w:ascii="Bookman Old Style" w:eastAsia="Arial Unicode MS" w:hAnsi="Bookman Old Style" w:cs="Arial Unicode MS"/>
          <w:sz w:val="24"/>
          <w:szCs w:val="24"/>
        </w:rPr>
        <w:t>, failed to take into account relevant matters.</w:t>
      </w:r>
      <w:r>
        <w:rPr>
          <w:rStyle w:val="FootnoteReference"/>
          <w:rFonts w:ascii="Bookman Old Style" w:eastAsia="Arial Unicode MS" w:hAnsi="Bookman Old Style" w:cs="Arial Unicode MS"/>
          <w:sz w:val="24"/>
          <w:szCs w:val="24"/>
        </w:rPr>
        <w:footnoteReference w:id="19"/>
      </w:r>
      <w:r>
        <w:rPr>
          <w:rFonts w:ascii="Bookman Old Style" w:eastAsia="Arial Unicode MS" w:hAnsi="Bookman Old Style" w:cs="Arial Unicode MS"/>
          <w:sz w:val="24"/>
          <w:szCs w:val="24"/>
        </w:rPr>
        <w:t xml:space="preserve">  </w:t>
      </w:r>
    </w:p>
    <w:p w:rsidR="00153D09" w:rsidRDefault="00153D09" w:rsidP="00153D09">
      <w:pPr>
        <w:spacing w:after="0" w:line="360" w:lineRule="auto"/>
        <w:jc w:val="both"/>
        <w:rPr>
          <w:rFonts w:ascii="Bookman Old Style" w:eastAsia="Arial Unicode MS" w:hAnsi="Bookman Old Style" w:cs="Arial Unicode MS"/>
          <w:sz w:val="24"/>
          <w:szCs w:val="24"/>
        </w:rPr>
      </w:pPr>
    </w:p>
    <w:p w:rsidR="00153D09" w:rsidRDefault="00153D09"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principles governing the exercise of the discretion differ according to the nature of the injunction sought.</w:t>
      </w:r>
      <w:r>
        <w:rPr>
          <w:rStyle w:val="FootnoteReference"/>
          <w:rFonts w:ascii="Bookman Old Style" w:eastAsia="Arial Unicode MS" w:hAnsi="Bookman Old Style" w:cs="Arial Unicode MS"/>
          <w:sz w:val="24"/>
          <w:szCs w:val="24"/>
        </w:rPr>
        <w:footnoteReference w:id="20"/>
      </w:r>
      <w:r>
        <w:rPr>
          <w:rFonts w:ascii="Bookman Old Style" w:eastAsia="Arial Unicode MS" w:hAnsi="Bookman Old Style" w:cs="Arial Unicode MS"/>
          <w:sz w:val="24"/>
          <w:szCs w:val="24"/>
        </w:rPr>
        <w:t xml:space="preserve"> Injunctions of all kinds may be granted on interlocutory or interim basis. Applications for interim injunction</w:t>
      </w:r>
      <w:r w:rsidR="00FF2A4D">
        <w:rPr>
          <w:rFonts w:ascii="Bookman Old Style" w:eastAsia="Arial Unicode MS" w:hAnsi="Bookman Old Style" w:cs="Arial Unicode MS"/>
          <w:sz w:val="24"/>
          <w:szCs w:val="24"/>
        </w:rPr>
        <w:t>s</w:t>
      </w:r>
      <w:r>
        <w:rPr>
          <w:rFonts w:ascii="Bookman Old Style" w:eastAsia="Arial Unicode MS" w:hAnsi="Bookman Old Style" w:cs="Arial Unicode MS"/>
          <w:sz w:val="24"/>
          <w:szCs w:val="24"/>
        </w:rPr>
        <w:t xml:space="preserve"> are sometimes made when the legal validity of the claim or the factual basis for it may be uncertain. As Lord Diplock said in the leading case of </w:t>
      </w:r>
      <w:r w:rsidRPr="0084105F">
        <w:rPr>
          <w:rFonts w:ascii="Bookman Old Style" w:eastAsia="Arial Unicode MS" w:hAnsi="Bookman Old Style" w:cs="Arial Unicode MS"/>
          <w:i/>
          <w:sz w:val="24"/>
          <w:szCs w:val="24"/>
        </w:rPr>
        <w:t>American Cynamid Company v Ethicon Limited:</w:t>
      </w:r>
      <w:r>
        <w:rPr>
          <w:rStyle w:val="FootnoteReference"/>
          <w:rFonts w:ascii="Bookman Old Style" w:eastAsia="Arial Unicode MS" w:hAnsi="Bookman Old Style" w:cs="Arial Unicode MS"/>
          <w:sz w:val="24"/>
          <w:szCs w:val="24"/>
        </w:rPr>
        <w:footnoteReference w:id="21"/>
      </w:r>
      <w:r>
        <w:rPr>
          <w:rFonts w:ascii="Bookman Old Style" w:eastAsia="Arial Unicode MS" w:hAnsi="Bookman Old Style" w:cs="Arial Unicode MS"/>
          <w:sz w:val="24"/>
          <w:szCs w:val="24"/>
        </w:rPr>
        <w:t xml:space="preserve"> </w:t>
      </w:r>
    </w:p>
    <w:p w:rsidR="00153D09" w:rsidRPr="0084105F" w:rsidRDefault="00153D09" w:rsidP="00153D09">
      <w:pPr>
        <w:spacing w:after="0" w:line="240" w:lineRule="auto"/>
        <w:jc w:val="both"/>
        <w:rPr>
          <w:rFonts w:ascii="Bookman Old Style" w:eastAsia="Arial Unicode MS" w:hAnsi="Bookman Old Style" w:cs="Arial Unicode MS"/>
          <w:i/>
          <w:sz w:val="24"/>
          <w:szCs w:val="24"/>
        </w:rPr>
      </w:pPr>
      <w:r w:rsidRPr="0084105F">
        <w:rPr>
          <w:rFonts w:ascii="Bookman Old Style" w:eastAsia="Arial Unicode MS" w:hAnsi="Bookman Old Style" w:cs="Arial Unicode MS"/>
          <w:i/>
          <w:sz w:val="24"/>
          <w:szCs w:val="24"/>
        </w:rPr>
        <w:t>“It was to mitigate the risk of injustice to the [claimant] during the period before that uncertainty could be resolved that the practice arose of granting him relief by way of an interlocutory injunction... The object of the interlocutory injunction is to protect the [claimant] against injury by violation of his right for which he could not be adequately compensated in damages recoverable in the action if the uncertainty were resolved in his favour at trial.”</w:t>
      </w:r>
    </w:p>
    <w:p w:rsidR="00153D09" w:rsidRDefault="00153D09" w:rsidP="00153D09">
      <w:pPr>
        <w:spacing w:after="0" w:line="360" w:lineRule="auto"/>
        <w:jc w:val="both"/>
        <w:rPr>
          <w:rFonts w:ascii="Bookman Old Style" w:eastAsia="Arial Unicode MS" w:hAnsi="Bookman Old Style" w:cs="Arial Unicode MS"/>
          <w:sz w:val="24"/>
          <w:szCs w:val="24"/>
        </w:rPr>
      </w:pPr>
    </w:p>
    <w:p w:rsidR="00153D09" w:rsidRPr="0084105F" w:rsidRDefault="00153D09" w:rsidP="00153D09">
      <w:pPr>
        <w:spacing w:after="0" w:line="360" w:lineRule="auto"/>
        <w:jc w:val="both"/>
        <w:rPr>
          <w:rFonts w:ascii="Bookman Old Style" w:eastAsia="Arial Unicode MS" w:hAnsi="Bookman Old Style" w:cs="Arial Unicode MS"/>
          <w:b/>
          <w:sz w:val="24"/>
          <w:szCs w:val="24"/>
        </w:rPr>
      </w:pPr>
      <w:r w:rsidRPr="0084105F">
        <w:rPr>
          <w:rFonts w:ascii="Bookman Old Style" w:eastAsia="Arial Unicode MS" w:hAnsi="Bookman Old Style" w:cs="Arial Unicode MS"/>
          <w:b/>
          <w:sz w:val="24"/>
          <w:szCs w:val="24"/>
        </w:rPr>
        <w:t>CYNAMID CASE</w:t>
      </w:r>
    </w:p>
    <w:p w:rsidR="00153D09" w:rsidRDefault="00153D09"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test to be applied </w:t>
      </w:r>
      <w:r w:rsidR="00FF2A4D">
        <w:rPr>
          <w:rFonts w:ascii="Bookman Old Style" w:eastAsia="Arial Unicode MS" w:hAnsi="Bookman Old Style" w:cs="Arial Unicode MS"/>
          <w:sz w:val="24"/>
          <w:szCs w:val="24"/>
        </w:rPr>
        <w:t xml:space="preserve">when considering whether an </w:t>
      </w:r>
      <w:r>
        <w:rPr>
          <w:rFonts w:ascii="Bookman Old Style" w:eastAsia="Arial Unicode MS" w:hAnsi="Bookman Old Style" w:cs="Arial Unicode MS"/>
          <w:sz w:val="24"/>
          <w:szCs w:val="24"/>
        </w:rPr>
        <w:t xml:space="preserve">interim injunction should be granted remains that laid down by the House of Lords in the </w:t>
      </w:r>
      <w:r w:rsidRPr="007F7491">
        <w:rPr>
          <w:rFonts w:ascii="Bookman Old Style" w:eastAsia="Arial Unicode MS" w:hAnsi="Bookman Old Style" w:cs="Arial Unicode MS"/>
          <w:i/>
          <w:sz w:val="24"/>
          <w:szCs w:val="24"/>
        </w:rPr>
        <w:t>American</w:t>
      </w:r>
      <w:r>
        <w:rPr>
          <w:rFonts w:ascii="Bookman Old Style" w:eastAsia="Arial Unicode MS" w:hAnsi="Bookman Old Style" w:cs="Arial Unicode MS"/>
          <w:sz w:val="24"/>
          <w:szCs w:val="24"/>
        </w:rPr>
        <w:t xml:space="preserve"> </w:t>
      </w:r>
      <w:r w:rsidRPr="0084105F">
        <w:rPr>
          <w:rFonts w:ascii="Bookman Old Style" w:eastAsia="Arial Unicode MS" w:hAnsi="Bookman Old Style" w:cs="Arial Unicode MS"/>
          <w:i/>
          <w:sz w:val="24"/>
          <w:szCs w:val="24"/>
        </w:rPr>
        <w:t>Cynamid case</w:t>
      </w:r>
      <w:r>
        <w:rPr>
          <w:rFonts w:ascii="Bookman Old Style" w:eastAsia="Arial Unicode MS" w:hAnsi="Bookman Old Style" w:cs="Arial Unicode MS"/>
          <w:sz w:val="24"/>
          <w:szCs w:val="24"/>
        </w:rPr>
        <w:t>. The guidelines laid down</w:t>
      </w:r>
      <w:r w:rsidR="00585B57">
        <w:rPr>
          <w:rFonts w:ascii="Bookman Old Style" w:eastAsia="Arial Unicode MS" w:hAnsi="Bookman Old Style" w:cs="Arial Unicode MS"/>
          <w:sz w:val="24"/>
          <w:szCs w:val="24"/>
        </w:rPr>
        <w:t xml:space="preserve"> by Lord diplock have since beco</w:t>
      </w:r>
      <w:r>
        <w:rPr>
          <w:rFonts w:ascii="Bookman Old Style" w:eastAsia="Arial Unicode MS" w:hAnsi="Bookman Old Style" w:cs="Arial Unicode MS"/>
          <w:sz w:val="24"/>
          <w:szCs w:val="24"/>
        </w:rPr>
        <w:t>me the leading source of the law on the subject of injunction.</w:t>
      </w:r>
      <w:r>
        <w:rPr>
          <w:rStyle w:val="FootnoteReference"/>
          <w:rFonts w:ascii="Bookman Old Style" w:eastAsia="Arial Unicode MS" w:hAnsi="Bookman Old Style" w:cs="Arial Unicode MS"/>
          <w:sz w:val="24"/>
          <w:szCs w:val="24"/>
        </w:rPr>
        <w:footnoteReference w:id="22"/>
      </w:r>
      <w:r>
        <w:rPr>
          <w:rFonts w:ascii="Bookman Old Style" w:eastAsia="Arial Unicode MS" w:hAnsi="Bookman Old Style" w:cs="Arial Unicode MS"/>
          <w:sz w:val="24"/>
          <w:szCs w:val="24"/>
        </w:rPr>
        <w:t xml:space="preserve"> Prior to the </w:t>
      </w:r>
      <w:r w:rsidRPr="00585B57">
        <w:rPr>
          <w:rFonts w:ascii="Bookman Old Style" w:eastAsia="Arial Unicode MS" w:hAnsi="Bookman Old Style" w:cs="Arial Unicode MS"/>
          <w:i/>
          <w:sz w:val="24"/>
          <w:szCs w:val="24"/>
        </w:rPr>
        <w:t>American</w:t>
      </w:r>
      <w:r>
        <w:rPr>
          <w:rFonts w:ascii="Bookman Old Style" w:eastAsia="Arial Unicode MS" w:hAnsi="Bookman Old Style" w:cs="Arial Unicode MS"/>
          <w:sz w:val="24"/>
          <w:szCs w:val="24"/>
        </w:rPr>
        <w:t xml:space="preserve"> </w:t>
      </w:r>
      <w:r w:rsidRPr="007F7491">
        <w:rPr>
          <w:rFonts w:ascii="Bookman Old Style" w:eastAsia="Arial Unicode MS" w:hAnsi="Bookman Old Style" w:cs="Arial Unicode MS"/>
          <w:i/>
          <w:sz w:val="24"/>
          <w:szCs w:val="24"/>
        </w:rPr>
        <w:t>Cynamid case</w:t>
      </w:r>
      <w:r>
        <w:rPr>
          <w:rFonts w:ascii="Bookman Old Style" w:eastAsia="Arial Unicode MS" w:hAnsi="Bookman Old Style" w:cs="Arial Unicode MS"/>
          <w:sz w:val="24"/>
          <w:szCs w:val="24"/>
        </w:rPr>
        <w:t xml:space="preserve">, it was necessary for the Court to investigate the likelihood that </w:t>
      </w:r>
      <w:r>
        <w:rPr>
          <w:rFonts w:ascii="Bookman Old Style" w:eastAsia="Arial Unicode MS" w:hAnsi="Bookman Old Style" w:cs="Arial Unicode MS"/>
          <w:sz w:val="24"/>
          <w:szCs w:val="24"/>
        </w:rPr>
        <w:lastRenderedPageBreak/>
        <w:t>a final injunction would be granted at trial.</w:t>
      </w:r>
      <w:r w:rsidR="00FF2A4D">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Ove</w:t>
      </w:r>
      <w:r w:rsidR="00FF2A4D">
        <w:rPr>
          <w:rFonts w:ascii="Bookman Old Style" w:eastAsia="Arial Unicode MS" w:hAnsi="Bookman Old Style" w:cs="Arial Unicode MS"/>
          <w:sz w:val="24"/>
          <w:szCs w:val="24"/>
        </w:rPr>
        <w:t>r the years a rule had evolved</w:t>
      </w:r>
      <w:r>
        <w:rPr>
          <w:rFonts w:ascii="Bookman Old Style" w:eastAsia="Arial Unicode MS" w:hAnsi="Bookman Old Style" w:cs="Arial Unicode MS"/>
          <w:sz w:val="24"/>
          <w:szCs w:val="24"/>
        </w:rPr>
        <w:t xml:space="preserve"> that the claimant would be granted an interim injunction only if on the material before the Court</w:t>
      </w:r>
      <w:r w:rsidR="00585B57">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he could show a </w:t>
      </w:r>
      <w:r w:rsidRPr="00D404A8">
        <w:rPr>
          <w:rFonts w:ascii="Bookman Old Style" w:eastAsia="Arial Unicode MS" w:hAnsi="Bookman Old Style" w:cs="Arial Unicode MS"/>
          <w:i/>
          <w:sz w:val="24"/>
          <w:szCs w:val="24"/>
        </w:rPr>
        <w:t>prima facie</w:t>
      </w:r>
      <w:r>
        <w:rPr>
          <w:rFonts w:ascii="Bookman Old Style" w:eastAsia="Arial Unicode MS" w:hAnsi="Bookman Old Style" w:cs="Arial Unicode MS"/>
          <w:sz w:val="24"/>
          <w:szCs w:val="24"/>
        </w:rPr>
        <w:t xml:space="preserve"> case that he was entitled to the right which he claimed an</w:t>
      </w:r>
      <w:r w:rsidR="00FF2A4D">
        <w:rPr>
          <w:rFonts w:ascii="Bookman Old Style" w:eastAsia="Arial Unicode MS" w:hAnsi="Bookman Old Style" w:cs="Arial Unicode MS"/>
          <w:sz w:val="24"/>
          <w:szCs w:val="24"/>
        </w:rPr>
        <w:t>d</w:t>
      </w:r>
      <w:r>
        <w:rPr>
          <w:rFonts w:ascii="Bookman Old Style" w:eastAsia="Arial Unicode MS" w:hAnsi="Bookman Old Style" w:cs="Arial Unicode MS"/>
          <w:sz w:val="24"/>
          <w:szCs w:val="24"/>
        </w:rPr>
        <w:t xml:space="preserve"> also that his allegation(s) that his right had been infringed was reasonably capable of succeeding.</w:t>
      </w:r>
      <w:r>
        <w:rPr>
          <w:rStyle w:val="FootnoteReference"/>
          <w:rFonts w:ascii="Bookman Old Style" w:eastAsia="Arial Unicode MS" w:hAnsi="Bookman Old Style" w:cs="Arial Unicode MS"/>
          <w:sz w:val="24"/>
          <w:szCs w:val="24"/>
        </w:rPr>
        <w:footnoteReference w:id="23"/>
      </w:r>
      <w:r>
        <w:rPr>
          <w:rFonts w:ascii="Bookman Old Style" w:eastAsia="Arial Unicode MS" w:hAnsi="Bookman Old Style" w:cs="Arial Unicode MS"/>
          <w:sz w:val="24"/>
          <w:szCs w:val="24"/>
        </w:rPr>
        <w:t xml:space="preserve"> In time</w:t>
      </w:r>
      <w:r w:rsidR="00585B57">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this test had been rejected on the ground that the remedy of an interim injunction must be kept flexible and discretionary.</w:t>
      </w:r>
      <w:r>
        <w:rPr>
          <w:rStyle w:val="FootnoteReference"/>
          <w:rFonts w:ascii="Bookman Old Style" w:eastAsia="Arial Unicode MS" w:hAnsi="Bookman Old Style" w:cs="Arial Unicode MS"/>
          <w:sz w:val="24"/>
          <w:szCs w:val="24"/>
        </w:rPr>
        <w:footnoteReference w:id="24"/>
      </w:r>
      <w:r>
        <w:rPr>
          <w:rFonts w:ascii="Bookman Old Style" w:eastAsia="Arial Unicode MS" w:hAnsi="Bookman Old Style" w:cs="Arial Unicode MS"/>
          <w:sz w:val="24"/>
          <w:szCs w:val="24"/>
        </w:rPr>
        <w:t xml:space="preserve"> And it was held that a case must be considered on the basis of fairness, justice, and common sense.</w:t>
      </w:r>
      <w:r>
        <w:rPr>
          <w:rStyle w:val="FootnoteReference"/>
          <w:rFonts w:ascii="Bookman Old Style" w:eastAsia="Arial Unicode MS" w:hAnsi="Bookman Old Style" w:cs="Arial Unicode MS"/>
          <w:sz w:val="24"/>
          <w:szCs w:val="24"/>
        </w:rPr>
        <w:footnoteReference w:id="25"/>
      </w:r>
      <w:r>
        <w:rPr>
          <w:rFonts w:ascii="Bookman Old Style" w:eastAsia="Arial Unicode MS" w:hAnsi="Bookman Old Style" w:cs="Arial Unicode MS"/>
          <w:sz w:val="24"/>
          <w:szCs w:val="24"/>
        </w:rPr>
        <w:t xml:space="preserve"> The </w:t>
      </w:r>
      <w:r w:rsidRPr="0009447B">
        <w:rPr>
          <w:rFonts w:ascii="Bookman Old Style" w:eastAsia="Arial Unicode MS" w:hAnsi="Bookman Old Style" w:cs="Arial Unicode MS"/>
          <w:i/>
          <w:sz w:val="24"/>
          <w:szCs w:val="24"/>
        </w:rPr>
        <w:t>American Cynamid case</w:t>
      </w:r>
      <w:r>
        <w:rPr>
          <w:rFonts w:ascii="Bookman Old Style" w:eastAsia="Arial Unicode MS" w:hAnsi="Bookman Old Style" w:cs="Arial Unicode MS"/>
          <w:sz w:val="24"/>
          <w:szCs w:val="24"/>
        </w:rPr>
        <w:t xml:space="preserve"> is renowned for the series of questions which have to be considered in deciding whether or not an interim injunction should be granted. As already stated, before the </w:t>
      </w:r>
      <w:r w:rsidRPr="00FF2A4D">
        <w:rPr>
          <w:rFonts w:ascii="Bookman Old Style" w:eastAsia="Arial Unicode MS" w:hAnsi="Bookman Old Style" w:cs="Arial Unicode MS"/>
          <w:i/>
          <w:sz w:val="24"/>
          <w:szCs w:val="24"/>
        </w:rPr>
        <w:t>American Cynamid</w:t>
      </w:r>
      <w:r>
        <w:rPr>
          <w:rFonts w:ascii="Bookman Old Style" w:eastAsia="Arial Unicode MS" w:hAnsi="Bookman Old Style" w:cs="Arial Unicode MS"/>
          <w:sz w:val="24"/>
          <w:szCs w:val="24"/>
        </w:rPr>
        <w:t xml:space="preserve"> case, the Court would grant an interim injunction only if the </w:t>
      </w:r>
      <w:r w:rsidR="00FF2A4D">
        <w:rPr>
          <w:rFonts w:ascii="Bookman Old Style" w:eastAsia="Arial Unicode MS" w:hAnsi="Bookman Old Style" w:cs="Arial Unicode MS"/>
          <w:sz w:val="24"/>
          <w:szCs w:val="24"/>
        </w:rPr>
        <w:t xml:space="preserve">claimant </w:t>
      </w:r>
      <w:r>
        <w:rPr>
          <w:rFonts w:ascii="Bookman Old Style" w:eastAsia="Arial Unicode MS" w:hAnsi="Bookman Old Style" w:cs="Arial Unicode MS"/>
          <w:sz w:val="24"/>
          <w:szCs w:val="24"/>
        </w:rPr>
        <w:t xml:space="preserve">could establish a </w:t>
      </w:r>
      <w:r w:rsidRPr="00FF2A4D">
        <w:rPr>
          <w:rFonts w:ascii="Bookman Old Style" w:eastAsia="Arial Unicode MS" w:hAnsi="Bookman Old Style" w:cs="Arial Unicode MS"/>
          <w:i/>
          <w:sz w:val="24"/>
          <w:szCs w:val="24"/>
        </w:rPr>
        <w:t>prima facie</w:t>
      </w:r>
      <w:r>
        <w:rPr>
          <w:rFonts w:ascii="Bookman Old Style" w:eastAsia="Arial Unicode MS" w:hAnsi="Bookman Old Style" w:cs="Arial Unicode MS"/>
          <w:sz w:val="24"/>
          <w:szCs w:val="24"/>
        </w:rPr>
        <w:t xml:space="preserve"> case on the merits.</w:t>
      </w:r>
      <w:r>
        <w:rPr>
          <w:rStyle w:val="FootnoteReference"/>
          <w:rFonts w:ascii="Bookman Old Style" w:eastAsia="Arial Unicode MS" w:hAnsi="Bookman Old Style" w:cs="Arial Unicode MS"/>
          <w:sz w:val="24"/>
          <w:szCs w:val="24"/>
        </w:rPr>
        <w:footnoteReference w:id="26"/>
      </w:r>
      <w:r>
        <w:rPr>
          <w:rFonts w:ascii="Bookman Old Style" w:eastAsia="Arial Unicode MS" w:hAnsi="Bookman Old Style" w:cs="Arial Unicode MS"/>
          <w:sz w:val="24"/>
          <w:szCs w:val="24"/>
        </w:rPr>
        <w:t xml:space="preserve"> As a result, the Courts were required to examine the respective merits of t</w:t>
      </w:r>
      <w:r w:rsidR="00FF2A4D">
        <w:rPr>
          <w:rFonts w:ascii="Bookman Old Style" w:eastAsia="Arial Unicode MS" w:hAnsi="Bookman Old Style" w:cs="Arial Unicode MS"/>
          <w:sz w:val="24"/>
          <w:szCs w:val="24"/>
        </w:rPr>
        <w:t>he parties case. This encouraged</w:t>
      </w:r>
      <w:r>
        <w:rPr>
          <w:rFonts w:ascii="Bookman Old Style" w:eastAsia="Arial Unicode MS" w:hAnsi="Bookman Old Style" w:cs="Arial Unicode MS"/>
          <w:sz w:val="24"/>
          <w:szCs w:val="24"/>
        </w:rPr>
        <w:t xml:space="preserve"> the filing of detailed evidence supported by voluminous exhibits, and resulted in lengthy hearings.</w:t>
      </w:r>
      <w:r>
        <w:rPr>
          <w:rStyle w:val="FootnoteReference"/>
          <w:rFonts w:ascii="Bookman Old Style" w:eastAsia="Arial Unicode MS" w:hAnsi="Bookman Old Style" w:cs="Arial Unicode MS"/>
          <w:sz w:val="24"/>
          <w:szCs w:val="24"/>
        </w:rPr>
        <w:footnoteReference w:id="27"/>
      </w:r>
      <w:r>
        <w:rPr>
          <w:rFonts w:ascii="Bookman Old Style" w:eastAsia="Arial Unicode MS" w:hAnsi="Bookman Old Style" w:cs="Arial Unicode MS"/>
          <w:sz w:val="24"/>
          <w:szCs w:val="24"/>
        </w:rPr>
        <w:t xml:space="preserve"> </w:t>
      </w:r>
    </w:p>
    <w:p w:rsidR="00153D09" w:rsidRDefault="00153D09" w:rsidP="00153D09">
      <w:pPr>
        <w:spacing w:after="0" w:line="360" w:lineRule="auto"/>
        <w:jc w:val="both"/>
        <w:rPr>
          <w:rFonts w:ascii="Bookman Old Style" w:eastAsia="Arial Unicode MS" w:hAnsi="Bookman Old Style" w:cs="Arial Unicode MS"/>
          <w:sz w:val="24"/>
          <w:szCs w:val="24"/>
        </w:rPr>
      </w:pPr>
    </w:p>
    <w:p w:rsidR="00153D09" w:rsidRPr="005E53C5" w:rsidRDefault="00153D09" w:rsidP="00153D09">
      <w:pPr>
        <w:spacing w:after="0" w:line="360" w:lineRule="auto"/>
        <w:jc w:val="both"/>
        <w:rPr>
          <w:rFonts w:ascii="Bookman Old Style" w:eastAsia="Arial Unicode MS" w:hAnsi="Bookman Old Style" w:cs="Arial Unicode MS"/>
          <w:b/>
          <w:sz w:val="24"/>
          <w:szCs w:val="24"/>
        </w:rPr>
      </w:pPr>
      <w:r w:rsidRPr="005E53C5">
        <w:rPr>
          <w:rFonts w:ascii="Bookman Old Style" w:eastAsia="Arial Unicode MS" w:hAnsi="Bookman Old Style" w:cs="Arial Unicode MS"/>
          <w:b/>
          <w:sz w:val="24"/>
          <w:szCs w:val="24"/>
        </w:rPr>
        <w:t>SERIOUS QUESTION</w:t>
      </w:r>
    </w:p>
    <w:p w:rsidR="00153D09" w:rsidRDefault="00153D09"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A departure has been made from this practice. The current practice is that in an application for an interim injunction, the first questio</w:t>
      </w:r>
      <w:r w:rsidR="00FF2A4D">
        <w:rPr>
          <w:rFonts w:ascii="Bookman Old Style" w:eastAsia="Arial Unicode MS" w:hAnsi="Bookman Old Style" w:cs="Arial Unicode MS"/>
          <w:sz w:val="24"/>
          <w:szCs w:val="24"/>
        </w:rPr>
        <w:t>n that needs to be addressed</w:t>
      </w:r>
      <w:r w:rsidR="00C6162E">
        <w:rPr>
          <w:rFonts w:ascii="Bookman Old Style" w:eastAsia="Arial Unicode MS" w:hAnsi="Bookman Old Style" w:cs="Arial Unicode MS"/>
          <w:sz w:val="24"/>
          <w:szCs w:val="24"/>
        </w:rPr>
        <w:t>,</w:t>
      </w:r>
      <w:r w:rsidR="00FF2A4D">
        <w:rPr>
          <w:rFonts w:ascii="Bookman Old Style" w:eastAsia="Arial Unicode MS" w:hAnsi="Bookman Old Style" w:cs="Arial Unicode MS"/>
          <w:sz w:val="24"/>
          <w:szCs w:val="24"/>
        </w:rPr>
        <w:t xml:space="preserve"> in</w:t>
      </w:r>
      <w:r>
        <w:rPr>
          <w:rFonts w:ascii="Bookman Old Style" w:eastAsia="Arial Unicode MS" w:hAnsi="Bookman Old Style" w:cs="Arial Unicode MS"/>
          <w:sz w:val="24"/>
          <w:szCs w:val="24"/>
        </w:rPr>
        <w:t>variably, is whether or not a claimant has raised a serious question to be determined at t</w:t>
      </w:r>
      <w:r w:rsidR="00FF2A4D">
        <w:rPr>
          <w:rFonts w:ascii="Bookman Old Style" w:eastAsia="Arial Unicode MS" w:hAnsi="Bookman Old Style" w:cs="Arial Unicode MS"/>
          <w:sz w:val="24"/>
          <w:szCs w:val="24"/>
        </w:rPr>
        <w:t>rial. This requirement really bo</w:t>
      </w:r>
      <w:r>
        <w:rPr>
          <w:rFonts w:ascii="Bookman Old Style" w:eastAsia="Arial Unicode MS" w:hAnsi="Bookman Old Style" w:cs="Arial Unicode MS"/>
          <w:sz w:val="24"/>
          <w:szCs w:val="24"/>
        </w:rPr>
        <w:t>i</w:t>
      </w:r>
      <w:r w:rsidR="00FF2A4D">
        <w:rPr>
          <w:rFonts w:ascii="Bookman Old Style" w:eastAsia="Arial Unicode MS" w:hAnsi="Bookman Old Style" w:cs="Arial Unicode MS"/>
          <w:sz w:val="24"/>
          <w:szCs w:val="24"/>
        </w:rPr>
        <w:t>ls down to the proposition that</w:t>
      </w:r>
      <w:r>
        <w:rPr>
          <w:rFonts w:ascii="Bookman Old Style" w:eastAsia="Arial Unicode MS" w:hAnsi="Bookman Old Style" w:cs="Arial Unicode MS"/>
          <w:sz w:val="24"/>
          <w:szCs w:val="24"/>
        </w:rPr>
        <w:t xml:space="preserve"> a claim must </w:t>
      </w:r>
      <w:r w:rsidR="00FF2A4D">
        <w:rPr>
          <w:rFonts w:ascii="Bookman Old Style" w:eastAsia="Arial Unicode MS" w:hAnsi="Bookman Old Style" w:cs="Arial Unicode MS"/>
          <w:sz w:val="24"/>
          <w:szCs w:val="24"/>
        </w:rPr>
        <w:t xml:space="preserve">not be frivolous or vexatious. The claim must </w:t>
      </w:r>
      <w:r>
        <w:rPr>
          <w:rFonts w:ascii="Bookman Old Style" w:eastAsia="Arial Unicode MS" w:hAnsi="Bookman Old Style" w:cs="Arial Unicode MS"/>
          <w:sz w:val="24"/>
          <w:szCs w:val="24"/>
        </w:rPr>
        <w:t>also have the prospect of succeeding at trial. Therefore</w:t>
      </w:r>
      <w:r w:rsidR="00585B57">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assuming that there is no serious question to be considered at trial</w:t>
      </w:r>
      <w:r w:rsidR="00585B57">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and the prospects of succeeding </w:t>
      </w:r>
      <w:r>
        <w:rPr>
          <w:rFonts w:ascii="Bookman Old Style" w:eastAsia="Arial Unicode MS" w:hAnsi="Bookman Old Style" w:cs="Arial Unicode MS"/>
          <w:sz w:val="24"/>
          <w:szCs w:val="24"/>
        </w:rPr>
        <w:lastRenderedPageBreak/>
        <w:t>at trial are in any event dim, the application for an interim injunction ought to be refused.</w:t>
      </w:r>
      <w:r>
        <w:rPr>
          <w:rStyle w:val="FootnoteReference"/>
          <w:rFonts w:ascii="Bookman Old Style" w:eastAsia="Arial Unicode MS" w:hAnsi="Bookman Old Style" w:cs="Arial Unicode MS"/>
          <w:sz w:val="24"/>
          <w:szCs w:val="24"/>
        </w:rPr>
        <w:footnoteReference w:id="28"/>
      </w:r>
    </w:p>
    <w:p w:rsidR="00153D09" w:rsidRDefault="00153D09" w:rsidP="00153D09">
      <w:pPr>
        <w:spacing w:after="0" w:line="360" w:lineRule="auto"/>
        <w:jc w:val="both"/>
        <w:rPr>
          <w:rFonts w:ascii="Bookman Old Style" w:eastAsia="Arial Unicode MS" w:hAnsi="Bookman Old Style" w:cs="Arial Unicode MS"/>
          <w:sz w:val="24"/>
          <w:szCs w:val="24"/>
        </w:rPr>
      </w:pPr>
    </w:p>
    <w:p w:rsidR="00153D09" w:rsidRPr="001C772E" w:rsidRDefault="00153D09" w:rsidP="00153D09">
      <w:pPr>
        <w:spacing w:after="0" w:line="360" w:lineRule="auto"/>
        <w:jc w:val="both"/>
        <w:rPr>
          <w:rFonts w:ascii="Bookman Old Style" w:eastAsia="Arial Unicode MS" w:hAnsi="Bookman Old Style" w:cs="Arial Unicode MS"/>
          <w:b/>
          <w:sz w:val="24"/>
          <w:szCs w:val="24"/>
        </w:rPr>
      </w:pPr>
      <w:r w:rsidRPr="001C772E">
        <w:rPr>
          <w:rFonts w:ascii="Bookman Old Style" w:eastAsia="Arial Unicode MS" w:hAnsi="Bookman Old Style" w:cs="Arial Unicode MS"/>
          <w:b/>
          <w:sz w:val="24"/>
          <w:szCs w:val="24"/>
        </w:rPr>
        <w:t xml:space="preserve">ADEQUACY OF DAMAGES </w:t>
      </w:r>
    </w:p>
    <w:p w:rsidR="00153D09" w:rsidRDefault="00153D09"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Conversely</w:t>
      </w:r>
      <w:r w:rsidR="00FF2A4D">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if there is a serious question to be tried, the Court should go on to consider whether a claimant could if successful at trial, be adequately compensated by an award of damages. It has already been stated that a fundamental principle of injunction law is that an interim injunction should not be granted to restrain actionable wrongs for which damages are the proper or adequate remedy. Thus if the claimant can be fully compensated by an award of damages, no injunction should </w:t>
      </w:r>
      <w:r w:rsidR="00585B57">
        <w:rPr>
          <w:rFonts w:ascii="Bookman Old Style" w:eastAsia="Arial Unicode MS" w:hAnsi="Bookman Old Style" w:cs="Arial Unicode MS"/>
          <w:sz w:val="24"/>
          <w:szCs w:val="24"/>
        </w:rPr>
        <w:t>b</w:t>
      </w:r>
      <w:r>
        <w:rPr>
          <w:rFonts w:ascii="Bookman Old Style" w:eastAsia="Arial Unicode MS" w:hAnsi="Bookman Old Style" w:cs="Arial Unicode MS"/>
          <w:sz w:val="24"/>
          <w:szCs w:val="24"/>
        </w:rPr>
        <w:t xml:space="preserve">e granted at all. In the </w:t>
      </w:r>
      <w:r w:rsidRPr="00FF2A4D">
        <w:rPr>
          <w:rFonts w:ascii="Bookman Old Style" w:eastAsia="Arial Unicode MS" w:hAnsi="Bookman Old Style" w:cs="Arial Unicode MS"/>
          <w:i/>
          <w:sz w:val="24"/>
          <w:szCs w:val="24"/>
        </w:rPr>
        <w:t xml:space="preserve">American Cynamid </w:t>
      </w:r>
      <w:r>
        <w:rPr>
          <w:rFonts w:ascii="Bookman Old Style" w:eastAsia="Arial Unicode MS" w:hAnsi="Bookman Old Style" w:cs="Arial Unicode MS"/>
          <w:sz w:val="24"/>
          <w:szCs w:val="24"/>
        </w:rPr>
        <w:t>case</w:t>
      </w:r>
      <w:r w:rsidR="00FF2A4D">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the test was stated by Lord Diplock in the following terms: if damages in the measure recoverable at common law would be adequate remedy, and the defendant would be in a financial position to pay the</w:t>
      </w:r>
      <w:r w:rsidR="00915038">
        <w:rPr>
          <w:rFonts w:ascii="Bookman Old Style" w:eastAsia="Arial Unicode MS" w:hAnsi="Bookman Old Style" w:cs="Arial Unicode MS"/>
          <w:sz w:val="24"/>
          <w:szCs w:val="24"/>
        </w:rPr>
        <w:t>m</w:t>
      </w:r>
      <w:r w:rsidR="00585B57">
        <w:rPr>
          <w:rFonts w:ascii="Bookman Old Style" w:eastAsia="Arial Unicode MS" w:hAnsi="Bookman Old Style" w:cs="Arial Unicode MS"/>
          <w:sz w:val="24"/>
          <w:szCs w:val="24"/>
        </w:rPr>
        <w:t>,</w:t>
      </w:r>
      <w:r w:rsidR="00915038">
        <w:rPr>
          <w:rFonts w:ascii="Bookman Old Style" w:eastAsia="Arial Unicode MS" w:hAnsi="Bookman Old Style" w:cs="Arial Unicode MS"/>
          <w:sz w:val="24"/>
          <w:szCs w:val="24"/>
        </w:rPr>
        <w:t xml:space="preserve"> n</w:t>
      </w:r>
      <w:r>
        <w:rPr>
          <w:rFonts w:ascii="Bookman Old Style" w:eastAsia="Arial Unicode MS" w:hAnsi="Bookman Old Style" w:cs="Arial Unicode MS"/>
          <w:sz w:val="24"/>
          <w:szCs w:val="24"/>
        </w:rPr>
        <w:t xml:space="preserve">o interim injunction should normally be granted. It is important to note however, that there </w:t>
      </w:r>
      <w:r w:rsidR="00915038">
        <w:rPr>
          <w:rFonts w:ascii="Bookman Old Style" w:eastAsia="Arial Unicode MS" w:hAnsi="Bookman Old Style" w:cs="Arial Unicode MS"/>
          <w:sz w:val="24"/>
          <w:szCs w:val="24"/>
        </w:rPr>
        <w:t>are instanc</w:t>
      </w:r>
      <w:r w:rsidR="00585B57">
        <w:rPr>
          <w:rFonts w:ascii="Bookman Old Style" w:eastAsia="Arial Unicode MS" w:hAnsi="Bookman Old Style" w:cs="Arial Unicode MS"/>
          <w:sz w:val="24"/>
          <w:szCs w:val="24"/>
        </w:rPr>
        <w:t>es when a case may have nothing</w:t>
      </w:r>
      <w:r>
        <w:rPr>
          <w:rFonts w:ascii="Bookman Old Style" w:eastAsia="Arial Unicode MS" w:hAnsi="Bookman Old Style" w:cs="Arial Unicode MS"/>
          <w:sz w:val="24"/>
          <w:szCs w:val="24"/>
        </w:rPr>
        <w:t xml:space="preserve"> to do with monetary compensation</w:t>
      </w:r>
      <w:r w:rsidR="00585B57">
        <w:rPr>
          <w:rFonts w:ascii="Bookman Old Style" w:eastAsia="Arial Unicode MS" w:hAnsi="Bookman Old Style" w:cs="Arial Unicode MS"/>
          <w:sz w:val="24"/>
          <w:szCs w:val="24"/>
        </w:rPr>
        <w:t>. I</w:t>
      </w:r>
      <w:r>
        <w:rPr>
          <w:rFonts w:ascii="Bookman Old Style" w:eastAsia="Arial Unicode MS" w:hAnsi="Bookman Old Style" w:cs="Arial Unicode MS"/>
          <w:sz w:val="24"/>
          <w:szCs w:val="24"/>
        </w:rPr>
        <w:t>n those instances, the question of adequacy of damages becomes an irrelev</w:t>
      </w:r>
      <w:r w:rsidR="00915038">
        <w:rPr>
          <w:rFonts w:ascii="Bookman Old Style" w:eastAsia="Arial Unicode MS" w:hAnsi="Bookman Old Style" w:cs="Arial Unicode MS"/>
          <w:sz w:val="24"/>
          <w:szCs w:val="24"/>
        </w:rPr>
        <w:t>ant con</w:t>
      </w:r>
      <w:r w:rsidR="00585B57">
        <w:rPr>
          <w:rFonts w:ascii="Bookman Old Style" w:eastAsia="Arial Unicode MS" w:hAnsi="Bookman Old Style" w:cs="Arial Unicode MS"/>
          <w:sz w:val="24"/>
          <w:szCs w:val="24"/>
        </w:rPr>
        <w:t>sideration, and the case may fal</w:t>
      </w:r>
      <w:r w:rsidR="00915038">
        <w:rPr>
          <w:rFonts w:ascii="Bookman Old Style" w:eastAsia="Arial Unicode MS" w:hAnsi="Bookman Old Style" w:cs="Arial Unicode MS"/>
          <w:sz w:val="24"/>
          <w:szCs w:val="24"/>
        </w:rPr>
        <w:t>l</w:t>
      </w:r>
      <w:r>
        <w:rPr>
          <w:rFonts w:ascii="Bookman Old Style" w:eastAsia="Arial Unicode MS" w:hAnsi="Bookman Old Style" w:cs="Arial Unicode MS"/>
          <w:sz w:val="24"/>
          <w:szCs w:val="24"/>
        </w:rPr>
        <w:t xml:space="preserve"> outside the purview of the general principles upon which injunctions are granted.</w:t>
      </w:r>
      <w:r>
        <w:rPr>
          <w:rStyle w:val="FootnoteReference"/>
          <w:rFonts w:ascii="Bookman Old Style" w:eastAsia="Arial Unicode MS" w:hAnsi="Bookman Old Style" w:cs="Arial Unicode MS"/>
          <w:sz w:val="24"/>
          <w:szCs w:val="24"/>
        </w:rPr>
        <w:footnoteReference w:id="29"/>
      </w:r>
      <w:r>
        <w:rPr>
          <w:rFonts w:ascii="Bookman Old Style" w:eastAsia="Arial Unicode MS" w:hAnsi="Bookman Old Style" w:cs="Arial Unicode MS"/>
          <w:sz w:val="24"/>
          <w:szCs w:val="24"/>
        </w:rPr>
        <w:t xml:space="preserve">  </w:t>
      </w:r>
    </w:p>
    <w:p w:rsidR="00153D09" w:rsidRDefault="00153D09" w:rsidP="00153D09">
      <w:pPr>
        <w:spacing w:after="0" w:line="360" w:lineRule="auto"/>
        <w:jc w:val="both"/>
        <w:rPr>
          <w:rFonts w:ascii="Bookman Old Style" w:eastAsia="Arial Unicode MS" w:hAnsi="Bookman Old Style" w:cs="Arial Unicode MS"/>
          <w:sz w:val="24"/>
          <w:szCs w:val="24"/>
        </w:rPr>
      </w:pPr>
    </w:p>
    <w:p w:rsidR="00153D09" w:rsidRPr="00961229" w:rsidRDefault="00153D09" w:rsidP="00153D09">
      <w:pPr>
        <w:spacing w:after="0" w:line="360" w:lineRule="auto"/>
        <w:jc w:val="both"/>
        <w:rPr>
          <w:rFonts w:ascii="Bookman Old Style" w:eastAsia="Arial Unicode MS" w:hAnsi="Bookman Old Style" w:cs="Arial Unicode MS"/>
          <w:b/>
          <w:sz w:val="24"/>
          <w:szCs w:val="24"/>
        </w:rPr>
      </w:pPr>
      <w:r w:rsidRPr="00961229">
        <w:rPr>
          <w:rFonts w:ascii="Bookman Old Style" w:eastAsia="Arial Unicode MS" w:hAnsi="Bookman Old Style" w:cs="Arial Unicode MS"/>
          <w:b/>
          <w:sz w:val="24"/>
          <w:szCs w:val="24"/>
        </w:rPr>
        <w:t xml:space="preserve">BALANCE OF CONVENIENCE </w:t>
      </w:r>
    </w:p>
    <w:p w:rsidR="00153D09" w:rsidRDefault="00153D09"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In the event that there is doubt as to the adequacy of damages, and the ability of the defendant to pay them if the applicant were to succeed at trial, then the Court should proceed to consider the balance of convenience. Thus once the investigation has reached this stage, the decision of the Court whether in favour of or against an injunction will inevitably involve some advantage to one or the other side which damages cannot compensate. Therefore, the extent of this </w:t>
      </w:r>
      <w:r w:rsidR="00585B57">
        <w:rPr>
          <w:rFonts w:ascii="Bookman Old Style" w:eastAsia="Arial Unicode MS" w:hAnsi="Bookman Old Style" w:cs="Arial Unicode MS"/>
          <w:i/>
          <w:sz w:val="24"/>
          <w:szCs w:val="24"/>
        </w:rPr>
        <w:t>“uncompesantable disadvantage,</w:t>
      </w:r>
      <w:r w:rsidRPr="00B11F60">
        <w:rPr>
          <w:rFonts w:ascii="Bookman Old Style" w:eastAsia="Arial Unicode MS" w:hAnsi="Bookman Old Style" w:cs="Arial Unicode MS"/>
          <w:i/>
          <w:sz w:val="24"/>
          <w:szCs w:val="24"/>
        </w:rPr>
        <w:t>”</w:t>
      </w:r>
      <w:r>
        <w:rPr>
          <w:rFonts w:ascii="Bookman Old Style" w:eastAsia="Arial Unicode MS" w:hAnsi="Bookman Old Style" w:cs="Arial Unicode MS"/>
          <w:sz w:val="24"/>
          <w:szCs w:val="24"/>
        </w:rPr>
        <w:t xml:space="preserve"> (to use Lord Diplock’s phrase in the </w:t>
      </w:r>
      <w:r w:rsidRPr="00915038">
        <w:rPr>
          <w:rFonts w:ascii="Bookman Old Style" w:eastAsia="Arial Unicode MS" w:hAnsi="Bookman Old Style" w:cs="Arial Unicode MS"/>
          <w:i/>
          <w:sz w:val="24"/>
          <w:szCs w:val="24"/>
        </w:rPr>
        <w:lastRenderedPageBreak/>
        <w:t>American Cynamid</w:t>
      </w:r>
      <w:r>
        <w:rPr>
          <w:rFonts w:ascii="Bookman Old Style" w:eastAsia="Arial Unicode MS" w:hAnsi="Bookman Old Style" w:cs="Arial Unicode MS"/>
          <w:sz w:val="24"/>
          <w:szCs w:val="24"/>
        </w:rPr>
        <w:t xml:space="preserve"> case), either way is a significant factor in determining the balance of convenience. In many cases, it has been the decisive factor. Simply stated, the balance of convenience arises if the harm would be irreparable, and damages would not </w:t>
      </w:r>
      <w:r w:rsidR="00585B57">
        <w:rPr>
          <w:rFonts w:ascii="Bookman Old Style" w:eastAsia="Arial Unicode MS" w:hAnsi="Bookman Old Style" w:cs="Arial Unicode MS"/>
          <w:sz w:val="24"/>
          <w:szCs w:val="24"/>
        </w:rPr>
        <w:t xml:space="preserve">be </w:t>
      </w:r>
      <w:r>
        <w:rPr>
          <w:rFonts w:ascii="Bookman Old Style" w:eastAsia="Arial Unicode MS" w:hAnsi="Bookman Old Style" w:cs="Arial Unicode MS"/>
          <w:sz w:val="24"/>
          <w:szCs w:val="24"/>
        </w:rPr>
        <w:t>sufficient to compensate for any harm which may be suffered as a result of the actions of the defendant.</w:t>
      </w:r>
      <w:r>
        <w:rPr>
          <w:rStyle w:val="FootnoteReference"/>
          <w:rFonts w:ascii="Bookman Old Style" w:eastAsia="Arial Unicode MS" w:hAnsi="Bookman Old Style" w:cs="Arial Unicode MS"/>
          <w:sz w:val="24"/>
          <w:szCs w:val="24"/>
        </w:rPr>
        <w:footnoteReference w:id="30"/>
      </w:r>
      <w:r>
        <w:rPr>
          <w:rFonts w:ascii="Bookman Old Style" w:eastAsia="Arial Unicode MS" w:hAnsi="Bookman Old Style" w:cs="Arial Unicode MS"/>
          <w:sz w:val="24"/>
          <w:szCs w:val="24"/>
        </w:rPr>
        <w:t xml:space="preserve"> The burden of proof that the inconvenience which the plaintiff will suffer by the refusal of the injunction is greater than that which the defendant will suffer if it is granted lies on the plaintiff.</w:t>
      </w:r>
      <w:r>
        <w:rPr>
          <w:rStyle w:val="FootnoteReference"/>
          <w:rFonts w:ascii="Bookman Old Style" w:eastAsia="Arial Unicode MS" w:hAnsi="Bookman Old Style" w:cs="Arial Unicode MS"/>
          <w:sz w:val="24"/>
          <w:szCs w:val="24"/>
        </w:rPr>
        <w:footnoteReference w:id="31"/>
      </w:r>
      <w:r>
        <w:rPr>
          <w:rFonts w:ascii="Bookman Old Style" w:eastAsia="Arial Unicode MS" w:hAnsi="Bookman Old Style" w:cs="Arial Unicode MS"/>
          <w:sz w:val="24"/>
          <w:szCs w:val="24"/>
        </w:rPr>
        <w:t xml:space="preserve"> To summarise, the question of balance of convenience may be dealt with in three stages;</w:t>
      </w:r>
      <w:r>
        <w:rPr>
          <w:rStyle w:val="FootnoteReference"/>
          <w:rFonts w:ascii="Bookman Old Style" w:eastAsia="Arial Unicode MS" w:hAnsi="Bookman Old Style" w:cs="Arial Unicode MS"/>
          <w:sz w:val="24"/>
          <w:szCs w:val="24"/>
        </w:rPr>
        <w:footnoteReference w:id="32"/>
      </w:r>
    </w:p>
    <w:p w:rsidR="00153D09" w:rsidRDefault="00153D09" w:rsidP="00153D09">
      <w:pPr>
        <w:pStyle w:val="ListParagraph"/>
        <w:numPr>
          <w:ilvl w:val="0"/>
          <w:numId w:val="16"/>
        </w:num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w:t>
      </w:r>
      <w:r w:rsidRPr="0014344C">
        <w:rPr>
          <w:rFonts w:ascii="Bookman Old Style" w:eastAsia="Arial Unicode MS" w:hAnsi="Bookman Old Style" w:cs="Arial Unicode MS"/>
          <w:i/>
          <w:sz w:val="24"/>
          <w:szCs w:val="24"/>
        </w:rPr>
        <w:t>governing principle</w:t>
      </w:r>
      <w:r>
        <w:rPr>
          <w:rFonts w:ascii="Bookman Old Style" w:eastAsia="Arial Unicode MS" w:hAnsi="Bookman Old Style" w:cs="Arial Unicode MS"/>
          <w:sz w:val="24"/>
          <w:szCs w:val="24"/>
        </w:rPr>
        <w:t>” is that if the claimant would be adequately compens</w:t>
      </w:r>
      <w:r w:rsidR="00915038">
        <w:rPr>
          <w:rFonts w:ascii="Bookman Old Style" w:eastAsia="Arial Unicode MS" w:hAnsi="Bookman Old Style" w:cs="Arial Unicode MS"/>
          <w:sz w:val="24"/>
          <w:szCs w:val="24"/>
        </w:rPr>
        <w:t xml:space="preserve">ated by an award of damages if </w:t>
      </w:r>
      <w:r>
        <w:rPr>
          <w:rFonts w:ascii="Bookman Old Style" w:eastAsia="Arial Unicode MS" w:hAnsi="Bookman Old Style" w:cs="Arial Unicode MS"/>
          <w:sz w:val="24"/>
          <w:szCs w:val="24"/>
        </w:rPr>
        <w:t>he succeeds at the trial, and the defendant would be able to pay them, no injunction should be granted, however strong the claimant</w:t>
      </w:r>
      <w:r w:rsidR="00915038">
        <w:rPr>
          <w:rFonts w:ascii="Bookman Old Style" w:eastAsia="Arial Unicode MS" w:hAnsi="Bookman Old Style" w:cs="Arial Unicode MS"/>
          <w:sz w:val="24"/>
          <w:szCs w:val="24"/>
        </w:rPr>
        <w:t>’s</w:t>
      </w:r>
      <w:r>
        <w:rPr>
          <w:rFonts w:ascii="Bookman Old Style" w:eastAsia="Arial Unicode MS" w:hAnsi="Bookman Old Style" w:cs="Arial Unicode MS"/>
          <w:sz w:val="24"/>
          <w:szCs w:val="24"/>
        </w:rPr>
        <w:t xml:space="preserve"> case.</w:t>
      </w:r>
    </w:p>
    <w:p w:rsidR="00153D09" w:rsidRDefault="00153D09" w:rsidP="00153D09">
      <w:pPr>
        <w:pStyle w:val="ListParagraph"/>
        <w:numPr>
          <w:ilvl w:val="0"/>
          <w:numId w:val="16"/>
        </w:num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If the claim survives the previous head, the Court must consider whether, if an interim injunction is granted, but the defendant succeeds at the trial, the defendant would be adequately compensated in damages, which then would have to be paid by the claimant, and whether the claimant would be able to pay those damages. If such damages would be an adequate remedy and the claimant would be in a position to pay them, then the defendant’s prospects of success at the trial would be no bar to the grant of the injunction. </w:t>
      </w:r>
    </w:p>
    <w:p w:rsidR="00153D09" w:rsidRDefault="00915038" w:rsidP="00153D09">
      <w:pPr>
        <w:pStyle w:val="ListParagraph"/>
        <w:numPr>
          <w:ilvl w:val="0"/>
          <w:numId w:val="16"/>
        </w:num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If</w:t>
      </w:r>
      <w:r w:rsidR="00153D09">
        <w:rPr>
          <w:rFonts w:ascii="Bookman Old Style" w:eastAsia="Arial Unicode MS" w:hAnsi="Bookman Old Style" w:cs="Arial Unicode MS"/>
          <w:sz w:val="24"/>
          <w:szCs w:val="24"/>
        </w:rPr>
        <w:t xml:space="preserve"> there is doubt as to the adequacy of the respective remedies in damages available to either party or to both, the Court must consider the wide range of matters which go to make up the general balance of convenience. These will vary from case to case. </w:t>
      </w:r>
    </w:p>
    <w:p w:rsidR="00585B57" w:rsidRDefault="00585B57" w:rsidP="00585B57">
      <w:pPr>
        <w:pStyle w:val="ListParagraph"/>
        <w:spacing w:after="0" w:line="360" w:lineRule="auto"/>
        <w:ind w:left="1080"/>
        <w:jc w:val="both"/>
        <w:rPr>
          <w:rFonts w:ascii="Bookman Old Style" w:eastAsia="Arial Unicode MS" w:hAnsi="Bookman Old Style" w:cs="Arial Unicode MS"/>
          <w:sz w:val="24"/>
          <w:szCs w:val="24"/>
        </w:rPr>
      </w:pPr>
    </w:p>
    <w:p w:rsidR="00153D09" w:rsidRDefault="00153D09"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In the </w:t>
      </w:r>
      <w:r w:rsidRPr="001B1907">
        <w:rPr>
          <w:rFonts w:ascii="Bookman Old Style" w:eastAsia="Arial Unicode MS" w:hAnsi="Bookman Old Style" w:cs="Arial Unicode MS"/>
          <w:i/>
          <w:sz w:val="24"/>
          <w:szCs w:val="24"/>
        </w:rPr>
        <w:t>American Cynamid</w:t>
      </w:r>
      <w:r>
        <w:rPr>
          <w:rFonts w:ascii="Bookman Old Style" w:eastAsia="Arial Unicode MS" w:hAnsi="Bookman Old Style" w:cs="Arial Unicode MS"/>
          <w:sz w:val="24"/>
          <w:szCs w:val="24"/>
        </w:rPr>
        <w:t xml:space="preserve"> case, three cases were expressly mentioned. That is</w:t>
      </w:r>
      <w:r w:rsidR="00915038">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status quo, relative strength of cases, and special factors.</w:t>
      </w:r>
    </w:p>
    <w:p w:rsidR="00153D09" w:rsidRDefault="00153D09" w:rsidP="00153D09">
      <w:pPr>
        <w:spacing w:after="0" w:line="360" w:lineRule="auto"/>
        <w:jc w:val="both"/>
        <w:rPr>
          <w:rFonts w:ascii="Bookman Old Style" w:eastAsia="Arial Unicode MS" w:hAnsi="Bookman Old Style" w:cs="Arial Unicode MS"/>
          <w:sz w:val="24"/>
          <w:szCs w:val="24"/>
        </w:rPr>
      </w:pPr>
    </w:p>
    <w:p w:rsidR="00096167" w:rsidRDefault="00096167" w:rsidP="00153D09">
      <w:pPr>
        <w:spacing w:after="0" w:line="360" w:lineRule="auto"/>
        <w:jc w:val="both"/>
        <w:rPr>
          <w:rFonts w:ascii="Bookman Old Style" w:eastAsia="Arial Unicode MS" w:hAnsi="Bookman Old Style" w:cs="Arial Unicode MS"/>
          <w:sz w:val="24"/>
          <w:szCs w:val="24"/>
        </w:rPr>
      </w:pPr>
    </w:p>
    <w:p w:rsidR="00096167" w:rsidRDefault="00096167" w:rsidP="00153D09">
      <w:pPr>
        <w:spacing w:after="0" w:line="360" w:lineRule="auto"/>
        <w:jc w:val="both"/>
        <w:rPr>
          <w:rFonts w:ascii="Bookman Old Style" w:eastAsia="Arial Unicode MS" w:hAnsi="Bookman Old Style" w:cs="Arial Unicode MS"/>
          <w:sz w:val="24"/>
          <w:szCs w:val="24"/>
        </w:rPr>
      </w:pPr>
    </w:p>
    <w:p w:rsidR="00585B57" w:rsidRDefault="00585B57" w:rsidP="00153D09">
      <w:pPr>
        <w:spacing w:after="0" w:line="360" w:lineRule="auto"/>
        <w:jc w:val="both"/>
        <w:rPr>
          <w:rFonts w:ascii="Bookman Old Style" w:eastAsia="Arial Unicode MS" w:hAnsi="Bookman Old Style" w:cs="Arial Unicode MS"/>
          <w:sz w:val="24"/>
          <w:szCs w:val="24"/>
        </w:rPr>
      </w:pPr>
    </w:p>
    <w:p w:rsidR="00153D09" w:rsidRPr="00915038" w:rsidRDefault="00153D09" w:rsidP="00153D09">
      <w:pPr>
        <w:spacing w:after="0" w:line="360" w:lineRule="auto"/>
        <w:jc w:val="both"/>
        <w:rPr>
          <w:rFonts w:ascii="Bookman Old Style" w:eastAsia="Arial Unicode MS" w:hAnsi="Bookman Old Style" w:cs="Arial Unicode MS"/>
          <w:b/>
          <w:sz w:val="24"/>
          <w:szCs w:val="24"/>
        </w:rPr>
      </w:pPr>
      <w:r w:rsidRPr="00915038">
        <w:rPr>
          <w:rFonts w:ascii="Bookman Old Style" w:eastAsia="Arial Unicode MS" w:hAnsi="Bookman Old Style" w:cs="Arial Unicode MS"/>
          <w:b/>
          <w:sz w:val="24"/>
          <w:szCs w:val="24"/>
        </w:rPr>
        <w:t>STATUS QUO</w:t>
      </w:r>
    </w:p>
    <w:p w:rsidR="00915038" w:rsidRDefault="00153D09"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Where the other factors referred to above appear evenly balanced, it is advisable to maintain the status quo. Whilst it is generally accepted or acknowledged that an interim injunction is appropriate for the preservation or restoration of a particular situation pending trial; it cannot be regarded as a device by which the applicant can attain, or create new conditions favourable only to himself, and which tip the balance of the contendin</w:t>
      </w:r>
      <w:r w:rsidR="00915038">
        <w:rPr>
          <w:rFonts w:ascii="Bookman Old Style" w:eastAsia="Arial Unicode MS" w:hAnsi="Bookman Old Style" w:cs="Arial Unicode MS"/>
          <w:sz w:val="24"/>
          <w:szCs w:val="24"/>
        </w:rPr>
        <w:t xml:space="preserve">g interests in such a way that </w:t>
      </w:r>
      <w:r>
        <w:rPr>
          <w:rFonts w:ascii="Bookman Old Style" w:eastAsia="Arial Unicode MS" w:hAnsi="Bookman Old Style" w:cs="Arial Unicode MS"/>
          <w:sz w:val="24"/>
          <w:szCs w:val="24"/>
        </w:rPr>
        <w:t>he is able or more likely to influence the final outcome by bringing about an alteration to the prevailing situation which may weaken the opp</w:t>
      </w:r>
      <w:r w:rsidR="00915038">
        <w:rPr>
          <w:rFonts w:ascii="Bookman Old Style" w:eastAsia="Arial Unicode MS" w:hAnsi="Bookman Old Style" w:cs="Arial Unicode MS"/>
          <w:sz w:val="24"/>
          <w:szCs w:val="24"/>
        </w:rPr>
        <w:t xml:space="preserve">onents case and strengthen his </w:t>
      </w:r>
      <w:r>
        <w:rPr>
          <w:rFonts w:ascii="Bookman Old Style" w:eastAsia="Arial Unicode MS" w:hAnsi="Bookman Old Style" w:cs="Arial Unicode MS"/>
          <w:sz w:val="24"/>
          <w:szCs w:val="24"/>
        </w:rPr>
        <w:t>o</w:t>
      </w:r>
      <w:r w:rsidR="00915038">
        <w:rPr>
          <w:rFonts w:ascii="Bookman Old Style" w:eastAsia="Arial Unicode MS" w:hAnsi="Bookman Old Style" w:cs="Arial Unicode MS"/>
          <w:sz w:val="24"/>
          <w:szCs w:val="24"/>
        </w:rPr>
        <w:t>w</w:t>
      </w:r>
      <w:r>
        <w:rPr>
          <w:rFonts w:ascii="Bookman Old Style" w:eastAsia="Arial Unicode MS" w:hAnsi="Bookman Old Style" w:cs="Arial Unicode MS"/>
          <w:sz w:val="24"/>
          <w:szCs w:val="24"/>
        </w:rPr>
        <w:t>n.</w:t>
      </w:r>
      <w:r>
        <w:rPr>
          <w:rStyle w:val="FootnoteReference"/>
          <w:rFonts w:ascii="Bookman Old Style" w:eastAsia="Arial Unicode MS" w:hAnsi="Bookman Old Style" w:cs="Arial Unicode MS"/>
          <w:sz w:val="24"/>
          <w:szCs w:val="24"/>
        </w:rPr>
        <w:footnoteReference w:id="33"/>
      </w:r>
      <w:r>
        <w:rPr>
          <w:rFonts w:ascii="Bookman Old Style" w:eastAsia="Arial Unicode MS" w:hAnsi="Bookman Old Style" w:cs="Arial Unicode MS"/>
          <w:sz w:val="24"/>
          <w:szCs w:val="24"/>
        </w:rPr>
        <w:t xml:space="preserve"> </w:t>
      </w:r>
    </w:p>
    <w:p w:rsidR="00915038" w:rsidRDefault="00915038" w:rsidP="00153D09">
      <w:pPr>
        <w:spacing w:after="0" w:line="360" w:lineRule="auto"/>
        <w:jc w:val="both"/>
        <w:rPr>
          <w:rFonts w:ascii="Bookman Old Style" w:eastAsia="Arial Unicode MS" w:hAnsi="Bookman Old Style" w:cs="Arial Unicode MS"/>
          <w:sz w:val="24"/>
          <w:szCs w:val="24"/>
        </w:rPr>
      </w:pPr>
    </w:p>
    <w:p w:rsidR="00585B57" w:rsidRDefault="00585B57" w:rsidP="00153D09">
      <w:pPr>
        <w:spacing w:after="0" w:line="360" w:lineRule="auto"/>
        <w:jc w:val="both"/>
        <w:rPr>
          <w:rFonts w:ascii="Bookman Old Style" w:eastAsia="Arial Unicode MS" w:hAnsi="Bookman Old Style" w:cs="Arial Unicode MS"/>
          <w:sz w:val="24"/>
          <w:szCs w:val="24"/>
        </w:rPr>
      </w:pPr>
    </w:p>
    <w:p w:rsidR="00153D09" w:rsidRDefault="00153D09"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 have deliberately addressed the guidelines for the grant or refusal to grant an </w:t>
      </w:r>
      <w:r w:rsidR="00585B57">
        <w:rPr>
          <w:rFonts w:ascii="Bookman Old Style" w:eastAsia="Arial Unicode MS" w:hAnsi="Bookman Old Style" w:cs="Arial Unicode MS"/>
          <w:sz w:val="24"/>
          <w:szCs w:val="24"/>
        </w:rPr>
        <w:t>interim injunction in detail, in</w:t>
      </w:r>
      <w:r>
        <w:rPr>
          <w:rFonts w:ascii="Bookman Old Style" w:eastAsia="Arial Unicode MS" w:hAnsi="Bookman Old Style" w:cs="Arial Unicode MS"/>
          <w:sz w:val="24"/>
          <w:szCs w:val="24"/>
        </w:rPr>
        <w:t xml:space="preserve"> order to make the point that applications for interim injunction</w:t>
      </w:r>
      <w:r w:rsidR="008D1FCA">
        <w:rPr>
          <w:rFonts w:ascii="Bookman Old Style" w:eastAsia="Arial Unicode MS" w:hAnsi="Bookman Old Style" w:cs="Arial Unicode MS"/>
          <w:sz w:val="24"/>
          <w:szCs w:val="24"/>
        </w:rPr>
        <w:t>s</w:t>
      </w:r>
      <w:r>
        <w:rPr>
          <w:rFonts w:ascii="Bookman Old Style" w:eastAsia="Arial Unicode MS" w:hAnsi="Bookman Old Style" w:cs="Arial Unicode MS"/>
          <w:sz w:val="24"/>
          <w:szCs w:val="24"/>
        </w:rPr>
        <w:t xml:space="preserve"> should not be app</w:t>
      </w:r>
      <w:r w:rsidR="00915038">
        <w:rPr>
          <w:rFonts w:ascii="Bookman Old Style" w:eastAsia="Arial Unicode MS" w:hAnsi="Bookman Old Style" w:cs="Arial Unicode MS"/>
          <w:sz w:val="24"/>
          <w:szCs w:val="24"/>
        </w:rPr>
        <w:t>roached in a haphazard manner</w:t>
      </w:r>
      <w:r w:rsidR="008D1FCA">
        <w:rPr>
          <w:rFonts w:ascii="Bookman Old Style" w:eastAsia="Arial Unicode MS" w:hAnsi="Bookman Old Style" w:cs="Arial Unicode MS"/>
          <w:sz w:val="24"/>
          <w:szCs w:val="24"/>
        </w:rPr>
        <w:t>, or</w:t>
      </w:r>
      <w:r w:rsidR="00915038">
        <w:rPr>
          <w:rFonts w:ascii="Bookman Old Style" w:eastAsia="Arial Unicode MS" w:hAnsi="Bookman Old Style" w:cs="Arial Unicode MS"/>
          <w:sz w:val="24"/>
          <w:szCs w:val="24"/>
        </w:rPr>
        <w:t xml:space="preserve"> fashion. The applications</w:t>
      </w:r>
      <w:r>
        <w:rPr>
          <w:rFonts w:ascii="Bookman Old Style" w:eastAsia="Arial Unicode MS" w:hAnsi="Bookman Old Style" w:cs="Arial Unicode MS"/>
          <w:sz w:val="24"/>
          <w:szCs w:val="24"/>
        </w:rPr>
        <w:t xml:space="preserve"> must be approached, and dealt with systematically.</w:t>
      </w:r>
    </w:p>
    <w:p w:rsidR="00153D09" w:rsidRDefault="00153D09" w:rsidP="00153D09">
      <w:pPr>
        <w:spacing w:after="0" w:line="360" w:lineRule="auto"/>
        <w:jc w:val="both"/>
        <w:rPr>
          <w:rFonts w:ascii="Bookman Old Style" w:eastAsia="Arial Unicode MS" w:hAnsi="Bookman Old Style" w:cs="Arial Unicode MS"/>
          <w:sz w:val="24"/>
          <w:szCs w:val="24"/>
        </w:rPr>
      </w:pPr>
    </w:p>
    <w:p w:rsidR="00153D09" w:rsidRDefault="00153D09"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Before I leave the </w:t>
      </w:r>
      <w:r w:rsidRPr="00915038">
        <w:rPr>
          <w:rFonts w:ascii="Bookman Old Style" w:eastAsia="Arial Unicode MS" w:hAnsi="Bookman Old Style" w:cs="Arial Unicode MS"/>
          <w:i/>
          <w:sz w:val="24"/>
          <w:szCs w:val="24"/>
        </w:rPr>
        <w:t>American Cynamid</w:t>
      </w:r>
      <w:r>
        <w:rPr>
          <w:rFonts w:ascii="Bookman Old Style" w:eastAsia="Arial Unicode MS" w:hAnsi="Bookman Old Style" w:cs="Arial Unicode MS"/>
          <w:sz w:val="24"/>
          <w:szCs w:val="24"/>
        </w:rPr>
        <w:t xml:space="preserve"> guidelines, I would like to issue a caveat. And the caveat is that the principles established in the </w:t>
      </w:r>
      <w:r w:rsidRPr="00915038">
        <w:rPr>
          <w:rFonts w:ascii="Bookman Old Style" w:eastAsia="Arial Unicode MS" w:hAnsi="Bookman Old Style" w:cs="Arial Unicode MS"/>
          <w:i/>
          <w:sz w:val="24"/>
          <w:szCs w:val="24"/>
        </w:rPr>
        <w:t>American Cynamid</w:t>
      </w:r>
      <w:r>
        <w:rPr>
          <w:rFonts w:ascii="Bookman Old Style" w:eastAsia="Arial Unicode MS" w:hAnsi="Bookman Old Style" w:cs="Arial Unicode MS"/>
          <w:sz w:val="24"/>
          <w:szCs w:val="24"/>
        </w:rPr>
        <w:t xml:space="preserve"> case are of general application</w:t>
      </w:r>
      <w:r w:rsidR="00915038">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and must not be treat</w:t>
      </w:r>
      <w:r w:rsidR="00915038">
        <w:rPr>
          <w:rFonts w:ascii="Bookman Old Style" w:eastAsia="Arial Unicode MS" w:hAnsi="Bookman Old Style" w:cs="Arial Unicode MS"/>
          <w:sz w:val="24"/>
          <w:szCs w:val="24"/>
        </w:rPr>
        <w:t xml:space="preserve">ed as a statutory definition. In this regard, I </w:t>
      </w:r>
      <w:r>
        <w:rPr>
          <w:rFonts w:ascii="Bookman Old Style" w:eastAsia="Arial Unicode MS" w:hAnsi="Bookman Old Style" w:cs="Arial Unicode MS"/>
          <w:sz w:val="24"/>
          <w:szCs w:val="24"/>
        </w:rPr>
        <w:t xml:space="preserve">cannot do better than quote Kerr L. J. In </w:t>
      </w:r>
      <w:r w:rsidRPr="00783146">
        <w:rPr>
          <w:rFonts w:ascii="Bookman Old Style" w:eastAsia="Arial Unicode MS" w:hAnsi="Bookman Old Style" w:cs="Arial Unicode MS"/>
          <w:i/>
          <w:sz w:val="24"/>
          <w:szCs w:val="24"/>
        </w:rPr>
        <w:t>Cambridge Nutrition Limited v BBC</w:t>
      </w:r>
      <w:r w:rsidR="008D1FCA">
        <w:rPr>
          <w:rFonts w:ascii="Bookman Old Style" w:eastAsia="Arial Unicode MS" w:hAnsi="Bookman Old Style" w:cs="Arial Unicode MS"/>
          <w:i/>
          <w:sz w:val="24"/>
          <w:szCs w:val="24"/>
        </w:rPr>
        <w:t>, as follows</w:t>
      </w:r>
      <w:r w:rsidR="00C6162E">
        <w:rPr>
          <w:rFonts w:ascii="Bookman Old Style" w:eastAsia="Arial Unicode MS" w:hAnsi="Bookman Old Style" w:cs="Arial Unicode MS"/>
          <w:i/>
          <w:sz w:val="24"/>
          <w:szCs w:val="24"/>
        </w:rPr>
        <w:t>:</w:t>
      </w:r>
      <w:r>
        <w:rPr>
          <w:rStyle w:val="FootnoteReference"/>
          <w:rFonts w:ascii="Bookman Old Style" w:eastAsia="Arial Unicode MS" w:hAnsi="Bookman Old Style" w:cs="Arial Unicode MS"/>
          <w:sz w:val="24"/>
          <w:szCs w:val="24"/>
        </w:rPr>
        <w:footnoteReference w:id="34"/>
      </w:r>
      <w:r>
        <w:rPr>
          <w:rFonts w:ascii="Bookman Old Style" w:eastAsia="Arial Unicode MS" w:hAnsi="Bookman Old Style" w:cs="Arial Unicode MS"/>
          <w:sz w:val="24"/>
          <w:szCs w:val="24"/>
        </w:rPr>
        <w:t xml:space="preserve"> </w:t>
      </w:r>
    </w:p>
    <w:p w:rsidR="00153D09" w:rsidRDefault="00153D09" w:rsidP="00153D09">
      <w:pPr>
        <w:spacing w:after="0" w:line="360" w:lineRule="auto"/>
        <w:jc w:val="both"/>
        <w:rPr>
          <w:rFonts w:ascii="Bookman Old Style" w:eastAsia="Arial Unicode MS" w:hAnsi="Bookman Old Style" w:cs="Arial Unicode MS"/>
          <w:sz w:val="24"/>
          <w:szCs w:val="24"/>
        </w:rPr>
      </w:pPr>
    </w:p>
    <w:p w:rsidR="00153D09" w:rsidRPr="00AE522B" w:rsidRDefault="00153D09" w:rsidP="00153D09">
      <w:pPr>
        <w:spacing w:after="0" w:line="240" w:lineRule="auto"/>
        <w:jc w:val="both"/>
        <w:rPr>
          <w:rFonts w:ascii="Bookman Old Style" w:eastAsia="Arial Unicode MS" w:hAnsi="Bookman Old Style" w:cs="Arial Unicode MS"/>
          <w:i/>
          <w:sz w:val="24"/>
          <w:szCs w:val="24"/>
        </w:rPr>
      </w:pPr>
      <w:r>
        <w:rPr>
          <w:rFonts w:ascii="Bookman Old Style" w:eastAsia="Arial Unicode MS" w:hAnsi="Bookman Old Style" w:cs="Arial Unicode MS"/>
          <w:sz w:val="24"/>
          <w:szCs w:val="24"/>
        </w:rPr>
        <w:lastRenderedPageBreak/>
        <w:t>“</w:t>
      </w:r>
      <w:r w:rsidRPr="00AE522B">
        <w:rPr>
          <w:rFonts w:ascii="Bookman Old Style" w:eastAsia="Arial Unicode MS" w:hAnsi="Bookman Old Style" w:cs="Arial Unicode MS"/>
          <w:i/>
          <w:sz w:val="24"/>
          <w:szCs w:val="24"/>
        </w:rPr>
        <w:t>It is important to bear in mind that the American Cynamid case contains no principle of universal application. The only such principle is the statutory power of the Court to grant injunctions when it is just and convenient to do so. The American cynamid case is no more than a set of useful guidelines which apply in many cases. It must never be used as a rule of thum</w:t>
      </w:r>
      <w:r w:rsidR="008D1FCA">
        <w:rPr>
          <w:rFonts w:ascii="Bookman Old Style" w:eastAsia="Arial Unicode MS" w:hAnsi="Bookman Old Style" w:cs="Arial Unicode MS"/>
          <w:i/>
          <w:sz w:val="24"/>
          <w:szCs w:val="24"/>
        </w:rPr>
        <w:t>b</w:t>
      </w:r>
      <w:r w:rsidRPr="00AE522B">
        <w:rPr>
          <w:rFonts w:ascii="Bookman Old Style" w:eastAsia="Arial Unicode MS" w:hAnsi="Bookman Old Style" w:cs="Arial Unicode MS"/>
          <w:i/>
          <w:sz w:val="24"/>
          <w:szCs w:val="24"/>
        </w:rPr>
        <w:t>, let alone, as a straight jacket. The American cynamid ca</w:t>
      </w:r>
      <w:r w:rsidR="008D1FCA">
        <w:rPr>
          <w:rFonts w:ascii="Bookman Old Style" w:eastAsia="Arial Unicode MS" w:hAnsi="Bookman Old Style" w:cs="Arial Unicode MS"/>
          <w:i/>
          <w:sz w:val="24"/>
          <w:szCs w:val="24"/>
        </w:rPr>
        <w:t>se provides an authoritative, mo</w:t>
      </w:r>
      <w:r w:rsidRPr="00AE522B">
        <w:rPr>
          <w:rFonts w:ascii="Bookman Old Style" w:eastAsia="Arial Unicode MS" w:hAnsi="Bookman Old Style" w:cs="Arial Unicode MS"/>
          <w:i/>
          <w:sz w:val="24"/>
          <w:szCs w:val="24"/>
        </w:rPr>
        <w:t xml:space="preserve">st helpful approach to cases where the function of the Court in relation to the grant or refusal of interim injunction is to hold the balance as justly as possible in situations where the substantial issues between the parties can only be resolved by a trial.”  </w:t>
      </w:r>
    </w:p>
    <w:p w:rsidR="00153D09" w:rsidRDefault="00153D09" w:rsidP="00153D09">
      <w:pPr>
        <w:spacing w:after="0" w:line="360" w:lineRule="auto"/>
        <w:jc w:val="both"/>
        <w:rPr>
          <w:rFonts w:ascii="Bookman Old Style" w:eastAsia="Arial Unicode MS" w:hAnsi="Bookman Old Style" w:cs="Arial Unicode MS"/>
          <w:sz w:val="24"/>
          <w:szCs w:val="24"/>
        </w:rPr>
      </w:pPr>
    </w:p>
    <w:p w:rsidR="00153D09" w:rsidRDefault="00153D09" w:rsidP="00153D09">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It is possible </w:t>
      </w:r>
      <w:r w:rsidR="00915038">
        <w:rPr>
          <w:rFonts w:ascii="Bookman Old Style" w:eastAsia="Arial Unicode MS" w:hAnsi="Bookman Old Style" w:cs="Arial Unicode MS"/>
          <w:sz w:val="24"/>
          <w:szCs w:val="24"/>
        </w:rPr>
        <w:t xml:space="preserve">therefore </w:t>
      </w:r>
      <w:r>
        <w:rPr>
          <w:rFonts w:ascii="Bookman Old Style" w:eastAsia="Arial Unicode MS" w:hAnsi="Bookman Old Style" w:cs="Arial Unicode MS"/>
          <w:sz w:val="24"/>
          <w:szCs w:val="24"/>
        </w:rPr>
        <w:t>to grant or refuse</w:t>
      </w:r>
      <w:r w:rsidR="00915038">
        <w:rPr>
          <w:rFonts w:ascii="Bookman Old Style" w:eastAsia="Arial Unicode MS" w:hAnsi="Bookman Old Style" w:cs="Arial Unicode MS"/>
          <w:sz w:val="24"/>
          <w:szCs w:val="24"/>
        </w:rPr>
        <w:t xml:space="preserve"> to grant </w:t>
      </w:r>
      <w:r>
        <w:rPr>
          <w:rFonts w:ascii="Bookman Old Style" w:eastAsia="Arial Unicode MS" w:hAnsi="Bookman Old Style" w:cs="Arial Unicode MS"/>
          <w:sz w:val="24"/>
          <w:szCs w:val="24"/>
        </w:rPr>
        <w:t xml:space="preserve"> an interim injunction without applying the </w:t>
      </w:r>
      <w:r w:rsidRPr="00AE522B">
        <w:rPr>
          <w:rFonts w:ascii="Bookman Old Style" w:eastAsia="Arial Unicode MS" w:hAnsi="Bookman Old Style" w:cs="Arial Unicode MS"/>
          <w:i/>
          <w:sz w:val="24"/>
          <w:szCs w:val="24"/>
        </w:rPr>
        <w:t>American Cynamid</w:t>
      </w:r>
      <w:r>
        <w:rPr>
          <w:rFonts w:ascii="Bookman Old Style" w:eastAsia="Arial Unicode MS" w:hAnsi="Bookman Old Style" w:cs="Arial Unicode MS"/>
          <w:sz w:val="24"/>
          <w:szCs w:val="24"/>
        </w:rPr>
        <w:t xml:space="preserve"> guidelines, if the action is concerned with</w:t>
      </w:r>
      <w:r w:rsidR="00915038">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say, a simple question of construction of a statute, a document</w:t>
      </w:r>
      <w:r w:rsidR="008D1FCA">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or a point of law. In any event, the </w:t>
      </w:r>
      <w:r w:rsidRPr="00915038">
        <w:rPr>
          <w:rFonts w:ascii="Bookman Old Style" w:eastAsia="Arial Unicode MS" w:hAnsi="Bookman Old Style" w:cs="Arial Unicode MS"/>
          <w:i/>
          <w:sz w:val="24"/>
          <w:szCs w:val="24"/>
        </w:rPr>
        <w:t>American Cynamid</w:t>
      </w:r>
      <w:r w:rsidR="008D1FCA">
        <w:rPr>
          <w:rFonts w:ascii="Bookman Old Style" w:eastAsia="Arial Unicode MS" w:hAnsi="Bookman Old Style" w:cs="Arial Unicode MS"/>
          <w:sz w:val="24"/>
          <w:szCs w:val="24"/>
        </w:rPr>
        <w:t xml:space="preserve"> guidelines are primarily</w:t>
      </w:r>
      <w:r>
        <w:rPr>
          <w:rFonts w:ascii="Bookman Old Style" w:eastAsia="Arial Unicode MS" w:hAnsi="Bookman Old Style" w:cs="Arial Unicode MS"/>
          <w:sz w:val="24"/>
          <w:szCs w:val="24"/>
        </w:rPr>
        <w:t xml:space="preserve"> directed to applications where facts are in dispute.</w:t>
      </w:r>
      <w:r w:rsidR="00494BD4">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Further</w:t>
      </w:r>
      <w:r w:rsidR="008D1FCA">
        <w:rPr>
          <w:rFonts w:ascii="Bookman Old Style" w:eastAsia="Arial Unicode MS" w:hAnsi="Bookman Old Style" w:cs="Arial Unicode MS"/>
          <w:sz w:val="24"/>
          <w:szCs w:val="24"/>
        </w:rPr>
        <w:t>more</w:t>
      </w:r>
      <w:r>
        <w:rPr>
          <w:rFonts w:ascii="Bookman Old Style" w:eastAsia="Arial Unicode MS" w:hAnsi="Bookman Old Style" w:cs="Arial Unicode MS"/>
          <w:sz w:val="24"/>
          <w:szCs w:val="24"/>
        </w:rPr>
        <w:t>, where the issues are of law, and do not require lengthy arguments, it is also possible to resolve, and conclude those disputes at the interim stage. To this end</w:t>
      </w:r>
      <w:r w:rsidR="00C6162E">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the </w:t>
      </w:r>
      <w:r w:rsidR="00915038">
        <w:rPr>
          <w:rFonts w:ascii="Bookman Old Style" w:eastAsia="Arial Unicode MS" w:hAnsi="Bookman Old Style" w:cs="Arial Unicode MS"/>
          <w:sz w:val="24"/>
          <w:szCs w:val="24"/>
        </w:rPr>
        <w:t xml:space="preserve">observation of Lord Denning in </w:t>
      </w:r>
      <w:r w:rsidR="00915038" w:rsidRPr="00770DDF">
        <w:rPr>
          <w:rFonts w:ascii="Bookman Old Style" w:eastAsia="Arial Unicode MS" w:hAnsi="Bookman Old Style" w:cs="Arial Unicode MS"/>
          <w:i/>
          <w:sz w:val="24"/>
          <w:szCs w:val="24"/>
        </w:rPr>
        <w:t>F</w:t>
      </w:r>
      <w:r w:rsidRPr="00770DDF">
        <w:rPr>
          <w:rFonts w:ascii="Bookman Old Style" w:eastAsia="Arial Unicode MS" w:hAnsi="Bookman Old Style" w:cs="Arial Unicode MS"/>
          <w:i/>
          <w:sz w:val="24"/>
          <w:szCs w:val="24"/>
        </w:rPr>
        <w:t>ellowes and Son v Fisher</w:t>
      </w:r>
      <w:r w:rsidR="008D1FCA">
        <w:rPr>
          <w:rStyle w:val="FootnoteReference"/>
          <w:rFonts w:ascii="Bookman Old Style" w:eastAsia="Arial Unicode MS" w:hAnsi="Bookman Old Style" w:cs="Arial Unicode MS"/>
          <w:i/>
          <w:sz w:val="24"/>
          <w:szCs w:val="24"/>
        </w:rPr>
        <w:footnoteReference w:id="35"/>
      </w:r>
      <w:r w:rsidR="00770DDF">
        <w:rPr>
          <w:rFonts w:ascii="Bookman Old Style" w:eastAsia="Arial Unicode MS" w:hAnsi="Bookman Old Style" w:cs="Arial Unicode MS"/>
          <w:sz w:val="24"/>
          <w:szCs w:val="24"/>
        </w:rPr>
        <w:t xml:space="preserve"> </w:t>
      </w:r>
      <w:r w:rsidR="008D1FCA">
        <w:rPr>
          <w:rFonts w:ascii="Bookman Old Style" w:eastAsia="Arial Unicode MS" w:hAnsi="Bookman Old Style" w:cs="Arial Unicode MS"/>
          <w:sz w:val="24"/>
          <w:szCs w:val="24"/>
        </w:rPr>
        <w:t xml:space="preserve">is </w:t>
      </w:r>
      <w:r w:rsidR="00770DDF">
        <w:rPr>
          <w:rFonts w:ascii="Bookman Old Style" w:eastAsia="Arial Unicode MS" w:hAnsi="Bookman Old Style" w:cs="Arial Unicode MS"/>
          <w:sz w:val="24"/>
          <w:szCs w:val="24"/>
        </w:rPr>
        <w:t>instructive:</w:t>
      </w:r>
      <w:r>
        <w:rPr>
          <w:rFonts w:ascii="Bookman Old Style" w:eastAsia="Arial Unicode MS" w:hAnsi="Bookman Old Style" w:cs="Arial Unicode MS"/>
          <w:sz w:val="24"/>
          <w:szCs w:val="24"/>
        </w:rPr>
        <w:t xml:space="preserve"> </w:t>
      </w:r>
    </w:p>
    <w:p w:rsidR="00153D09" w:rsidRDefault="00153D09" w:rsidP="00153D09">
      <w:pPr>
        <w:spacing w:after="0" w:line="360" w:lineRule="auto"/>
        <w:jc w:val="both"/>
        <w:rPr>
          <w:rFonts w:ascii="Bookman Old Style" w:eastAsia="Arial Unicode MS" w:hAnsi="Bookman Old Style" w:cs="Arial Unicode MS"/>
          <w:sz w:val="24"/>
          <w:szCs w:val="24"/>
        </w:rPr>
      </w:pPr>
    </w:p>
    <w:p w:rsidR="00153D09" w:rsidRPr="00D263E1" w:rsidRDefault="00153D09" w:rsidP="00153D09">
      <w:pPr>
        <w:spacing w:after="0" w:line="240" w:lineRule="auto"/>
        <w:jc w:val="both"/>
        <w:rPr>
          <w:rFonts w:ascii="Bookman Old Style" w:eastAsia="Arial Unicode MS" w:hAnsi="Bookman Old Style" w:cs="Arial Unicode MS"/>
          <w:i/>
          <w:sz w:val="24"/>
          <w:szCs w:val="24"/>
        </w:rPr>
      </w:pPr>
      <w:r w:rsidRPr="00D263E1">
        <w:rPr>
          <w:rFonts w:ascii="Bookman Old Style" w:eastAsia="Arial Unicode MS" w:hAnsi="Bookman Old Style" w:cs="Arial Unicode MS"/>
          <w:i/>
          <w:sz w:val="24"/>
          <w:szCs w:val="24"/>
        </w:rPr>
        <w:t>“There are cases where it is urgent and imperative to come to a decision. The affidavits may be conflicting, the questions of law may be difficult and call for detailed consideration. Nevertheless the need for immediate decision is such that the Court has to make an estimate of the relative strength of each party’s case, if a plaintiff makes out a prima facie case, the Court may grant an injunction. If it is a weak case, or it may be met by strong defence, the Court may refuse the injunction. Sometimes it means that the Court v</w:t>
      </w:r>
      <w:r w:rsidR="00770DDF">
        <w:rPr>
          <w:rFonts w:ascii="Bookman Old Style" w:eastAsia="Arial Unicode MS" w:hAnsi="Bookman Old Style" w:cs="Arial Unicode MS"/>
          <w:i/>
          <w:sz w:val="24"/>
          <w:szCs w:val="24"/>
        </w:rPr>
        <w:t>irtually decides the case at that</w:t>
      </w:r>
      <w:r w:rsidRPr="00D263E1">
        <w:rPr>
          <w:rFonts w:ascii="Bookman Old Style" w:eastAsia="Arial Unicode MS" w:hAnsi="Bookman Old Style" w:cs="Arial Unicode MS"/>
          <w:i/>
          <w:sz w:val="24"/>
          <w:szCs w:val="24"/>
        </w:rPr>
        <w:t xml:space="preserve"> stage. At other times it gives the parties such good guidance that the case is settled. At any rate, 99 cas</w:t>
      </w:r>
      <w:r w:rsidR="00C6162E">
        <w:rPr>
          <w:rFonts w:ascii="Bookman Old Style" w:eastAsia="Arial Unicode MS" w:hAnsi="Bookman Old Style" w:cs="Arial Unicode MS"/>
          <w:i/>
          <w:sz w:val="24"/>
          <w:szCs w:val="24"/>
        </w:rPr>
        <w:t xml:space="preserve">es out of 100, the matter goes </w:t>
      </w:r>
      <w:r>
        <w:rPr>
          <w:rFonts w:ascii="Bookman Old Style" w:eastAsia="Arial Unicode MS" w:hAnsi="Bookman Old Style" w:cs="Arial Unicode MS"/>
          <w:i/>
          <w:sz w:val="24"/>
          <w:szCs w:val="24"/>
        </w:rPr>
        <w:t>n</w:t>
      </w:r>
      <w:r w:rsidR="00C6162E">
        <w:rPr>
          <w:rFonts w:ascii="Bookman Old Style" w:eastAsia="Arial Unicode MS" w:hAnsi="Bookman Old Style" w:cs="Arial Unicode MS"/>
          <w:i/>
          <w:sz w:val="24"/>
          <w:szCs w:val="24"/>
        </w:rPr>
        <w:t>o</w:t>
      </w:r>
      <w:r w:rsidRPr="00D263E1">
        <w:rPr>
          <w:rFonts w:ascii="Bookman Old Style" w:eastAsia="Arial Unicode MS" w:hAnsi="Bookman Old Style" w:cs="Arial Unicode MS"/>
          <w:i/>
          <w:sz w:val="24"/>
          <w:szCs w:val="24"/>
        </w:rPr>
        <w:t xml:space="preserve"> further.”</w:t>
      </w:r>
    </w:p>
    <w:p w:rsidR="00153D09" w:rsidRDefault="00153D09" w:rsidP="00153D09">
      <w:pPr>
        <w:spacing w:after="0" w:line="360" w:lineRule="auto"/>
        <w:jc w:val="both"/>
        <w:rPr>
          <w:rFonts w:ascii="Bookman Old Style" w:eastAsia="Arial Unicode MS" w:hAnsi="Bookman Old Style" w:cs="Arial Unicode MS"/>
          <w:sz w:val="24"/>
          <w:szCs w:val="24"/>
        </w:rPr>
      </w:pPr>
    </w:p>
    <w:p w:rsidR="00153D09" w:rsidRPr="00D263E1" w:rsidRDefault="00153D09" w:rsidP="00153D09">
      <w:pPr>
        <w:spacing w:after="0" w:line="360" w:lineRule="auto"/>
        <w:jc w:val="both"/>
        <w:rPr>
          <w:rFonts w:ascii="Bookman Old Style" w:eastAsia="Arial Unicode MS" w:hAnsi="Bookman Old Style" w:cs="Arial Unicode MS"/>
          <w:b/>
          <w:sz w:val="24"/>
          <w:szCs w:val="24"/>
        </w:rPr>
      </w:pPr>
      <w:r w:rsidRPr="00D263E1">
        <w:rPr>
          <w:rFonts w:ascii="Bookman Old Style" w:eastAsia="Arial Unicode MS" w:hAnsi="Bookman Old Style" w:cs="Arial Unicode MS"/>
          <w:b/>
          <w:sz w:val="24"/>
          <w:szCs w:val="24"/>
        </w:rPr>
        <w:t>DEFAMATION CASES</w:t>
      </w:r>
    </w:p>
    <w:p w:rsidR="00153D09" w:rsidRDefault="00153D09" w:rsidP="00494BD4">
      <w:pPr>
        <w:spacing w:after="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 have already stated that the principles governing the exercise of the discretion to grant, or refuse interim injunctions differ according to the nature, and the circumstances of the interim injunction sought. The jurisdiction to grant interim injunction in the field of defamation, and malicious falsehood arises </w:t>
      </w:r>
      <w:r>
        <w:rPr>
          <w:rFonts w:ascii="Bookman Old Style" w:eastAsia="Arial Unicode MS" w:hAnsi="Bookman Old Style" w:cs="Arial Unicode MS"/>
          <w:sz w:val="24"/>
          <w:szCs w:val="24"/>
        </w:rPr>
        <w:lastRenderedPageBreak/>
        <w:t>where there has been, or there is</w:t>
      </w:r>
      <w:r w:rsidR="00770DDF">
        <w:rPr>
          <w:rFonts w:ascii="Bookman Old Style" w:eastAsia="Arial Unicode MS" w:hAnsi="Bookman Old Style" w:cs="Arial Unicode MS"/>
          <w:sz w:val="24"/>
          <w:szCs w:val="24"/>
        </w:rPr>
        <w:t xml:space="preserve"> a threatened</w:t>
      </w:r>
      <w:r>
        <w:rPr>
          <w:rFonts w:ascii="Bookman Old Style" w:eastAsia="Arial Unicode MS" w:hAnsi="Bookman Old Style" w:cs="Arial Unicode MS"/>
          <w:sz w:val="24"/>
          <w:szCs w:val="24"/>
        </w:rPr>
        <w:t xml:space="preserve"> publication of a defamatory statement, or a false statement which would give rise to a claim for malicious falsehood.</w:t>
      </w:r>
      <w:r>
        <w:rPr>
          <w:rStyle w:val="FootnoteReference"/>
          <w:rFonts w:ascii="Bookman Old Style" w:eastAsia="Arial Unicode MS" w:hAnsi="Bookman Old Style" w:cs="Arial Unicode MS"/>
          <w:sz w:val="24"/>
          <w:szCs w:val="24"/>
        </w:rPr>
        <w:footnoteReference w:id="36"/>
      </w:r>
      <w:r>
        <w:rPr>
          <w:rFonts w:ascii="Bookman Old Style" w:eastAsia="Arial Unicode MS" w:hAnsi="Bookman Old Style" w:cs="Arial Unicode MS"/>
          <w:sz w:val="24"/>
          <w:szCs w:val="24"/>
        </w:rPr>
        <w:t xml:space="preserve"> The injunction would restrain the threatened or repeated publication of defamatory statements about the claimant.</w:t>
      </w:r>
      <w:r>
        <w:rPr>
          <w:rStyle w:val="FootnoteReference"/>
          <w:rFonts w:ascii="Bookman Old Style" w:eastAsia="Arial Unicode MS" w:hAnsi="Bookman Old Style" w:cs="Arial Unicode MS"/>
          <w:sz w:val="24"/>
          <w:szCs w:val="24"/>
        </w:rPr>
        <w:footnoteReference w:id="37"/>
      </w:r>
      <w:r>
        <w:rPr>
          <w:rFonts w:ascii="Bookman Old Style" w:eastAsia="Arial Unicode MS" w:hAnsi="Bookman Old Style" w:cs="Arial Unicode MS"/>
          <w:sz w:val="24"/>
          <w:szCs w:val="24"/>
        </w:rPr>
        <w:t xml:space="preserve"> The jurisdiction to grant interim injunctions to restrain publications of defamatory statements is said to be of a delicate nature, which ought only to be exercised in the clearest cases. This is what Lord Esher M.R. </w:t>
      </w:r>
      <w:r w:rsidR="00770DDF">
        <w:rPr>
          <w:rFonts w:ascii="Bookman Old Style" w:eastAsia="Arial Unicode MS" w:hAnsi="Bookman Old Style" w:cs="Arial Unicode MS"/>
          <w:sz w:val="24"/>
          <w:szCs w:val="24"/>
        </w:rPr>
        <w:t xml:space="preserve">said </w:t>
      </w:r>
      <w:r>
        <w:rPr>
          <w:rFonts w:ascii="Bookman Old Style" w:eastAsia="Arial Unicode MS" w:hAnsi="Bookman Old Style" w:cs="Arial Unicode MS"/>
          <w:sz w:val="24"/>
          <w:szCs w:val="24"/>
        </w:rPr>
        <w:t>in Coulson v Coulson:</w:t>
      </w:r>
      <w:r>
        <w:rPr>
          <w:rStyle w:val="FootnoteReference"/>
          <w:rFonts w:ascii="Bookman Old Style" w:eastAsia="Arial Unicode MS" w:hAnsi="Bookman Old Style" w:cs="Arial Unicode MS"/>
          <w:sz w:val="24"/>
          <w:szCs w:val="24"/>
        </w:rPr>
        <w:footnoteReference w:id="38"/>
      </w:r>
      <w:r>
        <w:rPr>
          <w:rFonts w:ascii="Bookman Old Style" w:eastAsia="Arial Unicode MS" w:hAnsi="Bookman Old Style" w:cs="Arial Unicode MS"/>
          <w:sz w:val="24"/>
          <w:szCs w:val="24"/>
        </w:rPr>
        <w:t xml:space="preserve"> </w:t>
      </w:r>
    </w:p>
    <w:p w:rsidR="00153D09" w:rsidRPr="00910779" w:rsidRDefault="00153D09" w:rsidP="00910779">
      <w:pPr>
        <w:spacing w:before="240" w:line="240" w:lineRule="auto"/>
        <w:jc w:val="both"/>
        <w:rPr>
          <w:rFonts w:ascii="Bookman Old Style" w:eastAsia="Arial Unicode MS" w:hAnsi="Bookman Old Style" w:cs="Arial Unicode MS"/>
          <w:i/>
          <w:sz w:val="24"/>
          <w:szCs w:val="24"/>
        </w:rPr>
      </w:pPr>
      <w:r w:rsidRPr="003260F8">
        <w:rPr>
          <w:rFonts w:ascii="Bookman Old Style" w:eastAsia="Arial Unicode MS" w:hAnsi="Bookman Old Style" w:cs="Arial Unicode MS"/>
          <w:i/>
          <w:sz w:val="24"/>
          <w:szCs w:val="24"/>
        </w:rPr>
        <w:t>“It could not be denied that the Court had jurisdiction to grant an interim injunction before trial. It was however a most delicate jurisdiction to exercise because though Fox’s Act only applied to indictments and information for</w:t>
      </w:r>
      <w:r w:rsidR="003260F8" w:rsidRPr="003260F8">
        <w:rPr>
          <w:rFonts w:ascii="Bookman Old Style" w:eastAsia="Arial Unicode MS" w:hAnsi="Bookman Old Style" w:cs="Arial Unicode MS"/>
          <w:i/>
          <w:sz w:val="24"/>
          <w:szCs w:val="24"/>
        </w:rPr>
        <w:t xml:space="preserve"> libel</w:t>
      </w:r>
      <w:r w:rsidR="008D1FCA">
        <w:rPr>
          <w:rFonts w:ascii="Bookman Old Style" w:eastAsia="Arial Unicode MS" w:hAnsi="Bookman Old Style" w:cs="Arial Unicode MS"/>
          <w:i/>
          <w:sz w:val="24"/>
          <w:szCs w:val="24"/>
        </w:rPr>
        <w:t>,</w:t>
      </w:r>
      <w:r w:rsidR="003260F8" w:rsidRPr="003260F8">
        <w:rPr>
          <w:rFonts w:ascii="Bookman Old Style" w:eastAsia="Arial Unicode MS" w:hAnsi="Bookman Old Style" w:cs="Arial Unicode MS"/>
          <w:i/>
          <w:sz w:val="24"/>
          <w:szCs w:val="24"/>
        </w:rPr>
        <w:t xml:space="preserve"> the practice under that A</w:t>
      </w:r>
      <w:r w:rsidRPr="003260F8">
        <w:rPr>
          <w:rFonts w:ascii="Bookman Old Style" w:eastAsia="Arial Unicode MS" w:hAnsi="Bookman Old Style" w:cs="Arial Unicode MS"/>
          <w:i/>
          <w:sz w:val="24"/>
          <w:szCs w:val="24"/>
        </w:rPr>
        <w:t>ct had been followed in civil actions for libe</w:t>
      </w:r>
      <w:r w:rsidR="003260F8" w:rsidRPr="003260F8">
        <w:rPr>
          <w:rFonts w:ascii="Bookman Old Style" w:eastAsia="Arial Unicode MS" w:hAnsi="Bookman Old Style" w:cs="Arial Unicode MS"/>
          <w:i/>
          <w:sz w:val="24"/>
          <w:szCs w:val="24"/>
        </w:rPr>
        <w:t xml:space="preserve">l, that the question of libel </w:t>
      </w:r>
      <w:r w:rsidR="003260F8">
        <w:rPr>
          <w:rFonts w:ascii="Bookman Old Style" w:eastAsia="Arial Unicode MS" w:hAnsi="Bookman Old Style" w:cs="Arial Unicode MS"/>
          <w:i/>
          <w:sz w:val="24"/>
          <w:szCs w:val="24"/>
        </w:rPr>
        <w:t>or</w:t>
      </w:r>
      <w:r w:rsidRPr="003260F8">
        <w:rPr>
          <w:rFonts w:ascii="Bookman Old Style" w:eastAsia="Arial Unicode MS" w:hAnsi="Bookman Old Style" w:cs="Arial Unicode MS"/>
          <w:i/>
          <w:sz w:val="24"/>
          <w:szCs w:val="24"/>
        </w:rPr>
        <w:t xml:space="preserve"> no libel was for the jury. It was for the jury, and not for the Court to construe the document and to say whether it was libel, or not. To</w:t>
      </w:r>
      <w:r w:rsidR="008D1FCA">
        <w:rPr>
          <w:rFonts w:ascii="Bookman Old Style" w:eastAsia="Arial Unicode MS" w:hAnsi="Bookman Old Style" w:cs="Arial Unicode MS"/>
          <w:i/>
          <w:sz w:val="24"/>
          <w:szCs w:val="24"/>
        </w:rPr>
        <w:t xml:space="preserve"> justify the Court in granting a</w:t>
      </w:r>
      <w:r w:rsidRPr="003260F8">
        <w:rPr>
          <w:rFonts w:ascii="Bookman Old Style" w:eastAsia="Arial Unicode MS" w:hAnsi="Bookman Old Style" w:cs="Arial Unicode MS"/>
          <w:i/>
          <w:sz w:val="24"/>
          <w:szCs w:val="24"/>
        </w:rPr>
        <w:t>n interim injunction</w:t>
      </w:r>
      <w:r w:rsidR="008D1FCA">
        <w:rPr>
          <w:rFonts w:ascii="Bookman Old Style" w:eastAsia="Arial Unicode MS" w:hAnsi="Bookman Old Style" w:cs="Arial Unicode MS"/>
          <w:i/>
          <w:sz w:val="24"/>
          <w:szCs w:val="24"/>
        </w:rPr>
        <w:t>,</w:t>
      </w:r>
      <w:r w:rsidRPr="003260F8">
        <w:rPr>
          <w:rFonts w:ascii="Bookman Old Style" w:eastAsia="Arial Unicode MS" w:hAnsi="Bookman Old Style" w:cs="Arial Unicode MS"/>
          <w:i/>
          <w:sz w:val="24"/>
          <w:szCs w:val="24"/>
        </w:rPr>
        <w:t xml:space="preserve"> it must come to a decision upon the question of libel or no libel before the jury decided whether it was libel or not. Therefore</w:t>
      </w:r>
      <w:r w:rsidR="008D1FCA">
        <w:rPr>
          <w:rFonts w:ascii="Bookman Old Style" w:eastAsia="Arial Unicode MS" w:hAnsi="Bookman Old Style" w:cs="Arial Unicode MS"/>
          <w:i/>
          <w:sz w:val="24"/>
          <w:szCs w:val="24"/>
        </w:rPr>
        <w:t>,</w:t>
      </w:r>
      <w:r w:rsidRPr="003260F8">
        <w:rPr>
          <w:rFonts w:ascii="Bookman Old Style" w:eastAsia="Arial Unicode MS" w:hAnsi="Bookman Old Style" w:cs="Arial Unicode MS"/>
          <w:i/>
          <w:sz w:val="24"/>
          <w:szCs w:val="24"/>
        </w:rPr>
        <w:t xml:space="preserve"> the jurisdiction was of a delicate nature. It ought only to be exercised in the clearest cases, where any jury would say that the matter complained of was libellous, and where if the jury did not so find, the Court would set aside the verdict as unreasonable. The Court must be satisfied in all probability the alleged libel was untrue and if written on a privileged occasion that there was malice on the part of the defendant. It followed from those three rules that the Court could only on the rarest occasion exercise the jurisdiction</w:t>
      </w:r>
      <w:r w:rsidR="00C6162E">
        <w:rPr>
          <w:rFonts w:ascii="Bookman Old Style" w:eastAsia="Arial Unicode MS" w:hAnsi="Bookman Old Style" w:cs="Arial Unicode MS"/>
          <w:i/>
          <w:sz w:val="24"/>
          <w:szCs w:val="24"/>
        </w:rPr>
        <w:t>.</w:t>
      </w:r>
      <w:r w:rsidRPr="003260F8">
        <w:rPr>
          <w:rFonts w:ascii="Bookman Old Style" w:eastAsia="Arial Unicode MS" w:hAnsi="Bookman Old Style" w:cs="Arial Unicode MS"/>
          <w:i/>
          <w:sz w:val="24"/>
          <w:szCs w:val="24"/>
        </w:rPr>
        <w:t>”</w:t>
      </w:r>
    </w:p>
    <w:p w:rsidR="00494BD4" w:rsidRDefault="008D1FCA"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Why</w:t>
      </w:r>
      <w:r w:rsidR="00153D09">
        <w:rPr>
          <w:rFonts w:ascii="Bookman Old Style" w:eastAsia="Arial Unicode MS" w:hAnsi="Bookman Old Style" w:cs="Arial Unicode MS"/>
          <w:sz w:val="24"/>
          <w:szCs w:val="24"/>
        </w:rPr>
        <w:t xml:space="preserve"> then are Courts generally reluctant to grant interim injunction</w:t>
      </w:r>
      <w:r w:rsidR="003260F8">
        <w:rPr>
          <w:rFonts w:ascii="Bookman Old Style" w:eastAsia="Arial Unicode MS" w:hAnsi="Bookman Old Style" w:cs="Arial Unicode MS"/>
          <w:sz w:val="24"/>
          <w:szCs w:val="24"/>
        </w:rPr>
        <w:t>s in defam</w:t>
      </w:r>
      <w:r w:rsidR="00494BD4">
        <w:rPr>
          <w:rFonts w:ascii="Bookman Old Style" w:eastAsia="Arial Unicode MS" w:hAnsi="Bookman Old Style" w:cs="Arial Unicode MS"/>
          <w:sz w:val="24"/>
          <w:szCs w:val="24"/>
        </w:rPr>
        <w:t>ation cases?</w:t>
      </w:r>
      <w:r w:rsidR="00153D09">
        <w:rPr>
          <w:rFonts w:ascii="Bookman Old Style" w:eastAsia="Arial Unicode MS" w:hAnsi="Bookman Old Style" w:cs="Arial Unicode MS"/>
          <w:sz w:val="24"/>
          <w:szCs w:val="24"/>
        </w:rPr>
        <w:t xml:space="preserve"> The answer to this question is in my view </w:t>
      </w:r>
      <w:r w:rsidR="003260F8">
        <w:rPr>
          <w:rFonts w:ascii="Bookman Old Style" w:eastAsia="Arial Unicode MS" w:hAnsi="Bookman Old Style" w:cs="Arial Unicode MS"/>
          <w:sz w:val="24"/>
          <w:szCs w:val="24"/>
        </w:rPr>
        <w:t xml:space="preserve">to be </w:t>
      </w:r>
      <w:r w:rsidR="00153D09">
        <w:rPr>
          <w:rFonts w:ascii="Bookman Old Style" w:eastAsia="Arial Unicode MS" w:hAnsi="Bookman Old Style" w:cs="Arial Unicode MS"/>
          <w:sz w:val="24"/>
          <w:szCs w:val="24"/>
        </w:rPr>
        <w:t>found</w:t>
      </w:r>
      <w:r w:rsidR="00494BD4">
        <w:rPr>
          <w:rFonts w:ascii="Bookman Old Style" w:eastAsia="Arial Unicode MS" w:hAnsi="Bookman Old Style" w:cs="Arial Unicode MS"/>
          <w:sz w:val="24"/>
          <w:szCs w:val="24"/>
        </w:rPr>
        <w:t>,</w:t>
      </w:r>
      <w:r w:rsidR="00153D09">
        <w:rPr>
          <w:rFonts w:ascii="Bookman Old Style" w:eastAsia="Arial Unicode MS" w:hAnsi="Bookman Old Style" w:cs="Arial Unicode MS"/>
          <w:sz w:val="24"/>
          <w:szCs w:val="24"/>
        </w:rPr>
        <w:t xml:space="preserve"> fi</w:t>
      </w:r>
      <w:r w:rsidR="003260F8">
        <w:rPr>
          <w:rFonts w:ascii="Bookman Old Style" w:eastAsia="Arial Unicode MS" w:hAnsi="Bookman Old Style" w:cs="Arial Unicode MS"/>
          <w:sz w:val="24"/>
          <w:szCs w:val="24"/>
        </w:rPr>
        <w:t>r</w:t>
      </w:r>
      <w:r w:rsidR="00153D09">
        <w:rPr>
          <w:rFonts w:ascii="Bookman Old Style" w:eastAsia="Arial Unicode MS" w:hAnsi="Bookman Old Style" w:cs="Arial Unicode MS"/>
          <w:sz w:val="24"/>
          <w:szCs w:val="24"/>
        </w:rPr>
        <w:t>st</w:t>
      </w:r>
      <w:r w:rsidR="00494BD4">
        <w:rPr>
          <w:rFonts w:ascii="Bookman Old Style" w:eastAsia="Arial Unicode MS" w:hAnsi="Bookman Old Style" w:cs="Arial Unicode MS"/>
          <w:sz w:val="24"/>
          <w:szCs w:val="24"/>
        </w:rPr>
        <w:t>,</w:t>
      </w:r>
      <w:r w:rsidR="00153D09">
        <w:rPr>
          <w:rFonts w:ascii="Bookman Old Style" w:eastAsia="Arial Unicode MS" w:hAnsi="Bookman Old Style" w:cs="Arial Unicode MS"/>
          <w:sz w:val="24"/>
          <w:szCs w:val="24"/>
        </w:rPr>
        <w:t xml:space="preserve"> in</w:t>
      </w:r>
      <w:r>
        <w:rPr>
          <w:rFonts w:ascii="Bookman Old Style" w:eastAsia="Arial Unicode MS" w:hAnsi="Bookman Old Style" w:cs="Arial Unicode MS"/>
          <w:sz w:val="24"/>
          <w:szCs w:val="24"/>
        </w:rPr>
        <w:t xml:space="preserve"> the case of</w:t>
      </w:r>
      <w:r w:rsidR="00153D09">
        <w:rPr>
          <w:rFonts w:ascii="Bookman Old Style" w:eastAsia="Arial Unicode MS" w:hAnsi="Bookman Old Style" w:cs="Arial Unicode MS"/>
          <w:sz w:val="24"/>
          <w:szCs w:val="24"/>
        </w:rPr>
        <w:t xml:space="preserve"> </w:t>
      </w:r>
      <w:r w:rsidR="00153D09" w:rsidRPr="00FC248E">
        <w:rPr>
          <w:rFonts w:ascii="Bookman Old Style" w:eastAsia="Arial Unicode MS" w:hAnsi="Bookman Old Style" w:cs="Arial Unicode MS"/>
          <w:i/>
          <w:sz w:val="24"/>
          <w:szCs w:val="24"/>
        </w:rPr>
        <w:t>Bonnard v Perry</w:t>
      </w:r>
      <w:r w:rsidR="003260F8">
        <w:rPr>
          <w:rFonts w:ascii="Bookman Old Style" w:eastAsia="Arial Unicode MS" w:hAnsi="Bookman Old Style" w:cs="Arial Unicode MS"/>
          <w:i/>
          <w:sz w:val="24"/>
          <w:szCs w:val="24"/>
        </w:rPr>
        <w:t>man</w:t>
      </w:r>
      <w:r w:rsidR="00153D09">
        <w:rPr>
          <w:rFonts w:ascii="Bookman Old Style" w:eastAsia="Arial Unicode MS" w:hAnsi="Bookman Old Style" w:cs="Arial Unicode MS"/>
          <w:sz w:val="24"/>
          <w:szCs w:val="24"/>
        </w:rPr>
        <w:t>.</w:t>
      </w:r>
      <w:r w:rsidR="00153D09">
        <w:rPr>
          <w:rStyle w:val="FootnoteReference"/>
          <w:rFonts w:ascii="Bookman Old Style" w:eastAsia="Arial Unicode MS" w:hAnsi="Bookman Old Style" w:cs="Arial Unicode MS"/>
          <w:sz w:val="24"/>
          <w:szCs w:val="24"/>
        </w:rPr>
        <w:footnoteReference w:id="39"/>
      </w:r>
      <w:r w:rsidR="00494BD4">
        <w:rPr>
          <w:rFonts w:ascii="Bookman Old Style" w:eastAsia="Arial Unicode MS" w:hAnsi="Bookman Old Style" w:cs="Arial Unicode MS"/>
          <w:sz w:val="24"/>
          <w:szCs w:val="24"/>
        </w:rPr>
        <w:t xml:space="preserve"> </w:t>
      </w:r>
      <w:r w:rsidR="00153D09">
        <w:rPr>
          <w:rFonts w:ascii="Bookman Old Style" w:eastAsia="Arial Unicode MS" w:hAnsi="Bookman Old Style" w:cs="Arial Unicode MS"/>
          <w:sz w:val="24"/>
          <w:szCs w:val="24"/>
        </w:rPr>
        <w:t>This was an action for libel. The plaintiff’s were Gustave Richard Bonnard</w:t>
      </w:r>
      <w:r w:rsidR="003260F8">
        <w:rPr>
          <w:rFonts w:ascii="Bookman Old Style" w:eastAsia="Arial Unicode MS" w:hAnsi="Bookman Old Style" w:cs="Arial Unicode MS"/>
          <w:sz w:val="24"/>
          <w:szCs w:val="24"/>
        </w:rPr>
        <w:t>,</w:t>
      </w:r>
      <w:r w:rsidR="00153D09">
        <w:rPr>
          <w:rFonts w:ascii="Bookman Old Style" w:eastAsia="Arial Unicode MS" w:hAnsi="Bookman Old Style" w:cs="Arial Unicode MS"/>
          <w:sz w:val="24"/>
          <w:szCs w:val="24"/>
        </w:rPr>
        <w:t xml:space="preserve"> and Arthur Henry Deakin, Tra</w:t>
      </w:r>
      <w:r w:rsidR="003260F8">
        <w:rPr>
          <w:rFonts w:ascii="Bookman Old Style" w:eastAsia="Arial Unicode MS" w:hAnsi="Bookman Old Style" w:cs="Arial Unicode MS"/>
          <w:sz w:val="24"/>
          <w:szCs w:val="24"/>
        </w:rPr>
        <w:t xml:space="preserve">ding as the </w:t>
      </w:r>
      <w:r w:rsidR="003260F8" w:rsidRPr="008D1FCA">
        <w:rPr>
          <w:rFonts w:ascii="Bookman Old Style" w:eastAsia="Arial Unicode MS" w:hAnsi="Bookman Old Style" w:cs="Arial Unicode MS"/>
          <w:i/>
          <w:sz w:val="24"/>
          <w:szCs w:val="24"/>
        </w:rPr>
        <w:t>Merc</w:t>
      </w:r>
      <w:r w:rsidR="00153D09" w:rsidRPr="008D1FCA">
        <w:rPr>
          <w:rFonts w:ascii="Bookman Old Style" w:eastAsia="Arial Unicode MS" w:hAnsi="Bookman Old Style" w:cs="Arial Unicode MS"/>
          <w:i/>
          <w:sz w:val="24"/>
          <w:szCs w:val="24"/>
        </w:rPr>
        <w:t>antile General Trust</w:t>
      </w:r>
      <w:r w:rsidR="003260F8">
        <w:rPr>
          <w:rFonts w:ascii="Bookman Old Style" w:eastAsia="Arial Unicode MS" w:hAnsi="Bookman Old Style" w:cs="Arial Unicode MS"/>
          <w:sz w:val="24"/>
          <w:szCs w:val="24"/>
        </w:rPr>
        <w:t>,</w:t>
      </w:r>
      <w:r w:rsidR="00153D09">
        <w:rPr>
          <w:rFonts w:ascii="Bookman Old Style" w:eastAsia="Arial Unicode MS" w:hAnsi="Bookman Old Style" w:cs="Arial Unicode MS"/>
          <w:sz w:val="24"/>
          <w:szCs w:val="24"/>
        </w:rPr>
        <w:t xml:space="preserve"> at Broad Street Avenue. The defendant</w:t>
      </w:r>
      <w:r w:rsidR="003260F8">
        <w:rPr>
          <w:rFonts w:ascii="Bookman Old Style" w:eastAsia="Arial Unicode MS" w:hAnsi="Bookman Old Style" w:cs="Arial Unicode MS"/>
          <w:sz w:val="24"/>
          <w:szCs w:val="24"/>
        </w:rPr>
        <w:t>s</w:t>
      </w:r>
      <w:r w:rsidR="00153D09">
        <w:rPr>
          <w:rFonts w:ascii="Bookman Old Style" w:eastAsia="Arial Unicode MS" w:hAnsi="Bookman Old Style" w:cs="Arial Unicode MS"/>
          <w:sz w:val="24"/>
          <w:szCs w:val="24"/>
        </w:rPr>
        <w:t xml:space="preserve"> were Charles W. Perryman, the publisher, proprietor, and editor of </w:t>
      </w:r>
      <w:r w:rsidR="003260F8">
        <w:rPr>
          <w:rFonts w:ascii="Bookman Old Style" w:eastAsia="Arial Unicode MS" w:hAnsi="Bookman Old Style" w:cs="Arial Unicode MS"/>
          <w:sz w:val="24"/>
          <w:szCs w:val="24"/>
        </w:rPr>
        <w:t xml:space="preserve">a </w:t>
      </w:r>
      <w:r w:rsidR="00153D09">
        <w:rPr>
          <w:rFonts w:ascii="Bookman Old Style" w:eastAsia="Arial Unicode MS" w:hAnsi="Bookman Old Style" w:cs="Arial Unicode MS"/>
          <w:sz w:val="24"/>
          <w:szCs w:val="24"/>
        </w:rPr>
        <w:t xml:space="preserve">weekly newspaper called the </w:t>
      </w:r>
      <w:r w:rsidR="003260F8" w:rsidRPr="008D1FCA">
        <w:rPr>
          <w:rFonts w:ascii="Bookman Old Style" w:eastAsia="Arial Unicode MS" w:hAnsi="Bookman Old Style" w:cs="Arial Unicode MS"/>
          <w:i/>
          <w:sz w:val="24"/>
          <w:szCs w:val="24"/>
        </w:rPr>
        <w:t>Financial Observer and M</w:t>
      </w:r>
      <w:r w:rsidR="00153D09" w:rsidRPr="008D1FCA">
        <w:rPr>
          <w:rFonts w:ascii="Bookman Old Style" w:eastAsia="Arial Unicode MS" w:hAnsi="Bookman Old Style" w:cs="Arial Unicode MS"/>
          <w:i/>
          <w:sz w:val="24"/>
          <w:szCs w:val="24"/>
        </w:rPr>
        <w:t>ining Herald</w:t>
      </w:r>
      <w:r w:rsidR="00C6162E">
        <w:rPr>
          <w:rFonts w:ascii="Bookman Old Style" w:eastAsia="Arial Unicode MS" w:hAnsi="Bookman Old Style" w:cs="Arial Unicode MS"/>
          <w:i/>
          <w:sz w:val="24"/>
          <w:szCs w:val="24"/>
        </w:rPr>
        <w:t>,</w:t>
      </w:r>
      <w:r w:rsidR="00153D09">
        <w:rPr>
          <w:rFonts w:ascii="Bookman Old Style" w:eastAsia="Arial Unicode MS" w:hAnsi="Bookman Old Style" w:cs="Arial Unicode MS"/>
          <w:sz w:val="24"/>
          <w:szCs w:val="24"/>
        </w:rPr>
        <w:t xml:space="preserve"> and Allen sued as a printer of that newspaper.</w:t>
      </w:r>
      <w:r w:rsidR="00494BD4">
        <w:rPr>
          <w:rFonts w:ascii="Bookman Old Style" w:eastAsia="Arial Unicode MS" w:hAnsi="Bookman Old Style" w:cs="Arial Unicode MS"/>
          <w:sz w:val="24"/>
          <w:szCs w:val="24"/>
        </w:rPr>
        <w:t xml:space="preserve"> </w:t>
      </w:r>
      <w:r w:rsidR="00153D09">
        <w:rPr>
          <w:rFonts w:ascii="Bookman Old Style" w:eastAsia="Arial Unicode MS" w:hAnsi="Bookman Old Style" w:cs="Arial Unicode MS"/>
          <w:sz w:val="24"/>
          <w:szCs w:val="24"/>
        </w:rPr>
        <w:t>The writ was indorsed with a claim for an injunction to restrain the defendants</w:t>
      </w:r>
      <w:r>
        <w:rPr>
          <w:rFonts w:ascii="Bookman Old Style" w:eastAsia="Arial Unicode MS" w:hAnsi="Bookman Old Style" w:cs="Arial Unicode MS"/>
          <w:sz w:val="24"/>
          <w:szCs w:val="24"/>
        </w:rPr>
        <w:t>:</w:t>
      </w:r>
      <w:r w:rsidR="00153D09">
        <w:rPr>
          <w:rFonts w:ascii="Bookman Old Style" w:eastAsia="Arial Unicode MS" w:hAnsi="Bookman Old Style" w:cs="Arial Unicode MS"/>
          <w:sz w:val="24"/>
          <w:szCs w:val="24"/>
        </w:rPr>
        <w:t xml:space="preserve"> </w:t>
      </w:r>
    </w:p>
    <w:p w:rsidR="00153D09" w:rsidRDefault="00153D09" w:rsidP="00494BD4">
      <w:pPr>
        <w:spacing w:before="240" w:line="24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lastRenderedPageBreak/>
        <w:t>“</w:t>
      </w:r>
      <w:r w:rsidRPr="008D1FCA">
        <w:rPr>
          <w:rFonts w:ascii="Bookman Old Style" w:eastAsia="Arial Unicode MS" w:hAnsi="Bookman Old Style" w:cs="Arial Unicode MS"/>
          <w:i/>
          <w:sz w:val="24"/>
          <w:szCs w:val="24"/>
        </w:rPr>
        <w:t>from selling, circulating, or delivering or communi</w:t>
      </w:r>
      <w:r w:rsidR="003260F8" w:rsidRPr="008D1FCA">
        <w:rPr>
          <w:rFonts w:ascii="Bookman Old Style" w:eastAsia="Arial Unicode MS" w:hAnsi="Bookman Old Style" w:cs="Arial Unicode MS"/>
          <w:i/>
          <w:sz w:val="24"/>
          <w:szCs w:val="24"/>
        </w:rPr>
        <w:t>cating to any person or persons</w:t>
      </w:r>
      <w:r w:rsidRPr="008D1FCA">
        <w:rPr>
          <w:rFonts w:ascii="Bookman Old Style" w:eastAsia="Arial Unicode MS" w:hAnsi="Bookman Old Style" w:cs="Arial Unicode MS"/>
          <w:i/>
          <w:sz w:val="24"/>
          <w:szCs w:val="24"/>
        </w:rPr>
        <w:t xml:space="preserve"> any copy of the </w:t>
      </w:r>
      <w:r w:rsidR="003260F8" w:rsidRPr="008D1FCA">
        <w:rPr>
          <w:rFonts w:ascii="Bookman Old Style" w:eastAsia="Arial Unicode MS" w:hAnsi="Bookman Old Style" w:cs="Arial Unicode MS"/>
          <w:i/>
          <w:sz w:val="24"/>
          <w:szCs w:val="24"/>
        </w:rPr>
        <w:t>Financial Observer and M</w:t>
      </w:r>
      <w:r w:rsidRPr="008D1FCA">
        <w:rPr>
          <w:rFonts w:ascii="Bookman Old Style" w:eastAsia="Arial Unicode MS" w:hAnsi="Bookman Old Style" w:cs="Arial Unicode MS"/>
          <w:i/>
          <w:sz w:val="24"/>
          <w:szCs w:val="24"/>
        </w:rPr>
        <w:t>ining Herald of the 7</w:t>
      </w:r>
      <w:r w:rsidRPr="008D1FCA">
        <w:rPr>
          <w:rFonts w:ascii="Bookman Old Style" w:eastAsia="Arial Unicode MS" w:hAnsi="Bookman Old Style" w:cs="Arial Unicode MS"/>
          <w:i/>
          <w:sz w:val="24"/>
          <w:szCs w:val="24"/>
          <w:vertAlign w:val="superscript"/>
        </w:rPr>
        <w:t>th</w:t>
      </w:r>
      <w:r w:rsidR="003260F8" w:rsidRPr="008D1FCA">
        <w:rPr>
          <w:rFonts w:ascii="Bookman Old Style" w:eastAsia="Arial Unicode MS" w:hAnsi="Bookman Old Style" w:cs="Arial Unicode MS"/>
          <w:i/>
          <w:sz w:val="24"/>
          <w:szCs w:val="24"/>
        </w:rPr>
        <w:t xml:space="preserve"> February, 1891, c</w:t>
      </w:r>
      <w:r w:rsidRPr="008D1FCA">
        <w:rPr>
          <w:rFonts w:ascii="Bookman Old Style" w:eastAsia="Arial Unicode MS" w:hAnsi="Bookman Old Style" w:cs="Arial Unicode MS"/>
          <w:i/>
          <w:sz w:val="24"/>
          <w:szCs w:val="24"/>
        </w:rPr>
        <w:t>ontaining a</w:t>
      </w:r>
      <w:r w:rsidR="003260F8" w:rsidRPr="008D1FCA">
        <w:rPr>
          <w:rFonts w:ascii="Bookman Old Style" w:eastAsia="Arial Unicode MS" w:hAnsi="Bookman Old Style" w:cs="Arial Unicode MS"/>
          <w:i/>
          <w:sz w:val="24"/>
          <w:szCs w:val="24"/>
        </w:rPr>
        <w:t>n article headed “The Fletcher M</w:t>
      </w:r>
      <w:r w:rsidRPr="008D1FCA">
        <w:rPr>
          <w:rFonts w:ascii="Bookman Old Style" w:eastAsia="Arial Unicode MS" w:hAnsi="Bookman Old Style" w:cs="Arial Unicode MS"/>
          <w:i/>
          <w:sz w:val="24"/>
          <w:szCs w:val="24"/>
        </w:rPr>
        <w:t>ills at Providence Island,” or from printing or publishing in the newspaper any statement imputing to the plaintiff fraudulent, or dishonest conduct in connecti</w:t>
      </w:r>
      <w:r w:rsidR="000678A0" w:rsidRPr="008D1FCA">
        <w:rPr>
          <w:rFonts w:ascii="Bookman Old Style" w:eastAsia="Arial Unicode MS" w:hAnsi="Bookman Old Style" w:cs="Arial Unicode MS"/>
          <w:i/>
          <w:sz w:val="24"/>
          <w:szCs w:val="24"/>
        </w:rPr>
        <w:t>on with the floating of “Skyes B</w:t>
      </w:r>
      <w:r w:rsidRPr="008D1FCA">
        <w:rPr>
          <w:rFonts w:ascii="Bookman Old Style" w:eastAsia="Arial Unicode MS" w:hAnsi="Bookman Old Style" w:cs="Arial Unicode MS"/>
          <w:i/>
          <w:sz w:val="24"/>
          <w:szCs w:val="24"/>
        </w:rPr>
        <w:t>rewery or the “City Baltimore United Breweries</w:t>
      </w:r>
      <w:r w:rsidR="000678A0" w:rsidRPr="008D1FCA">
        <w:rPr>
          <w:rFonts w:ascii="Bookman Old Style" w:eastAsia="Arial Unicode MS" w:hAnsi="Bookman Old Style" w:cs="Arial Unicode MS"/>
          <w:i/>
          <w:sz w:val="24"/>
          <w:szCs w:val="24"/>
        </w:rPr>
        <w:t>,</w:t>
      </w:r>
      <w:r w:rsidRPr="008D1FCA">
        <w:rPr>
          <w:rFonts w:ascii="Bookman Old Style" w:eastAsia="Arial Unicode MS" w:hAnsi="Bookman Old Style" w:cs="Arial Unicode MS"/>
          <w:i/>
          <w:sz w:val="24"/>
          <w:szCs w:val="24"/>
        </w:rPr>
        <w:t xml:space="preserve">” or </w:t>
      </w:r>
      <w:r w:rsidR="000678A0" w:rsidRPr="008D1FCA">
        <w:rPr>
          <w:rFonts w:ascii="Bookman Old Style" w:eastAsia="Arial Unicode MS" w:hAnsi="Bookman Old Style" w:cs="Arial Unicode MS"/>
          <w:i/>
          <w:sz w:val="24"/>
          <w:szCs w:val="24"/>
        </w:rPr>
        <w:t>the promotion of the proposed “Providence and National W</w:t>
      </w:r>
      <w:r w:rsidRPr="008D1FCA">
        <w:rPr>
          <w:rFonts w:ascii="Bookman Old Style" w:eastAsia="Arial Unicode MS" w:hAnsi="Bookman Old Style" w:cs="Arial Unicode MS"/>
          <w:i/>
          <w:sz w:val="24"/>
          <w:szCs w:val="24"/>
        </w:rPr>
        <w:t>orsted Mills Limited.”</w:t>
      </w:r>
    </w:p>
    <w:p w:rsidR="00153D09" w:rsidRDefault="00153D09" w:rsidP="00153D09">
      <w:pPr>
        <w:spacing w:before="240" w:line="360" w:lineRule="auto"/>
        <w:jc w:val="both"/>
        <w:rPr>
          <w:rFonts w:ascii="Bookman Old Style" w:eastAsia="Arial Unicode MS" w:hAnsi="Bookman Old Style" w:cs="Arial Unicode MS"/>
          <w:sz w:val="24"/>
          <w:szCs w:val="24"/>
        </w:rPr>
      </w:pPr>
    </w:p>
    <w:p w:rsidR="00153D09" w:rsidRDefault="008D1FCA"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 the course of the j</w:t>
      </w:r>
      <w:r w:rsidR="00153D09">
        <w:rPr>
          <w:rFonts w:ascii="Bookman Old Style" w:eastAsia="Arial Unicode MS" w:hAnsi="Bookman Old Style" w:cs="Arial Unicode MS"/>
          <w:sz w:val="24"/>
          <w:szCs w:val="24"/>
        </w:rPr>
        <w:t>udgment Lord Coleridge observed as follows at page 283__ 284.</w:t>
      </w:r>
    </w:p>
    <w:p w:rsidR="00153D09" w:rsidRPr="008D1FCA" w:rsidRDefault="00153D09" w:rsidP="008D1FCA">
      <w:pPr>
        <w:spacing w:before="240" w:line="240" w:lineRule="auto"/>
        <w:jc w:val="both"/>
        <w:rPr>
          <w:rFonts w:ascii="Bookman Old Style" w:eastAsia="Arial Unicode MS" w:hAnsi="Bookman Old Style" w:cs="Arial Unicode MS"/>
          <w:i/>
          <w:sz w:val="24"/>
          <w:szCs w:val="24"/>
        </w:rPr>
      </w:pPr>
      <w:r>
        <w:rPr>
          <w:rFonts w:ascii="Bookman Old Style" w:eastAsia="Arial Unicode MS" w:hAnsi="Bookman Old Style" w:cs="Arial Unicode MS"/>
          <w:sz w:val="24"/>
          <w:szCs w:val="24"/>
        </w:rPr>
        <w:t>“</w:t>
      </w:r>
      <w:r w:rsidRPr="00FC248E">
        <w:rPr>
          <w:rFonts w:ascii="Bookman Old Style" w:eastAsia="Arial Unicode MS" w:hAnsi="Bookman Old Style" w:cs="Arial Unicode MS"/>
          <w:i/>
          <w:sz w:val="24"/>
          <w:szCs w:val="24"/>
        </w:rPr>
        <w:t>But it is obvious that the subject matter of an action for defamation is so special as to require exceptional caution in exercising the jurisdiction to interfere by injunction before</w:t>
      </w:r>
      <w:r w:rsidR="008D1FCA">
        <w:rPr>
          <w:rFonts w:ascii="Bookman Old Style" w:eastAsia="Arial Unicode MS" w:hAnsi="Bookman Old Style" w:cs="Arial Unicode MS"/>
          <w:i/>
          <w:sz w:val="24"/>
          <w:szCs w:val="24"/>
        </w:rPr>
        <w:t xml:space="preserve"> trial of an action to prevent a</w:t>
      </w:r>
      <w:r w:rsidRPr="00FC248E">
        <w:rPr>
          <w:rFonts w:ascii="Bookman Old Style" w:eastAsia="Arial Unicode MS" w:hAnsi="Bookman Old Style" w:cs="Arial Unicode MS"/>
          <w:i/>
          <w:sz w:val="24"/>
          <w:szCs w:val="24"/>
        </w:rPr>
        <w:t>n anticipated wrong. The right of free speech is one which it is for the public interest that individuals should possess, and indeed that they should exercise without impediment, so long as no wrongful act is done; and unless an alleged libel is untrue, there is no wrong committed. But on the co</w:t>
      </w:r>
      <w:r w:rsidR="000678A0">
        <w:rPr>
          <w:rFonts w:ascii="Bookman Old Style" w:eastAsia="Arial Unicode MS" w:hAnsi="Bookman Old Style" w:cs="Arial Unicode MS"/>
          <w:i/>
          <w:sz w:val="24"/>
          <w:szCs w:val="24"/>
        </w:rPr>
        <w:t>ntrary often a very wholesome act</w:t>
      </w:r>
      <w:r w:rsidRPr="00FC248E">
        <w:rPr>
          <w:rFonts w:ascii="Bookman Old Style" w:eastAsia="Arial Unicode MS" w:hAnsi="Bookman Old Style" w:cs="Arial Unicode MS"/>
          <w:i/>
          <w:sz w:val="24"/>
          <w:szCs w:val="24"/>
        </w:rPr>
        <w:t xml:space="preserve"> is performed in the publication and repetition of an alleged libel. Until it is clear that an alleged libel is untrue, it is not clear that any right at all has been infringed; and the importance of leaving free speech unfettered is a strong reason in cases of libel for dealing most cautiously and warily with the granting of interim injunctions. We entirely approve of and desire to adopt as our own the language of Lord Esher in Coulson v Coulson.” </w:t>
      </w:r>
    </w:p>
    <w:p w:rsidR="000678A0" w:rsidRDefault="00153D09"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preceding statement of the law has been endorsed and consistently applied since 1891. And the decision in </w:t>
      </w:r>
      <w:r w:rsidRPr="000678A0">
        <w:rPr>
          <w:rFonts w:ascii="Bookman Old Style" w:eastAsia="Arial Unicode MS" w:hAnsi="Bookman Old Style" w:cs="Arial Unicode MS"/>
          <w:i/>
          <w:sz w:val="24"/>
          <w:szCs w:val="24"/>
        </w:rPr>
        <w:t>Bonnard v Perryman</w:t>
      </w:r>
      <w:r>
        <w:rPr>
          <w:rFonts w:ascii="Bookman Old Style" w:eastAsia="Arial Unicode MS" w:hAnsi="Bookman Old Style" w:cs="Arial Unicode MS"/>
          <w:sz w:val="24"/>
          <w:szCs w:val="24"/>
        </w:rPr>
        <w:t xml:space="preserve"> (supra), was cited with approval by the erstwhile </w:t>
      </w:r>
      <w:r w:rsidR="000678A0">
        <w:rPr>
          <w:rFonts w:ascii="Bookman Old Style" w:eastAsia="Arial Unicode MS" w:hAnsi="Bookman Old Style" w:cs="Arial Unicode MS"/>
          <w:sz w:val="24"/>
          <w:szCs w:val="24"/>
        </w:rPr>
        <w:t xml:space="preserve">Chief Justice </w:t>
      </w:r>
      <w:r>
        <w:rPr>
          <w:rFonts w:ascii="Bookman Old Style" w:eastAsia="Arial Unicode MS" w:hAnsi="Bookman Old Style" w:cs="Arial Unicode MS"/>
          <w:sz w:val="24"/>
          <w:szCs w:val="24"/>
        </w:rPr>
        <w:t xml:space="preserve">Ngulube in </w:t>
      </w:r>
      <w:r w:rsidRPr="006C3DF8">
        <w:rPr>
          <w:rFonts w:ascii="Bookman Old Style" w:eastAsia="Arial Unicode MS" w:hAnsi="Bookman Old Style" w:cs="Arial Unicode MS"/>
          <w:i/>
          <w:sz w:val="24"/>
          <w:szCs w:val="24"/>
        </w:rPr>
        <w:t>Shamwana v Mwanawasa</w:t>
      </w:r>
      <w:r>
        <w:rPr>
          <w:rFonts w:ascii="Bookman Old Style" w:eastAsia="Arial Unicode MS" w:hAnsi="Bookman Old Style" w:cs="Arial Unicode MS"/>
          <w:sz w:val="24"/>
          <w:szCs w:val="24"/>
        </w:rPr>
        <w:t xml:space="preserve"> (supra). </w:t>
      </w:r>
    </w:p>
    <w:p w:rsidR="00153D09" w:rsidRDefault="00153D09"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Second, another lucid explanation provided for the Court’s reluctance to grant pre-emptory injuncti</w:t>
      </w:r>
      <w:r w:rsidR="008D1FCA">
        <w:rPr>
          <w:rFonts w:ascii="Bookman Old Style" w:eastAsia="Arial Unicode MS" w:hAnsi="Bookman Old Style" w:cs="Arial Unicode MS"/>
          <w:sz w:val="24"/>
          <w:szCs w:val="24"/>
        </w:rPr>
        <w:t>ons is found in the case of</w:t>
      </w:r>
      <w:r>
        <w:rPr>
          <w:rFonts w:ascii="Bookman Old Style" w:eastAsia="Arial Unicode MS" w:hAnsi="Bookman Old Style" w:cs="Arial Unicode MS"/>
          <w:sz w:val="24"/>
          <w:szCs w:val="24"/>
        </w:rPr>
        <w:t xml:space="preserve"> </w:t>
      </w:r>
      <w:r w:rsidRPr="003E561D">
        <w:rPr>
          <w:rFonts w:ascii="Bookman Old Style" w:eastAsia="Arial Unicode MS" w:hAnsi="Bookman Old Style" w:cs="Arial Unicode MS"/>
          <w:i/>
          <w:sz w:val="24"/>
          <w:szCs w:val="24"/>
        </w:rPr>
        <w:t>Fraser v Evans and Others</w:t>
      </w:r>
      <w:r>
        <w:rPr>
          <w:rFonts w:ascii="Bookman Old Style" w:eastAsia="Arial Unicode MS" w:hAnsi="Bookman Old Style" w:cs="Arial Unicode MS"/>
          <w:sz w:val="24"/>
          <w:szCs w:val="24"/>
        </w:rPr>
        <w:t>.</w:t>
      </w:r>
      <w:r>
        <w:rPr>
          <w:rStyle w:val="FootnoteReference"/>
          <w:rFonts w:ascii="Bookman Old Style" w:eastAsia="Arial Unicode MS" w:hAnsi="Bookman Old Style" w:cs="Arial Unicode MS"/>
          <w:sz w:val="24"/>
          <w:szCs w:val="24"/>
        </w:rPr>
        <w:footnoteReference w:id="40"/>
      </w:r>
      <w:r>
        <w:rPr>
          <w:rFonts w:ascii="Bookman Old Style" w:eastAsia="Arial Unicode MS" w:hAnsi="Bookman Old Style" w:cs="Arial Unicode MS"/>
          <w:sz w:val="24"/>
          <w:szCs w:val="24"/>
        </w:rPr>
        <w:t xml:space="preserve"> The facts of the case were that the plaintiff was a consultant in public relations. His firm was employed by the Government of Greece</w:t>
      </w:r>
      <w:r w:rsidR="000678A0">
        <w:rPr>
          <w:rFonts w:ascii="Bookman Old Style" w:eastAsia="Arial Unicode MS" w:hAnsi="Bookman Old Style" w:cs="Arial Unicode MS"/>
          <w:sz w:val="24"/>
          <w:szCs w:val="24"/>
        </w:rPr>
        <w:t>. A</w:t>
      </w:r>
      <w:r>
        <w:rPr>
          <w:rFonts w:ascii="Bookman Old Style" w:eastAsia="Arial Unicode MS" w:hAnsi="Bookman Old Style" w:cs="Arial Unicode MS"/>
          <w:sz w:val="24"/>
          <w:szCs w:val="24"/>
        </w:rPr>
        <w:t>nd in the course of that employment</w:t>
      </w:r>
      <w:r w:rsidR="008D1FCA">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w:t>
      </w:r>
      <w:r w:rsidR="000678A0">
        <w:rPr>
          <w:rFonts w:ascii="Bookman Old Style" w:eastAsia="Arial Unicode MS" w:hAnsi="Bookman Old Style" w:cs="Arial Unicode MS"/>
          <w:sz w:val="24"/>
          <w:szCs w:val="24"/>
        </w:rPr>
        <w:t xml:space="preserve">he </w:t>
      </w:r>
      <w:r>
        <w:rPr>
          <w:rFonts w:ascii="Bookman Old Style" w:eastAsia="Arial Unicode MS" w:hAnsi="Bookman Old Style" w:cs="Arial Unicode MS"/>
          <w:sz w:val="24"/>
          <w:szCs w:val="24"/>
        </w:rPr>
        <w:t xml:space="preserve">was required to make reports for them. The firms contract which was in writing contained an express provision imposing </w:t>
      </w:r>
      <w:r>
        <w:rPr>
          <w:rFonts w:ascii="Bookman Old Style" w:eastAsia="Arial Unicode MS" w:hAnsi="Bookman Old Style" w:cs="Arial Unicode MS"/>
          <w:sz w:val="24"/>
          <w:szCs w:val="24"/>
        </w:rPr>
        <w:lastRenderedPageBreak/>
        <w:t>on</w:t>
      </w:r>
      <w:r w:rsidR="000678A0">
        <w:rPr>
          <w:rFonts w:ascii="Bookman Old Style" w:eastAsia="Arial Unicode MS" w:hAnsi="Bookman Old Style" w:cs="Arial Unicode MS"/>
          <w:sz w:val="24"/>
          <w:szCs w:val="24"/>
        </w:rPr>
        <w:t xml:space="preserve"> it an obligation of confidence.</w:t>
      </w:r>
      <w:r>
        <w:rPr>
          <w:rFonts w:ascii="Bookman Old Style" w:eastAsia="Arial Unicode MS" w:hAnsi="Bookman Old Style" w:cs="Arial Unicode MS"/>
          <w:sz w:val="24"/>
          <w:szCs w:val="24"/>
        </w:rPr>
        <w:t xml:space="preserve"> </w:t>
      </w:r>
      <w:r w:rsidR="000678A0">
        <w:rPr>
          <w:rFonts w:ascii="Bookman Old Style" w:eastAsia="Arial Unicode MS" w:hAnsi="Bookman Old Style" w:cs="Arial Unicode MS"/>
          <w:sz w:val="24"/>
          <w:szCs w:val="24"/>
        </w:rPr>
        <w:t>But</w:t>
      </w:r>
      <w:r>
        <w:rPr>
          <w:rFonts w:ascii="Bookman Old Style" w:eastAsia="Arial Unicode MS" w:hAnsi="Bookman Old Style" w:cs="Arial Unicode MS"/>
          <w:sz w:val="24"/>
          <w:szCs w:val="24"/>
        </w:rPr>
        <w:t xml:space="preserve"> there was no corresponding undertaking by the Greek government. In June, 1968, the plaintiff made a report for the Greek government on the public relations programme for Europe. It was</w:t>
      </w:r>
      <w:r w:rsidR="000678A0">
        <w:rPr>
          <w:rFonts w:ascii="Bookman Old Style" w:eastAsia="Arial Unicode MS" w:hAnsi="Bookman Old Style" w:cs="Arial Unicode MS"/>
          <w:sz w:val="24"/>
          <w:szCs w:val="24"/>
        </w:rPr>
        <w:t xml:space="preserve"> translated into Greek in Anthen</w:t>
      </w:r>
      <w:r>
        <w:rPr>
          <w:rFonts w:ascii="Bookman Old Style" w:eastAsia="Arial Unicode MS" w:hAnsi="Bookman Old Style" w:cs="Arial Unicode MS"/>
          <w:sz w:val="24"/>
          <w:szCs w:val="24"/>
        </w:rPr>
        <w:t>s, nine copies being sent to high offices of the government in Greece</w:t>
      </w:r>
      <w:r w:rsidR="008D1FCA">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or government departments, and a tenth being kept by the plaintiff, and his firm.</w:t>
      </w:r>
      <w:r w:rsidR="000678A0">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One of the Greek translations wa</w:t>
      </w:r>
      <w:r w:rsidR="000678A0">
        <w:rPr>
          <w:rFonts w:ascii="Bookman Old Style" w:eastAsia="Arial Unicode MS" w:hAnsi="Bookman Old Style" w:cs="Arial Unicode MS"/>
          <w:sz w:val="24"/>
          <w:szCs w:val="24"/>
        </w:rPr>
        <w:t>s obtained surreptiously, and ca</w:t>
      </w:r>
      <w:r>
        <w:rPr>
          <w:rFonts w:ascii="Bookman Old Style" w:eastAsia="Arial Unicode MS" w:hAnsi="Bookman Old Style" w:cs="Arial Unicode MS"/>
          <w:sz w:val="24"/>
          <w:szCs w:val="24"/>
        </w:rPr>
        <w:t>me into the hands of a journalist empl</w:t>
      </w:r>
      <w:r w:rsidR="000678A0">
        <w:rPr>
          <w:rFonts w:ascii="Bookman Old Style" w:eastAsia="Arial Unicode MS" w:hAnsi="Bookman Old Style" w:cs="Arial Unicode MS"/>
          <w:sz w:val="24"/>
          <w:szCs w:val="24"/>
        </w:rPr>
        <w:t>oyed by the defendants. He had a</w:t>
      </w:r>
      <w:r>
        <w:rPr>
          <w:rFonts w:ascii="Bookman Old Style" w:eastAsia="Arial Unicode MS" w:hAnsi="Bookman Old Style" w:cs="Arial Unicode MS"/>
          <w:sz w:val="24"/>
          <w:szCs w:val="24"/>
        </w:rPr>
        <w:t>n English translation made of it and thought that he would write an</w:t>
      </w:r>
      <w:r w:rsidR="00C6162E">
        <w:rPr>
          <w:rFonts w:ascii="Bookman Old Style" w:eastAsia="Arial Unicode MS" w:hAnsi="Bookman Old Style" w:cs="Arial Unicode MS"/>
          <w:sz w:val="24"/>
          <w:szCs w:val="24"/>
        </w:rPr>
        <w:t xml:space="preserve"> article about it for a </w:t>
      </w:r>
      <w:r w:rsidR="00C6162E" w:rsidRPr="00096167">
        <w:rPr>
          <w:rFonts w:ascii="Bookman Old Style" w:eastAsia="Arial Unicode MS" w:hAnsi="Bookman Old Style" w:cs="Arial Unicode MS"/>
          <w:i/>
          <w:sz w:val="24"/>
          <w:szCs w:val="24"/>
        </w:rPr>
        <w:t>Sunday N</w:t>
      </w:r>
      <w:r w:rsidRPr="00096167">
        <w:rPr>
          <w:rFonts w:ascii="Bookman Old Style" w:eastAsia="Arial Unicode MS" w:hAnsi="Bookman Old Style" w:cs="Arial Unicode MS"/>
          <w:i/>
          <w:sz w:val="24"/>
          <w:szCs w:val="24"/>
        </w:rPr>
        <w:t>ewspapers</w:t>
      </w:r>
      <w:r>
        <w:rPr>
          <w:rFonts w:ascii="Bookman Old Style" w:eastAsia="Arial Unicode MS" w:hAnsi="Bookman Old Style" w:cs="Arial Unicode MS"/>
          <w:sz w:val="24"/>
          <w:szCs w:val="24"/>
        </w:rPr>
        <w:t xml:space="preserve"> owned by the defendants. Two journalists from the newspaper interviewed the plaintiff who answered questions and was shown the English translation of the report. The plaintiff being concerned that the newspaper might publish an article on the subject in their next issue, obtained an interim injunction restraining </w:t>
      </w:r>
      <w:r w:rsidR="000678A0">
        <w:rPr>
          <w:rFonts w:ascii="Bookman Old Style" w:eastAsia="Arial Unicode MS" w:hAnsi="Bookman Old Style" w:cs="Arial Unicode MS"/>
          <w:sz w:val="24"/>
          <w:szCs w:val="24"/>
        </w:rPr>
        <w:t xml:space="preserve">the </w:t>
      </w:r>
      <w:r>
        <w:rPr>
          <w:rFonts w:ascii="Bookman Old Style" w:eastAsia="Arial Unicode MS" w:hAnsi="Bookman Old Style" w:cs="Arial Unicode MS"/>
          <w:sz w:val="24"/>
          <w:szCs w:val="24"/>
        </w:rPr>
        <w:t>defendants from publishing the report</w:t>
      </w:r>
      <w:r w:rsidR="000678A0">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or any matter incorporating information derived from it</w:t>
      </w:r>
      <w:r w:rsidR="000678A0">
        <w:rPr>
          <w:rFonts w:ascii="Bookman Old Style" w:eastAsia="Arial Unicode MS" w:hAnsi="Bookman Old Style" w:cs="Arial Unicode MS"/>
          <w:sz w:val="24"/>
          <w:szCs w:val="24"/>
        </w:rPr>
        <w:t>. T</w:t>
      </w:r>
      <w:r>
        <w:rPr>
          <w:rFonts w:ascii="Bookman Old Style" w:eastAsia="Arial Unicode MS" w:hAnsi="Bookman Old Style" w:cs="Arial Unicode MS"/>
          <w:sz w:val="24"/>
          <w:szCs w:val="24"/>
        </w:rPr>
        <w:t>he newspaper admitted that the article would be defamatory of the plaintiff</w:t>
      </w:r>
      <w:r w:rsidR="008D1FCA">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but said that if they were</w:t>
      </w:r>
      <w:r w:rsidR="000678A0">
        <w:rPr>
          <w:rFonts w:ascii="Bookman Old Style" w:eastAsia="Arial Unicode MS" w:hAnsi="Bookman Old Style" w:cs="Arial Unicode MS"/>
          <w:sz w:val="24"/>
          <w:szCs w:val="24"/>
        </w:rPr>
        <w:t xml:space="preserve"> sued they would plead justification and fai</w:t>
      </w:r>
      <w:r>
        <w:rPr>
          <w:rFonts w:ascii="Bookman Old Style" w:eastAsia="Arial Unicode MS" w:hAnsi="Bookman Old Style" w:cs="Arial Unicode MS"/>
          <w:sz w:val="24"/>
          <w:szCs w:val="24"/>
        </w:rPr>
        <w:t>r comment</w:t>
      </w:r>
      <w:r w:rsidR="000678A0">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w:t>
      </w:r>
      <w:r w:rsidR="000678A0">
        <w:rPr>
          <w:rFonts w:ascii="Bookman Old Style" w:eastAsia="Arial Unicode MS" w:hAnsi="Bookman Old Style" w:cs="Arial Unicode MS"/>
          <w:sz w:val="24"/>
          <w:szCs w:val="24"/>
        </w:rPr>
        <w:t>Initially</w:t>
      </w:r>
      <w:r>
        <w:rPr>
          <w:rFonts w:ascii="Bookman Old Style" w:eastAsia="Arial Unicode MS" w:hAnsi="Bookman Old Style" w:cs="Arial Unicode MS"/>
          <w:sz w:val="24"/>
          <w:szCs w:val="24"/>
        </w:rPr>
        <w:t xml:space="preserve"> the plaintiff was granted an </w:t>
      </w:r>
      <w:r w:rsidRPr="000678A0">
        <w:rPr>
          <w:rFonts w:ascii="Bookman Old Style" w:eastAsia="Arial Unicode MS" w:hAnsi="Bookman Old Style" w:cs="Arial Unicode MS"/>
          <w:i/>
          <w:sz w:val="24"/>
          <w:szCs w:val="24"/>
        </w:rPr>
        <w:t>ex parte</w:t>
      </w:r>
      <w:r>
        <w:rPr>
          <w:rFonts w:ascii="Bookman Old Style" w:eastAsia="Arial Unicode MS" w:hAnsi="Bookman Old Style" w:cs="Arial Unicode MS"/>
          <w:sz w:val="24"/>
          <w:szCs w:val="24"/>
        </w:rPr>
        <w:t xml:space="preserve"> interim injunction. The interim injunction was </w:t>
      </w:r>
      <w:r w:rsidR="000678A0">
        <w:rPr>
          <w:rFonts w:ascii="Bookman Old Style" w:eastAsia="Arial Unicode MS" w:hAnsi="Bookman Old Style" w:cs="Arial Unicode MS"/>
          <w:sz w:val="24"/>
          <w:szCs w:val="24"/>
        </w:rPr>
        <w:t xml:space="preserve">later </w:t>
      </w:r>
      <w:r>
        <w:rPr>
          <w:rFonts w:ascii="Bookman Old Style" w:eastAsia="Arial Unicode MS" w:hAnsi="Bookman Old Style" w:cs="Arial Unicode MS"/>
          <w:sz w:val="24"/>
          <w:szCs w:val="24"/>
        </w:rPr>
        <w:t xml:space="preserve">continued after the </w:t>
      </w:r>
      <w:r w:rsidRPr="000678A0">
        <w:rPr>
          <w:rFonts w:ascii="Bookman Old Style" w:eastAsia="Arial Unicode MS" w:hAnsi="Bookman Old Style" w:cs="Arial Unicode MS"/>
          <w:i/>
          <w:sz w:val="24"/>
          <w:szCs w:val="24"/>
        </w:rPr>
        <w:t>inter partes</w:t>
      </w:r>
      <w:r>
        <w:rPr>
          <w:rFonts w:ascii="Bookman Old Style" w:eastAsia="Arial Unicode MS" w:hAnsi="Bookman Old Style" w:cs="Arial Unicode MS"/>
          <w:sz w:val="24"/>
          <w:szCs w:val="24"/>
        </w:rPr>
        <w:t xml:space="preserve"> hearing.</w:t>
      </w:r>
    </w:p>
    <w:p w:rsidR="00153D09" w:rsidRDefault="00153D09" w:rsidP="00153D09">
      <w:pPr>
        <w:spacing w:before="240" w:line="360" w:lineRule="auto"/>
        <w:jc w:val="both"/>
        <w:rPr>
          <w:rFonts w:ascii="Bookman Old Style" w:eastAsia="Arial Unicode MS" w:hAnsi="Bookman Old Style" w:cs="Arial Unicode MS"/>
          <w:sz w:val="24"/>
          <w:szCs w:val="24"/>
        </w:rPr>
      </w:pPr>
    </w:p>
    <w:p w:rsidR="00153D09" w:rsidRDefault="00153D09"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On appeal to the Court of Appeal</w:t>
      </w:r>
      <w:r w:rsidR="000678A0">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the interim injunction was discharged</w:t>
      </w:r>
      <w:r w:rsidR="000678A0">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and this is what Lord Denning had to say at page 360:</w:t>
      </w:r>
    </w:p>
    <w:p w:rsidR="00153D09" w:rsidRPr="000678A0" w:rsidRDefault="00153D09" w:rsidP="000678A0">
      <w:pPr>
        <w:spacing w:before="240" w:line="240" w:lineRule="auto"/>
        <w:jc w:val="both"/>
        <w:rPr>
          <w:rFonts w:ascii="Bookman Old Style" w:eastAsia="Arial Unicode MS" w:hAnsi="Bookman Old Style" w:cs="Arial Unicode MS"/>
          <w:i/>
          <w:sz w:val="24"/>
          <w:szCs w:val="24"/>
        </w:rPr>
      </w:pPr>
      <w:r w:rsidRPr="000678A0">
        <w:rPr>
          <w:rFonts w:ascii="Bookman Old Style" w:eastAsia="Arial Unicode MS" w:hAnsi="Bookman Old Style" w:cs="Arial Unicode MS"/>
          <w:i/>
          <w:sz w:val="24"/>
          <w:szCs w:val="24"/>
        </w:rPr>
        <w:t xml:space="preserve">“The Court will not restrain the publication of an article even though it is defamatory when the defendant says he intends to justify it or to make fair comment on a matter of public interest. That has been established for many years ever since Bonnard v Perryman. The reason sometimes given is that the defences of justification and fair comment are for the jury which is the constitutional tribunal, and for the judge. But a better reason is the importance in the public interest that the truth should out. As the Court said in that case: “the right of free speech is one which it is for the public interest that individuals should possess, and indeed, that they should exercise without impediment so long as no wrongful act is done” </w:t>
      </w:r>
    </w:p>
    <w:p w:rsidR="00153D09" w:rsidRPr="008D1FCA" w:rsidRDefault="00153D09" w:rsidP="008D1FCA">
      <w:pPr>
        <w:spacing w:before="240" w:line="240" w:lineRule="auto"/>
        <w:jc w:val="both"/>
        <w:rPr>
          <w:rFonts w:ascii="Bookman Old Style" w:eastAsia="Arial Unicode MS" w:hAnsi="Bookman Old Style" w:cs="Arial Unicode MS"/>
          <w:i/>
          <w:sz w:val="24"/>
          <w:szCs w:val="24"/>
        </w:rPr>
      </w:pPr>
      <w:r w:rsidRPr="008D1FCA">
        <w:rPr>
          <w:rFonts w:ascii="Bookman Old Style" w:eastAsia="Arial Unicode MS" w:hAnsi="Bookman Old Style" w:cs="Arial Unicode MS"/>
          <w:i/>
          <w:sz w:val="24"/>
          <w:szCs w:val="24"/>
        </w:rPr>
        <w:lastRenderedPageBreak/>
        <w:t>There is no wrong done if it is true, or if this is a fair comment on a matter of public interest. The Court will not prejudice the issue by granting an injunction in advance of the publication.”</w:t>
      </w:r>
    </w:p>
    <w:p w:rsidR="00153D09" w:rsidRDefault="00153D09" w:rsidP="00153D09">
      <w:pPr>
        <w:spacing w:before="240" w:line="360" w:lineRule="auto"/>
        <w:jc w:val="both"/>
        <w:rPr>
          <w:rFonts w:ascii="Bookman Old Style" w:eastAsia="Arial Unicode MS" w:hAnsi="Bookman Old Style" w:cs="Arial Unicode MS"/>
          <w:sz w:val="24"/>
          <w:szCs w:val="24"/>
        </w:rPr>
      </w:pPr>
    </w:p>
    <w:p w:rsidR="00153D09" w:rsidRDefault="00153D09"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Thus the Court will only grant an interim injunction where:</w:t>
      </w:r>
      <w:r>
        <w:rPr>
          <w:rStyle w:val="FootnoteReference"/>
          <w:rFonts w:ascii="Bookman Old Style" w:eastAsia="Arial Unicode MS" w:hAnsi="Bookman Old Style" w:cs="Arial Unicode MS"/>
          <w:sz w:val="24"/>
          <w:szCs w:val="24"/>
        </w:rPr>
        <w:footnoteReference w:id="41"/>
      </w:r>
    </w:p>
    <w:p w:rsidR="00153D09" w:rsidRDefault="00153D09" w:rsidP="00153D09">
      <w:pPr>
        <w:pStyle w:val="ListParagraph"/>
        <w:numPr>
          <w:ilvl w:val="0"/>
          <w:numId w:val="17"/>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statement is unarguably defamatory;</w:t>
      </w:r>
    </w:p>
    <w:p w:rsidR="00153D09" w:rsidRDefault="00153D09" w:rsidP="00153D09">
      <w:pPr>
        <w:pStyle w:val="ListParagraph"/>
        <w:numPr>
          <w:ilvl w:val="0"/>
          <w:numId w:val="17"/>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There are no grounds for concl</w:t>
      </w:r>
      <w:r w:rsidR="000678A0">
        <w:rPr>
          <w:rFonts w:ascii="Bookman Old Style" w:eastAsia="Arial Unicode MS" w:hAnsi="Bookman Old Style" w:cs="Arial Unicode MS"/>
          <w:sz w:val="24"/>
          <w:szCs w:val="24"/>
        </w:rPr>
        <w:t>uding the statement may be true;</w:t>
      </w:r>
    </w:p>
    <w:p w:rsidR="00153D09" w:rsidRDefault="000678A0" w:rsidP="00153D09">
      <w:pPr>
        <w:pStyle w:val="ListParagraph"/>
        <w:numPr>
          <w:ilvl w:val="0"/>
          <w:numId w:val="17"/>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There is evidence of</w:t>
      </w:r>
      <w:r w:rsidR="00153D09">
        <w:rPr>
          <w:rFonts w:ascii="Bookman Old Style" w:eastAsia="Arial Unicode MS" w:hAnsi="Bookman Old Style" w:cs="Arial Unicode MS"/>
          <w:sz w:val="24"/>
          <w:szCs w:val="24"/>
        </w:rPr>
        <w:t xml:space="preserve"> an intention to repeat or p</w:t>
      </w:r>
      <w:r>
        <w:rPr>
          <w:rFonts w:ascii="Bookman Old Style" w:eastAsia="Arial Unicode MS" w:hAnsi="Bookman Old Style" w:cs="Arial Unicode MS"/>
          <w:sz w:val="24"/>
          <w:szCs w:val="24"/>
        </w:rPr>
        <w:t>ublish the defamatory statement;</w:t>
      </w:r>
      <w:r w:rsidR="008D1FCA">
        <w:rPr>
          <w:rFonts w:ascii="Bookman Old Style" w:eastAsia="Arial Unicode MS" w:hAnsi="Bookman Old Style" w:cs="Arial Unicode MS"/>
          <w:sz w:val="24"/>
          <w:szCs w:val="24"/>
        </w:rPr>
        <w:t xml:space="preserve"> and </w:t>
      </w:r>
    </w:p>
    <w:p w:rsidR="00153D09" w:rsidRDefault="00153D09" w:rsidP="00153D09">
      <w:pPr>
        <w:pStyle w:val="ListParagraph"/>
        <w:numPr>
          <w:ilvl w:val="0"/>
          <w:numId w:val="17"/>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There is no ot</w:t>
      </w:r>
      <w:r w:rsidR="008D1FCA">
        <w:rPr>
          <w:rFonts w:ascii="Bookman Old Style" w:eastAsia="Arial Unicode MS" w:hAnsi="Bookman Old Style" w:cs="Arial Unicode MS"/>
          <w:sz w:val="24"/>
          <w:szCs w:val="24"/>
        </w:rPr>
        <w:t>her defence which might succeed.</w:t>
      </w:r>
      <w:r>
        <w:rPr>
          <w:rFonts w:ascii="Bookman Old Style" w:eastAsia="Arial Unicode MS" w:hAnsi="Bookman Old Style" w:cs="Arial Unicode MS"/>
          <w:sz w:val="24"/>
          <w:szCs w:val="24"/>
        </w:rPr>
        <w:t xml:space="preserve"> </w:t>
      </w:r>
    </w:p>
    <w:p w:rsidR="00153D09" w:rsidRDefault="00153D09"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 will immediately deal with the first three conditions referred to above. The last condition will be dealt with under the following headings: justification, fair comment on matter of public interest</w:t>
      </w:r>
      <w:r w:rsidR="008D1FCA">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and qualified privilege. </w:t>
      </w:r>
    </w:p>
    <w:p w:rsidR="00910779" w:rsidRDefault="00910779" w:rsidP="00153D09">
      <w:pPr>
        <w:spacing w:before="240" w:line="360" w:lineRule="auto"/>
        <w:jc w:val="both"/>
        <w:rPr>
          <w:rFonts w:ascii="Bookman Old Style" w:eastAsia="Arial Unicode MS" w:hAnsi="Bookman Old Style" w:cs="Arial Unicode MS"/>
          <w:sz w:val="24"/>
          <w:szCs w:val="24"/>
        </w:rPr>
      </w:pPr>
    </w:p>
    <w:p w:rsidR="00153D09" w:rsidRPr="006764CD" w:rsidRDefault="00153D09" w:rsidP="00153D09">
      <w:pPr>
        <w:spacing w:before="240" w:line="360" w:lineRule="auto"/>
        <w:jc w:val="both"/>
        <w:rPr>
          <w:rFonts w:ascii="Bookman Old Style" w:eastAsia="Arial Unicode MS" w:hAnsi="Bookman Old Style" w:cs="Arial Unicode MS"/>
          <w:b/>
          <w:sz w:val="24"/>
          <w:szCs w:val="24"/>
        </w:rPr>
      </w:pPr>
      <w:r w:rsidRPr="006764CD">
        <w:rPr>
          <w:rFonts w:ascii="Bookman Old Style" w:eastAsia="Arial Unicode MS" w:hAnsi="Bookman Old Style" w:cs="Arial Unicode MS"/>
          <w:b/>
          <w:sz w:val="24"/>
          <w:szCs w:val="24"/>
        </w:rPr>
        <w:t xml:space="preserve">UARGUABLY DEFAMATORY </w:t>
      </w:r>
    </w:p>
    <w:p w:rsidR="00153D09" w:rsidRDefault="00153D09"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reason for this pre-condition was forcefully exp</w:t>
      </w:r>
      <w:r w:rsidR="000678A0">
        <w:rPr>
          <w:rFonts w:ascii="Bookman Old Style" w:eastAsia="Arial Unicode MS" w:hAnsi="Bookman Old Style" w:cs="Arial Unicode MS"/>
          <w:sz w:val="24"/>
          <w:szCs w:val="24"/>
        </w:rPr>
        <w:t>lained by Lord Esher in the pass</w:t>
      </w:r>
      <w:r>
        <w:rPr>
          <w:rFonts w:ascii="Bookman Old Style" w:eastAsia="Arial Unicode MS" w:hAnsi="Bookman Old Style" w:cs="Arial Unicode MS"/>
          <w:sz w:val="24"/>
          <w:szCs w:val="24"/>
        </w:rPr>
        <w:t xml:space="preserve">age in his judgment in </w:t>
      </w:r>
      <w:r w:rsidRPr="00974DA4">
        <w:rPr>
          <w:rFonts w:ascii="Bookman Old Style" w:eastAsia="Arial Unicode MS" w:hAnsi="Bookman Old Style" w:cs="Arial Unicode MS"/>
          <w:i/>
          <w:sz w:val="24"/>
          <w:szCs w:val="24"/>
        </w:rPr>
        <w:t>Coulson v Coulson</w:t>
      </w:r>
      <w:r>
        <w:rPr>
          <w:rFonts w:ascii="Bookman Old Style" w:eastAsia="Arial Unicode MS" w:hAnsi="Bookman Old Style" w:cs="Arial Unicode MS"/>
          <w:sz w:val="24"/>
          <w:szCs w:val="24"/>
        </w:rPr>
        <w:t xml:space="preserve"> </w:t>
      </w:r>
      <w:r w:rsidR="000678A0">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supra); from which </w:t>
      </w:r>
      <w:r w:rsidR="008D1FCA">
        <w:rPr>
          <w:rFonts w:ascii="Bookman Old Style" w:eastAsia="Arial Unicode MS" w:hAnsi="Bookman Old Style" w:cs="Arial Unicode MS"/>
          <w:sz w:val="24"/>
          <w:szCs w:val="24"/>
        </w:rPr>
        <w:t>I</w:t>
      </w:r>
      <w:r>
        <w:rPr>
          <w:rFonts w:ascii="Bookman Old Style" w:eastAsia="Arial Unicode MS" w:hAnsi="Bookman Old Style" w:cs="Arial Unicode MS"/>
          <w:sz w:val="24"/>
          <w:szCs w:val="24"/>
        </w:rPr>
        <w:t xml:space="preserve"> hav</w:t>
      </w:r>
      <w:r w:rsidR="000678A0">
        <w:rPr>
          <w:rFonts w:ascii="Bookman Old Style" w:eastAsia="Arial Unicode MS" w:hAnsi="Bookman Old Style" w:cs="Arial Unicode MS"/>
          <w:sz w:val="24"/>
          <w:szCs w:val="24"/>
        </w:rPr>
        <w:t>e already quoted from above. Thu</w:t>
      </w:r>
      <w:r>
        <w:rPr>
          <w:rFonts w:ascii="Bookman Old Style" w:eastAsia="Arial Unicode MS" w:hAnsi="Bookman Old Style" w:cs="Arial Unicode MS"/>
          <w:sz w:val="24"/>
          <w:szCs w:val="24"/>
        </w:rPr>
        <w:t xml:space="preserve">s it is not sufficient for a claimant to establish that the words </w:t>
      </w:r>
      <w:r w:rsidR="008D1FCA">
        <w:rPr>
          <w:rFonts w:ascii="Bookman Old Style" w:eastAsia="Arial Unicode MS" w:hAnsi="Bookman Old Style" w:cs="Arial Unicode MS"/>
          <w:sz w:val="24"/>
          <w:szCs w:val="24"/>
        </w:rPr>
        <w:t>are capable of being defamatory;</w:t>
      </w:r>
      <w:r>
        <w:rPr>
          <w:rFonts w:ascii="Bookman Old Style" w:eastAsia="Arial Unicode MS" w:hAnsi="Bookman Old Style" w:cs="Arial Unicode MS"/>
          <w:sz w:val="24"/>
          <w:szCs w:val="24"/>
        </w:rPr>
        <w:t xml:space="preserve"> the Court must be satisfied that it would inevitably come to the conclusion that they are defamatory.</w:t>
      </w:r>
      <w:r>
        <w:rPr>
          <w:rStyle w:val="FootnoteReference"/>
          <w:rFonts w:ascii="Bookman Old Style" w:eastAsia="Arial Unicode MS" w:hAnsi="Bookman Old Style" w:cs="Arial Unicode MS"/>
          <w:sz w:val="24"/>
          <w:szCs w:val="24"/>
        </w:rPr>
        <w:footnoteReference w:id="42"/>
      </w:r>
      <w:r w:rsidRPr="00C304D4">
        <w:rPr>
          <w:rFonts w:ascii="Bookman Old Style" w:eastAsia="Arial Unicode MS" w:hAnsi="Bookman Old Style" w:cs="Arial Unicode MS"/>
          <w:sz w:val="24"/>
          <w:szCs w:val="24"/>
        </w:rPr>
        <w:t xml:space="preserve"> </w:t>
      </w:r>
    </w:p>
    <w:p w:rsidR="00153D09" w:rsidRDefault="00153D09" w:rsidP="00153D09">
      <w:pPr>
        <w:spacing w:before="240" w:line="360" w:lineRule="auto"/>
        <w:jc w:val="both"/>
        <w:rPr>
          <w:rFonts w:ascii="Bookman Old Style" w:eastAsia="Arial Unicode MS" w:hAnsi="Bookman Old Style" w:cs="Arial Unicode MS"/>
          <w:sz w:val="24"/>
          <w:szCs w:val="24"/>
        </w:rPr>
      </w:pPr>
      <w:r w:rsidRPr="006764CD">
        <w:rPr>
          <w:rFonts w:ascii="Bookman Old Style" w:eastAsia="Arial Unicode MS" w:hAnsi="Bookman Old Style" w:cs="Arial Unicode MS"/>
          <w:b/>
          <w:sz w:val="24"/>
          <w:szCs w:val="24"/>
        </w:rPr>
        <w:t>NO GROUNDS FOR THE TRUTH OF THE STATMENT</w:t>
      </w:r>
      <w:r>
        <w:rPr>
          <w:rFonts w:ascii="Bookman Old Style" w:eastAsia="Arial Unicode MS" w:hAnsi="Bookman Old Style" w:cs="Arial Unicode MS"/>
          <w:sz w:val="24"/>
          <w:szCs w:val="24"/>
        </w:rPr>
        <w:t>.</w:t>
      </w:r>
      <w:r w:rsidRPr="00C304D4">
        <w:rPr>
          <w:rFonts w:ascii="Bookman Old Style" w:eastAsia="Arial Unicode MS" w:hAnsi="Bookman Old Style" w:cs="Arial Unicode MS"/>
          <w:sz w:val="24"/>
          <w:szCs w:val="24"/>
        </w:rPr>
        <w:t xml:space="preserve"> </w:t>
      </w:r>
    </w:p>
    <w:p w:rsidR="00153D09" w:rsidRDefault="00153D09"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 practice it is customary</w:t>
      </w:r>
      <w:r w:rsidR="008D1FCA">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if not invariable for there to be some evidence even if limited to assertions by the claimant of the falsity of the allegations for in the </w:t>
      </w:r>
      <w:r>
        <w:rPr>
          <w:rFonts w:ascii="Bookman Old Style" w:eastAsia="Arial Unicode MS" w:hAnsi="Bookman Old Style" w:cs="Arial Unicode MS"/>
          <w:sz w:val="24"/>
          <w:szCs w:val="24"/>
        </w:rPr>
        <w:lastRenderedPageBreak/>
        <w:t>absence of such evidence the Court may in the exercise of its discretion, and having regard to the “</w:t>
      </w:r>
      <w:r w:rsidRPr="00F808AA">
        <w:rPr>
          <w:rFonts w:ascii="Bookman Old Style" w:eastAsia="Arial Unicode MS" w:hAnsi="Bookman Old Style" w:cs="Arial Unicode MS"/>
          <w:i/>
          <w:sz w:val="24"/>
          <w:szCs w:val="24"/>
        </w:rPr>
        <w:t>delicate nature</w:t>
      </w:r>
      <w:r w:rsidR="000678A0">
        <w:rPr>
          <w:rFonts w:ascii="Bookman Old Style" w:eastAsia="Arial Unicode MS" w:hAnsi="Bookman Old Style" w:cs="Arial Unicode MS"/>
          <w:sz w:val="24"/>
          <w:szCs w:val="24"/>
        </w:rPr>
        <w:t>” of the jurisdiction refus</w:t>
      </w:r>
      <w:r>
        <w:rPr>
          <w:rFonts w:ascii="Bookman Old Style" w:eastAsia="Arial Unicode MS" w:hAnsi="Bookman Old Style" w:cs="Arial Unicode MS"/>
          <w:sz w:val="24"/>
          <w:szCs w:val="24"/>
        </w:rPr>
        <w:t>e an injunction.</w:t>
      </w:r>
      <w:r>
        <w:rPr>
          <w:rStyle w:val="FootnoteReference"/>
          <w:rFonts w:ascii="Bookman Old Style" w:eastAsia="Arial Unicode MS" w:hAnsi="Bookman Old Style" w:cs="Arial Unicode MS"/>
          <w:sz w:val="24"/>
          <w:szCs w:val="24"/>
        </w:rPr>
        <w:footnoteReference w:id="43"/>
      </w:r>
      <w:r w:rsidRPr="00C304D4">
        <w:rPr>
          <w:rFonts w:ascii="Bookman Old Style" w:eastAsia="Arial Unicode MS" w:hAnsi="Bookman Old Style" w:cs="Arial Unicode MS"/>
          <w:sz w:val="24"/>
          <w:szCs w:val="24"/>
        </w:rPr>
        <w:t xml:space="preserve"> </w:t>
      </w:r>
    </w:p>
    <w:p w:rsidR="00153D09" w:rsidRPr="003E6B56" w:rsidRDefault="00153D09" w:rsidP="00153D09">
      <w:pPr>
        <w:spacing w:before="240" w:line="360" w:lineRule="auto"/>
        <w:jc w:val="both"/>
        <w:rPr>
          <w:rFonts w:ascii="Bookman Old Style" w:eastAsia="Arial Unicode MS" w:hAnsi="Bookman Old Style" w:cs="Arial Unicode MS"/>
          <w:b/>
          <w:sz w:val="24"/>
          <w:szCs w:val="24"/>
        </w:rPr>
      </w:pPr>
      <w:r w:rsidRPr="003E6B56">
        <w:rPr>
          <w:rFonts w:ascii="Bookman Old Style" w:eastAsia="Arial Unicode MS" w:hAnsi="Bookman Old Style" w:cs="Arial Unicode MS"/>
          <w:b/>
          <w:sz w:val="24"/>
          <w:szCs w:val="24"/>
        </w:rPr>
        <w:t xml:space="preserve">EVIDENCE OF AN INTENTION TO REPEAT OR PUBLISH </w:t>
      </w:r>
    </w:p>
    <w:p w:rsidR="00153D09" w:rsidRDefault="00153D09"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Court will not grant an interim injunction unless there is some evidence or there are grounds to infer that the defendant threatens and intends to continue the publication of the words.</w:t>
      </w:r>
      <w:r>
        <w:rPr>
          <w:rStyle w:val="FootnoteReference"/>
          <w:rFonts w:ascii="Bookman Old Style" w:eastAsia="Arial Unicode MS" w:hAnsi="Bookman Old Style" w:cs="Arial Unicode MS"/>
          <w:sz w:val="24"/>
          <w:szCs w:val="24"/>
        </w:rPr>
        <w:footnoteReference w:id="44"/>
      </w:r>
      <w:r w:rsidRPr="00C304D4">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However, where there has not yet been any publication of defamatory words, but there is threat of publication</w:t>
      </w:r>
      <w:r w:rsidR="008D1FCA">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 xml:space="preserve">the claimant need not wait for the publication to take place; he may seek to restrain publication, by means of </w:t>
      </w:r>
      <w:r w:rsidRPr="000678A0">
        <w:rPr>
          <w:rFonts w:ascii="Bookman Old Style" w:eastAsia="Arial Unicode MS" w:hAnsi="Bookman Old Style" w:cs="Arial Unicode MS"/>
          <w:i/>
          <w:sz w:val="24"/>
          <w:szCs w:val="24"/>
        </w:rPr>
        <w:t>quia timet</w:t>
      </w:r>
      <w:r>
        <w:rPr>
          <w:rFonts w:ascii="Bookman Old Style" w:eastAsia="Arial Unicode MS" w:hAnsi="Bookman Old Style" w:cs="Arial Unicode MS"/>
          <w:sz w:val="24"/>
          <w:szCs w:val="24"/>
        </w:rPr>
        <w:t xml:space="preserve"> order before it has taken place.</w:t>
      </w:r>
      <w:r>
        <w:rPr>
          <w:rStyle w:val="FootnoteReference"/>
          <w:rFonts w:ascii="Bookman Old Style" w:eastAsia="Arial Unicode MS" w:hAnsi="Bookman Old Style" w:cs="Arial Unicode MS"/>
          <w:sz w:val="24"/>
          <w:szCs w:val="24"/>
        </w:rPr>
        <w:footnoteReference w:id="45"/>
      </w:r>
    </w:p>
    <w:p w:rsidR="00153D09" w:rsidRDefault="00153D09"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As Lord Dunedin put it in </w:t>
      </w:r>
      <w:r w:rsidRPr="000678A0">
        <w:rPr>
          <w:rFonts w:ascii="Bookman Old Style" w:eastAsia="Arial Unicode MS" w:hAnsi="Bookman Old Style" w:cs="Arial Unicode MS"/>
          <w:i/>
          <w:sz w:val="24"/>
          <w:szCs w:val="24"/>
        </w:rPr>
        <w:t>Attorne</w:t>
      </w:r>
      <w:r w:rsidR="000678A0" w:rsidRPr="000678A0">
        <w:rPr>
          <w:rFonts w:ascii="Bookman Old Style" w:eastAsia="Arial Unicode MS" w:hAnsi="Bookman Old Style" w:cs="Arial Unicode MS"/>
          <w:i/>
          <w:sz w:val="24"/>
          <w:szCs w:val="24"/>
        </w:rPr>
        <w:t>y General for Canada v Ritchie C</w:t>
      </w:r>
      <w:r w:rsidRPr="000678A0">
        <w:rPr>
          <w:rFonts w:ascii="Bookman Old Style" w:eastAsia="Arial Unicode MS" w:hAnsi="Bookman Old Style" w:cs="Arial Unicode MS"/>
          <w:i/>
          <w:sz w:val="24"/>
          <w:szCs w:val="24"/>
        </w:rPr>
        <w:t>ontracting</w:t>
      </w:r>
      <w:r w:rsidR="000678A0">
        <w:rPr>
          <w:rFonts w:ascii="Bookman Old Style" w:eastAsia="Arial Unicode MS" w:hAnsi="Bookman Old Style" w:cs="Arial Unicode MS"/>
          <w:sz w:val="24"/>
          <w:szCs w:val="24"/>
        </w:rPr>
        <w:t>:</w:t>
      </w:r>
      <w:r>
        <w:rPr>
          <w:rStyle w:val="FootnoteReference"/>
          <w:rFonts w:ascii="Bookman Old Style" w:eastAsia="Arial Unicode MS" w:hAnsi="Bookman Old Style" w:cs="Arial Unicode MS"/>
          <w:sz w:val="24"/>
          <w:szCs w:val="24"/>
        </w:rPr>
        <w:footnoteReference w:id="46"/>
      </w:r>
      <w:r>
        <w:rPr>
          <w:rFonts w:ascii="Bookman Old Style" w:eastAsia="Arial Unicode MS" w:hAnsi="Bookman Old Style" w:cs="Arial Unicode MS"/>
          <w:sz w:val="24"/>
          <w:szCs w:val="24"/>
        </w:rPr>
        <w:t xml:space="preserve"> </w:t>
      </w:r>
    </w:p>
    <w:p w:rsidR="00D47B13" w:rsidRDefault="000678A0" w:rsidP="002329D6">
      <w:pPr>
        <w:spacing w:before="240" w:line="240" w:lineRule="auto"/>
        <w:jc w:val="both"/>
        <w:rPr>
          <w:rFonts w:ascii="Bookman Old Style" w:eastAsia="Arial Unicode MS" w:hAnsi="Bookman Old Style" w:cs="Arial Unicode MS"/>
          <w:i/>
          <w:sz w:val="24"/>
          <w:szCs w:val="24"/>
        </w:rPr>
      </w:pPr>
      <w:r>
        <w:rPr>
          <w:rFonts w:ascii="Bookman Old Style" w:eastAsia="Arial Unicode MS" w:hAnsi="Bookman Old Style" w:cs="Arial Unicode MS"/>
          <w:i/>
          <w:sz w:val="24"/>
          <w:szCs w:val="24"/>
        </w:rPr>
        <w:t>“But no one can obtain a qui</w:t>
      </w:r>
      <w:r w:rsidR="00153D09" w:rsidRPr="00725B70">
        <w:rPr>
          <w:rFonts w:ascii="Bookman Old Style" w:eastAsia="Arial Unicode MS" w:hAnsi="Bookman Old Style" w:cs="Arial Unicode MS"/>
          <w:i/>
          <w:sz w:val="24"/>
          <w:szCs w:val="24"/>
        </w:rPr>
        <w:t>a timet order by merely saying “Timeo</w:t>
      </w:r>
      <w:r>
        <w:rPr>
          <w:rFonts w:ascii="Bookman Old Style" w:eastAsia="Arial Unicode MS" w:hAnsi="Bookman Old Style" w:cs="Arial Unicode MS"/>
          <w:i/>
          <w:sz w:val="24"/>
          <w:szCs w:val="24"/>
        </w:rPr>
        <w:t>,</w:t>
      </w:r>
      <w:r w:rsidR="00153D09" w:rsidRPr="00725B70">
        <w:rPr>
          <w:rFonts w:ascii="Bookman Old Style" w:eastAsia="Arial Unicode MS" w:hAnsi="Bookman Old Style" w:cs="Arial Unicode MS"/>
          <w:i/>
          <w:sz w:val="24"/>
          <w:szCs w:val="24"/>
        </w:rPr>
        <w:t xml:space="preserve">” he must aver and prove that what is going </w:t>
      </w:r>
      <w:r>
        <w:rPr>
          <w:rFonts w:ascii="Bookman Old Style" w:eastAsia="Arial Unicode MS" w:hAnsi="Bookman Old Style" w:cs="Arial Unicode MS"/>
          <w:i/>
          <w:sz w:val="24"/>
          <w:szCs w:val="24"/>
        </w:rPr>
        <w:t xml:space="preserve">on </w:t>
      </w:r>
      <w:r w:rsidR="00153D09" w:rsidRPr="00725B70">
        <w:rPr>
          <w:rFonts w:ascii="Bookman Old Style" w:eastAsia="Arial Unicode MS" w:hAnsi="Bookman Old Style" w:cs="Arial Unicode MS"/>
          <w:i/>
          <w:sz w:val="24"/>
          <w:szCs w:val="24"/>
        </w:rPr>
        <w:t>is calculated to infringe his rights.”</w:t>
      </w:r>
    </w:p>
    <w:p w:rsidR="002329D6" w:rsidRDefault="002329D6" w:rsidP="002329D6">
      <w:pPr>
        <w:spacing w:before="240" w:line="240" w:lineRule="auto"/>
        <w:jc w:val="both"/>
        <w:rPr>
          <w:rFonts w:ascii="Bookman Old Style" w:eastAsia="Arial Unicode MS" w:hAnsi="Bookman Old Style" w:cs="Arial Unicode MS"/>
          <w:i/>
          <w:sz w:val="24"/>
          <w:szCs w:val="24"/>
        </w:rPr>
      </w:pPr>
    </w:p>
    <w:p w:rsidR="00910779" w:rsidRPr="002329D6" w:rsidRDefault="00910779" w:rsidP="002329D6">
      <w:pPr>
        <w:spacing w:before="240" w:line="240" w:lineRule="auto"/>
        <w:jc w:val="both"/>
        <w:rPr>
          <w:rFonts w:ascii="Bookman Old Style" w:eastAsia="Arial Unicode MS" w:hAnsi="Bookman Old Style" w:cs="Arial Unicode MS"/>
          <w:i/>
          <w:sz w:val="24"/>
          <w:szCs w:val="24"/>
        </w:rPr>
      </w:pPr>
    </w:p>
    <w:p w:rsidR="00153D09" w:rsidRPr="00725B70" w:rsidRDefault="00153D09" w:rsidP="00153D09">
      <w:pPr>
        <w:spacing w:before="240" w:line="360" w:lineRule="auto"/>
        <w:jc w:val="both"/>
        <w:rPr>
          <w:rFonts w:ascii="Bookman Old Style" w:eastAsia="Arial Unicode MS" w:hAnsi="Bookman Old Style" w:cs="Arial Unicode MS"/>
          <w:b/>
          <w:sz w:val="24"/>
          <w:szCs w:val="24"/>
        </w:rPr>
      </w:pPr>
      <w:r w:rsidRPr="00725B70">
        <w:rPr>
          <w:rFonts w:ascii="Bookman Old Style" w:eastAsia="Arial Unicode MS" w:hAnsi="Bookman Old Style" w:cs="Arial Unicode MS"/>
          <w:b/>
          <w:sz w:val="24"/>
          <w:szCs w:val="24"/>
        </w:rPr>
        <w:t>DEFENCES</w:t>
      </w:r>
    </w:p>
    <w:p w:rsidR="00153D09" w:rsidRDefault="00153D09"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w:t>
      </w:r>
      <w:r w:rsidRPr="000678A0">
        <w:rPr>
          <w:rFonts w:ascii="Bookman Old Style" w:eastAsia="Arial Unicode MS" w:hAnsi="Bookman Old Style" w:cs="Arial Unicode MS"/>
          <w:i/>
          <w:sz w:val="24"/>
          <w:szCs w:val="24"/>
        </w:rPr>
        <w:t>American Cynamid</w:t>
      </w:r>
      <w:r>
        <w:rPr>
          <w:rFonts w:ascii="Bookman Old Style" w:eastAsia="Arial Unicode MS" w:hAnsi="Bookman Old Style" w:cs="Arial Unicode MS"/>
          <w:sz w:val="24"/>
          <w:szCs w:val="24"/>
        </w:rPr>
        <w:t xml:space="preserve"> case</w:t>
      </w:r>
      <w:r w:rsidR="000678A0">
        <w:rPr>
          <w:rFonts w:ascii="Bookman Old Style" w:eastAsia="Arial Unicode MS" w:hAnsi="Bookman Old Style" w:cs="Arial Unicode MS"/>
          <w:sz w:val="24"/>
          <w:szCs w:val="24"/>
        </w:rPr>
        <w:t xml:space="preserve"> has not affected the previous</w:t>
      </w:r>
      <w:r>
        <w:rPr>
          <w:rFonts w:ascii="Bookman Old Style" w:eastAsia="Arial Unicode MS" w:hAnsi="Bookman Old Style" w:cs="Arial Unicode MS"/>
          <w:sz w:val="24"/>
          <w:szCs w:val="24"/>
        </w:rPr>
        <w:t xml:space="preserve"> ruling</w:t>
      </w:r>
      <w:r w:rsidR="000678A0">
        <w:rPr>
          <w:rFonts w:ascii="Bookman Old Style" w:eastAsia="Arial Unicode MS" w:hAnsi="Bookman Old Style" w:cs="Arial Unicode MS"/>
          <w:sz w:val="24"/>
          <w:szCs w:val="24"/>
        </w:rPr>
        <w:t>s</w:t>
      </w:r>
      <w:r>
        <w:rPr>
          <w:rFonts w:ascii="Bookman Old Style" w:eastAsia="Arial Unicode MS" w:hAnsi="Bookman Old Style" w:cs="Arial Unicode MS"/>
          <w:sz w:val="24"/>
          <w:szCs w:val="24"/>
        </w:rPr>
        <w:t xml:space="preserve"> that interim injunctions should not be issued in a libel action where the defendant raise</w:t>
      </w:r>
      <w:r w:rsidR="000678A0">
        <w:rPr>
          <w:rFonts w:ascii="Bookman Old Style" w:eastAsia="Arial Unicode MS" w:hAnsi="Bookman Old Style" w:cs="Arial Unicode MS"/>
          <w:sz w:val="24"/>
          <w:szCs w:val="24"/>
        </w:rPr>
        <w:t>s</w:t>
      </w:r>
      <w:r>
        <w:rPr>
          <w:rFonts w:ascii="Bookman Old Style" w:eastAsia="Arial Unicode MS" w:hAnsi="Bookman Old Style" w:cs="Arial Unicode MS"/>
          <w:sz w:val="24"/>
          <w:szCs w:val="24"/>
        </w:rPr>
        <w:t xml:space="preserve"> a defence whether of justification, fair comment on a matter of public interest</w:t>
      </w:r>
      <w:r w:rsidR="00D47B13">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or privilege</w:t>
      </w:r>
      <w:r w:rsidR="000678A0">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unless the defence would obviously fail.</w:t>
      </w:r>
      <w:r>
        <w:rPr>
          <w:rStyle w:val="FootnoteReference"/>
          <w:rFonts w:ascii="Bookman Old Style" w:eastAsia="Arial Unicode MS" w:hAnsi="Bookman Old Style" w:cs="Arial Unicode MS"/>
          <w:sz w:val="24"/>
          <w:szCs w:val="24"/>
        </w:rPr>
        <w:footnoteReference w:id="47"/>
      </w:r>
      <w:r>
        <w:rPr>
          <w:rFonts w:ascii="Bookman Old Style" w:eastAsia="Arial Unicode MS" w:hAnsi="Bookman Old Style" w:cs="Arial Unicode MS"/>
          <w:sz w:val="24"/>
          <w:szCs w:val="24"/>
        </w:rPr>
        <w:t xml:space="preserve"> Th</w:t>
      </w:r>
      <w:r w:rsidR="000678A0">
        <w:rPr>
          <w:rFonts w:ascii="Bookman Old Style" w:eastAsia="Arial Unicode MS" w:hAnsi="Bookman Old Style" w:cs="Arial Unicode MS"/>
          <w:sz w:val="24"/>
          <w:szCs w:val="24"/>
        </w:rPr>
        <w:t>us where defendant states that he int</w:t>
      </w:r>
      <w:r w:rsidR="00D47B13">
        <w:rPr>
          <w:rFonts w:ascii="Bookman Old Style" w:eastAsia="Arial Unicode MS" w:hAnsi="Bookman Old Style" w:cs="Arial Unicode MS"/>
          <w:sz w:val="24"/>
          <w:szCs w:val="24"/>
        </w:rPr>
        <w:t>ends to rely on any substantive</w:t>
      </w:r>
      <w:r>
        <w:rPr>
          <w:rFonts w:ascii="Bookman Old Style" w:eastAsia="Arial Unicode MS" w:hAnsi="Bookman Old Style" w:cs="Arial Unicode MS"/>
          <w:sz w:val="24"/>
          <w:szCs w:val="24"/>
        </w:rPr>
        <w:t xml:space="preserve"> defence, the Court will not grant an injunction even though the statement is </w:t>
      </w:r>
      <w:r w:rsidR="000678A0">
        <w:rPr>
          <w:rFonts w:ascii="Bookman Old Style" w:eastAsia="Arial Unicode MS" w:hAnsi="Bookman Old Style" w:cs="Arial Unicode MS"/>
          <w:sz w:val="24"/>
          <w:szCs w:val="24"/>
        </w:rPr>
        <w:t xml:space="preserve">unarguably </w:t>
      </w:r>
      <w:r>
        <w:rPr>
          <w:rFonts w:ascii="Bookman Old Style" w:eastAsia="Arial Unicode MS" w:hAnsi="Bookman Old Style" w:cs="Arial Unicode MS"/>
          <w:sz w:val="24"/>
          <w:szCs w:val="24"/>
        </w:rPr>
        <w:t>defamatory</w:t>
      </w:r>
      <w:r w:rsidR="000678A0">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or the defendant threatens or intends to publish the defamatory words or similar words, unless the defendant is clearly acting in bad faith</w:t>
      </w:r>
      <w:r w:rsidR="000678A0">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w:t>
      </w:r>
    </w:p>
    <w:p w:rsidR="00153D09" w:rsidRPr="000678A0" w:rsidRDefault="00153D09" w:rsidP="00153D09">
      <w:pPr>
        <w:spacing w:before="240" w:line="360" w:lineRule="auto"/>
        <w:jc w:val="both"/>
        <w:rPr>
          <w:rFonts w:ascii="Bookman Old Style" w:eastAsia="Arial Unicode MS" w:hAnsi="Bookman Old Style" w:cs="Arial Unicode MS"/>
          <w:b/>
          <w:sz w:val="24"/>
          <w:szCs w:val="24"/>
        </w:rPr>
      </w:pPr>
      <w:r w:rsidRPr="000678A0">
        <w:rPr>
          <w:rFonts w:ascii="Bookman Old Style" w:eastAsia="Arial Unicode MS" w:hAnsi="Bookman Old Style" w:cs="Arial Unicode MS"/>
          <w:b/>
          <w:sz w:val="24"/>
          <w:szCs w:val="24"/>
        </w:rPr>
        <w:lastRenderedPageBreak/>
        <w:t xml:space="preserve">JUSTIFICATION </w:t>
      </w:r>
    </w:p>
    <w:p w:rsidR="00305BE2" w:rsidRDefault="00D47B13"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Justification means truth.</w:t>
      </w:r>
      <w:r w:rsidR="00FB02C2">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It is an absolute defence in civil defamation claim that the statement in question is true, or substantially true.</w:t>
      </w:r>
      <w:r>
        <w:rPr>
          <w:rStyle w:val="FootnoteReference"/>
          <w:rFonts w:ascii="Bookman Old Style" w:eastAsia="Arial Unicode MS" w:hAnsi="Bookman Old Style" w:cs="Arial Unicode MS"/>
          <w:sz w:val="24"/>
          <w:szCs w:val="24"/>
        </w:rPr>
        <w:footnoteReference w:id="48"/>
      </w:r>
      <w:r>
        <w:rPr>
          <w:rFonts w:ascii="Bookman Old Style" w:eastAsia="Arial Unicode MS" w:hAnsi="Bookman Old Style" w:cs="Arial Unicode MS"/>
          <w:sz w:val="24"/>
          <w:szCs w:val="24"/>
        </w:rPr>
        <w:t xml:space="preserve"> It is irr</w:t>
      </w:r>
      <w:r w:rsidR="00494BD4">
        <w:rPr>
          <w:rFonts w:ascii="Bookman Old Style" w:eastAsia="Arial Unicode MS" w:hAnsi="Bookman Old Style" w:cs="Arial Unicode MS"/>
          <w:sz w:val="24"/>
          <w:szCs w:val="24"/>
        </w:rPr>
        <w:t>elevant for the purposes of def</w:t>
      </w:r>
      <w:r>
        <w:rPr>
          <w:rFonts w:ascii="Bookman Old Style" w:eastAsia="Arial Unicode MS" w:hAnsi="Bookman Old Style" w:cs="Arial Unicode MS"/>
          <w:sz w:val="24"/>
          <w:szCs w:val="24"/>
        </w:rPr>
        <w:t>a</w:t>
      </w:r>
      <w:r w:rsidR="00494BD4">
        <w:rPr>
          <w:rFonts w:ascii="Bookman Old Style" w:eastAsia="Arial Unicode MS" w:hAnsi="Bookman Old Style" w:cs="Arial Unicode MS"/>
          <w:sz w:val="24"/>
          <w:szCs w:val="24"/>
        </w:rPr>
        <w:t>ma</w:t>
      </w:r>
      <w:r>
        <w:rPr>
          <w:rFonts w:ascii="Bookman Old Style" w:eastAsia="Arial Unicode MS" w:hAnsi="Bookman Old Style" w:cs="Arial Unicode MS"/>
          <w:sz w:val="24"/>
          <w:szCs w:val="24"/>
        </w:rPr>
        <w:t>tion that its publication constitutes a gross breach of privacy or confidence or that it is contrary to public interest.</w:t>
      </w:r>
      <w:r>
        <w:rPr>
          <w:rStyle w:val="FootnoteReference"/>
          <w:rFonts w:ascii="Bookman Old Style" w:eastAsia="Arial Unicode MS" w:hAnsi="Bookman Old Style" w:cs="Arial Unicode MS"/>
          <w:sz w:val="24"/>
          <w:szCs w:val="24"/>
        </w:rPr>
        <w:footnoteReference w:id="49"/>
      </w:r>
      <w:r>
        <w:rPr>
          <w:rFonts w:ascii="Bookman Old Style" w:eastAsia="Arial Unicode MS" w:hAnsi="Bookman Old Style" w:cs="Arial Unicode MS"/>
          <w:sz w:val="24"/>
          <w:szCs w:val="24"/>
        </w:rPr>
        <w:t xml:space="preserve"> The purpose of civil law is to compensate </w:t>
      </w:r>
      <w:r w:rsidR="00494BD4">
        <w:rPr>
          <w:rFonts w:ascii="Bookman Old Style" w:eastAsia="Arial Unicode MS" w:hAnsi="Bookman Old Style" w:cs="Arial Unicode MS"/>
          <w:sz w:val="24"/>
          <w:szCs w:val="24"/>
        </w:rPr>
        <w:t>a claimant, not to punish a defendant</w:t>
      </w:r>
      <w:r>
        <w:rPr>
          <w:rFonts w:ascii="Bookman Old Style" w:eastAsia="Arial Unicode MS" w:hAnsi="Bookman Old Style" w:cs="Arial Unicode MS"/>
          <w:sz w:val="24"/>
          <w:szCs w:val="24"/>
        </w:rPr>
        <w:t>.</w:t>
      </w:r>
      <w:r>
        <w:rPr>
          <w:rStyle w:val="FootnoteReference"/>
          <w:rFonts w:ascii="Bookman Old Style" w:eastAsia="Arial Unicode MS" w:hAnsi="Bookman Old Style" w:cs="Arial Unicode MS"/>
          <w:sz w:val="24"/>
          <w:szCs w:val="24"/>
        </w:rPr>
        <w:footnoteReference w:id="50"/>
      </w:r>
      <w:r>
        <w:rPr>
          <w:rFonts w:ascii="Bookman Old Style" w:eastAsia="Arial Unicode MS" w:hAnsi="Bookman Old Style" w:cs="Arial Unicode MS"/>
          <w:sz w:val="24"/>
          <w:szCs w:val="24"/>
        </w:rPr>
        <w:t xml:space="preserve"> A claimant is not entitled to be compensated for a reputation that he does not deserve. As Littledale said in </w:t>
      </w:r>
      <w:r w:rsidRPr="00B033D8">
        <w:rPr>
          <w:rFonts w:ascii="Bookman Old Style" w:eastAsia="Arial Unicode MS" w:hAnsi="Bookman Old Style" w:cs="Arial Unicode MS"/>
          <w:i/>
          <w:sz w:val="24"/>
          <w:szCs w:val="24"/>
        </w:rPr>
        <w:t>M’Pherson v Daniels</w:t>
      </w:r>
      <w:r w:rsidR="0003622A">
        <w:rPr>
          <w:rFonts w:ascii="Bookman Old Style" w:eastAsia="Arial Unicode MS" w:hAnsi="Bookman Old Style" w:cs="Arial Unicode MS"/>
          <w:i/>
          <w:sz w:val="24"/>
          <w:szCs w:val="24"/>
        </w:rPr>
        <w:t>:</w:t>
      </w:r>
      <w:r w:rsidR="00B033D8">
        <w:rPr>
          <w:rStyle w:val="FootnoteReference"/>
          <w:rFonts w:ascii="Bookman Old Style" w:eastAsia="Arial Unicode MS" w:hAnsi="Bookman Old Style" w:cs="Arial Unicode MS"/>
          <w:i/>
          <w:sz w:val="24"/>
          <w:szCs w:val="24"/>
        </w:rPr>
        <w:footnoteReference w:id="51"/>
      </w:r>
      <w:r>
        <w:rPr>
          <w:rFonts w:ascii="Bookman Old Style" w:eastAsia="Arial Unicode MS" w:hAnsi="Bookman Old Style" w:cs="Arial Unicode MS"/>
          <w:sz w:val="24"/>
          <w:szCs w:val="24"/>
        </w:rPr>
        <w:t xml:space="preserve"> </w:t>
      </w:r>
    </w:p>
    <w:p w:rsidR="00D577FE" w:rsidRPr="00D577FE" w:rsidRDefault="00313E41" w:rsidP="00D577FE">
      <w:pPr>
        <w:spacing w:before="240" w:line="240" w:lineRule="auto"/>
        <w:jc w:val="both"/>
        <w:rPr>
          <w:rFonts w:ascii="Bookman Old Style" w:eastAsia="Arial Unicode MS" w:hAnsi="Bookman Old Style" w:cs="Arial Unicode MS"/>
          <w:i/>
          <w:sz w:val="24"/>
          <w:szCs w:val="24"/>
        </w:rPr>
      </w:pPr>
      <w:r w:rsidRPr="00D577FE">
        <w:rPr>
          <w:rFonts w:ascii="Bookman Old Style" w:eastAsia="Arial Unicode MS" w:hAnsi="Bookman Old Style" w:cs="Arial Unicode MS"/>
          <w:i/>
          <w:sz w:val="24"/>
          <w:szCs w:val="24"/>
        </w:rPr>
        <w:t>“The law will not permit a man to reco</w:t>
      </w:r>
      <w:r w:rsidR="00494BD4">
        <w:rPr>
          <w:rFonts w:ascii="Bookman Old Style" w:eastAsia="Arial Unicode MS" w:hAnsi="Bookman Old Style" w:cs="Arial Unicode MS"/>
          <w:i/>
          <w:sz w:val="24"/>
          <w:szCs w:val="24"/>
        </w:rPr>
        <w:t>ver damages in respect of injury</w:t>
      </w:r>
      <w:r w:rsidRPr="00D577FE">
        <w:rPr>
          <w:rFonts w:ascii="Bookman Old Style" w:eastAsia="Arial Unicode MS" w:hAnsi="Bookman Old Style" w:cs="Arial Unicode MS"/>
          <w:i/>
          <w:sz w:val="24"/>
          <w:szCs w:val="24"/>
        </w:rPr>
        <w:t xml:space="preserve"> to a character which he either do</w:t>
      </w:r>
      <w:r w:rsidR="00494BD4">
        <w:rPr>
          <w:rFonts w:ascii="Bookman Old Style" w:eastAsia="Arial Unicode MS" w:hAnsi="Bookman Old Style" w:cs="Arial Unicode MS"/>
          <w:i/>
          <w:sz w:val="24"/>
          <w:szCs w:val="24"/>
        </w:rPr>
        <w:t>e</w:t>
      </w:r>
      <w:r w:rsidRPr="00D577FE">
        <w:rPr>
          <w:rFonts w:ascii="Bookman Old Style" w:eastAsia="Arial Unicode MS" w:hAnsi="Bookman Old Style" w:cs="Arial Unicode MS"/>
          <w:i/>
          <w:sz w:val="24"/>
          <w:szCs w:val="24"/>
        </w:rPr>
        <w:t>s not, or ought not to possess.”</w:t>
      </w:r>
    </w:p>
    <w:p w:rsidR="00D577FE" w:rsidRDefault="00D577FE" w:rsidP="00153D09">
      <w:pPr>
        <w:spacing w:before="240" w:line="360" w:lineRule="auto"/>
        <w:jc w:val="both"/>
        <w:rPr>
          <w:rFonts w:ascii="Bookman Old Style" w:eastAsia="Arial Unicode MS" w:hAnsi="Bookman Old Style" w:cs="Arial Unicode MS"/>
          <w:sz w:val="24"/>
          <w:szCs w:val="24"/>
        </w:rPr>
      </w:pPr>
    </w:p>
    <w:p w:rsidR="00AE6B33" w:rsidRDefault="00D577FE"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Where the defendant contends that the words complained of are true, and asse</w:t>
      </w:r>
      <w:r w:rsidR="00FB02C2">
        <w:rPr>
          <w:rFonts w:ascii="Bookman Old Style" w:eastAsia="Arial Unicode MS" w:hAnsi="Bookman Old Style" w:cs="Arial Unicode MS"/>
          <w:sz w:val="24"/>
          <w:szCs w:val="24"/>
        </w:rPr>
        <w:t xml:space="preserve">rts that they will </w:t>
      </w:r>
      <w:r>
        <w:rPr>
          <w:rFonts w:ascii="Bookman Old Style" w:eastAsia="Arial Unicode MS" w:hAnsi="Bookman Old Style" w:cs="Arial Unicode MS"/>
          <w:sz w:val="24"/>
          <w:szCs w:val="24"/>
        </w:rPr>
        <w:t>plead, and seek at trial to prove the defence of justification, the Court will not grant an interim injunc</w:t>
      </w:r>
      <w:r w:rsidR="00B033D8">
        <w:rPr>
          <w:rFonts w:ascii="Bookman Old Style" w:eastAsia="Arial Unicode MS" w:hAnsi="Bookman Old Style" w:cs="Arial Unicode MS"/>
          <w:sz w:val="24"/>
          <w:szCs w:val="24"/>
        </w:rPr>
        <w:t>tion, unless exceptionally the C</w:t>
      </w:r>
      <w:r>
        <w:rPr>
          <w:rFonts w:ascii="Bookman Old Style" w:eastAsia="Arial Unicode MS" w:hAnsi="Bookman Old Style" w:cs="Arial Unicode MS"/>
          <w:sz w:val="24"/>
          <w:szCs w:val="24"/>
        </w:rPr>
        <w:t>ourt is satisfied that such a defence is one that cannot succeed.</w:t>
      </w:r>
      <w:r>
        <w:rPr>
          <w:rStyle w:val="FootnoteReference"/>
          <w:rFonts w:ascii="Bookman Old Style" w:eastAsia="Arial Unicode MS" w:hAnsi="Bookman Old Style" w:cs="Arial Unicode MS"/>
          <w:sz w:val="24"/>
          <w:szCs w:val="24"/>
        </w:rPr>
        <w:footnoteReference w:id="52"/>
      </w:r>
      <w:r w:rsidR="00313E41">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Where the defendant indicates that he will plead justification, the test is whether the words are so manifestly untrue that the defence must fail.</w:t>
      </w:r>
      <w:r>
        <w:rPr>
          <w:rStyle w:val="FootnoteReference"/>
          <w:rFonts w:ascii="Bookman Old Style" w:eastAsia="Arial Unicode MS" w:hAnsi="Bookman Old Style" w:cs="Arial Unicode MS"/>
          <w:sz w:val="24"/>
          <w:szCs w:val="24"/>
        </w:rPr>
        <w:footnoteReference w:id="53"/>
      </w:r>
      <w:r>
        <w:rPr>
          <w:rFonts w:ascii="Bookman Old Style" w:eastAsia="Arial Unicode MS" w:hAnsi="Bookman Old Style" w:cs="Arial Unicode MS"/>
          <w:sz w:val="24"/>
          <w:szCs w:val="24"/>
        </w:rPr>
        <w:t xml:space="preserve"> It is not enough for a defendant in the face of a statement that the words are untrue to merely state that he intends to justify.</w:t>
      </w:r>
      <w:r w:rsidR="00AE6B33">
        <w:rPr>
          <w:rFonts w:ascii="Bookman Old Style" w:eastAsia="Arial Unicode MS" w:hAnsi="Bookman Old Style" w:cs="Arial Unicode MS"/>
          <w:sz w:val="24"/>
          <w:szCs w:val="24"/>
        </w:rPr>
        <w:t xml:space="preserve"> Before pleading justification</w:t>
      </w:r>
      <w:r w:rsidR="00485375">
        <w:rPr>
          <w:rFonts w:ascii="Bookman Old Style" w:eastAsia="Arial Unicode MS" w:hAnsi="Bookman Old Style" w:cs="Arial Unicode MS"/>
          <w:sz w:val="24"/>
          <w:szCs w:val="24"/>
        </w:rPr>
        <w:t>,</w:t>
      </w:r>
      <w:r w:rsidR="00AE6B33">
        <w:rPr>
          <w:rFonts w:ascii="Bookman Old Style" w:eastAsia="Arial Unicode MS" w:hAnsi="Bookman Old Style" w:cs="Arial Unicode MS"/>
          <w:sz w:val="24"/>
          <w:szCs w:val="24"/>
        </w:rPr>
        <w:t xml:space="preserve"> a defendant should believe that the words complained of were true, intend to support the defence at trial, and have reasonable evidence to support the plea or reasonable grounds to suppose that sufficient evidence to prove the allegations would be available at trial.</w:t>
      </w:r>
      <w:r w:rsidR="00AE6B33">
        <w:rPr>
          <w:rStyle w:val="FootnoteReference"/>
          <w:rFonts w:ascii="Bookman Old Style" w:eastAsia="Arial Unicode MS" w:hAnsi="Bookman Old Style" w:cs="Arial Unicode MS"/>
          <w:sz w:val="24"/>
          <w:szCs w:val="24"/>
        </w:rPr>
        <w:footnoteReference w:id="54"/>
      </w:r>
      <w:r w:rsidR="00AE6B33">
        <w:rPr>
          <w:rFonts w:ascii="Bookman Old Style" w:eastAsia="Arial Unicode MS" w:hAnsi="Bookman Old Style" w:cs="Arial Unicode MS"/>
          <w:sz w:val="24"/>
          <w:szCs w:val="24"/>
        </w:rPr>
        <w:t xml:space="preserve"> A defendant is obliged to plead clearly, </w:t>
      </w:r>
      <w:r w:rsidR="00AE6B33">
        <w:rPr>
          <w:rFonts w:ascii="Bookman Old Style" w:eastAsia="Arial Unicode MS" w:hAnsi="Bookman Old Style" w:cs="Arial Unicode MS"/>
          <w:sz w:val="24"/>
          <w:szCs w:val="24"/>
        </w:rPr>
        <w:lastRenderedPageBreak/>
        <w:t>and without obfuscation the meaning, and or meanings which he seeks to justify.</w:t>
      </w:r>
      <w:r w:rsidR="00AE6B33">
        <w:rPr>
          <w:rStyle w:val="FootnoteReference"/>
          <w:rFonts w:ascii="Bookman Old Style" w:eastAsia="Arial Unicode MS" w:hAnsi="Bookman Old Style" w:cs="Arial Unicode MS"/>
          <w:sz w:val="24"/>
          <w:szCs w:val="24"/>
        </w:rPr>
        <w:footnoteReference w:id="55"/>
      </w:r>
      <w:r w:rsidR="00AE6B33">
        <w:rPr>
          <w:rFonts w:ascii="Bookman Old Style" w:eastAsia="Arial Unicode MS" w:hAnsi="Bookman Old Style" w:cs="Arial Unicode MS"/>
          <w:sz w:val="24"/>
          <w:szCs w:val="24"/>
        </w:rPr>
        <w:t xml:space="preserve"> </w:t>
      </w:r>
    </w:p>
    <w:p w:rsidR="008E7C2D" w:rsidRDefault="00F45797"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For the purpose of defending a libel claim there is a fundamental difference between a statement of fact, and statement of opinion.</w:t>
      </w:r>
      <w:r>
        <w:rPr>
          <w:rStyle w:val="FootnoteReference"/>
          <w:rFonts w:ascii="Bookman Old Style" w:eastAsia="Arial Unicode MS" w:hAnsi="Bookman Old Style" w:cs="Arial Unicode MS"/>
          <w:sz w:val="24"/>
          <w:szCs w:val="24"/>
        </w:rPr>
        <w:footnoteReference w:id="56"/>
      </w:r>
      <w:r>
        <w:rPr>
          <w:rFonts w:ascii="Bookman Old Style" w:eastAsia="Arial Unicode MS" w:hAnsi="Bookman Old Style" w:cs="Arial Unicode MS"/>
          <w:sz w:val="24"/>
          <w:szCs w:val="24"/>
        </w:rPr>
        <w:t xml:space="preserve"> The defence of justification protects a statement of fact, and the defence fair comment protects statement of opinion.</w:t>
      </w:r>
      <w:r>
        <w:rPr>
          <w:rStyle w:val="FootnoteReference"/>
          <w:rFonts w:ascii="Bookman Old Style" w:eastAsia="Arial Unicode MS" w:hAnsi="Bookman Old Style" w:cs="Arial Unicode MS"/>
          <w:sz w:val="24"/>
          <w:szCs w:val="24"/>
        </w:rPr>
        <w:footnoteReference w:id="57"/>
      </w:r>
      <w:r>
        <w:rPr>
          <w:rFonts w:ascii="Bookman Old Style" w:eastAsia="Arial Unicode MS" w:hAnsi="Bookman Old Style" w:cs="Arial Unicode MS"/>
          <w:sz w:val="24"/>
          <w:szCs w:val="24"/>
        </w:rPr>
        <w:t xml:space="preserve"> The fact relied on to support a plea of justification must be properly particularised, since the plaintiff ought to be able to go to trial with knowledge of the acts which it will </w:t>
      </w:r>
      <w:r w:rsidR="00B033D8">
        <w:rPr>
          <w:rFonts w:ascii="Bookman Old Style" w:eastAsia="Arial Unicode MS" w:hAnsi="Bookman Old Style" w:cs="Arial Unicode MS"/>
          <w:sz w:val="24"/>
          <w:szCs w:val="24"/>
        </w:rPr>
        <w:t xml:space="preserve">be </w:t>
      </w:r>
      <w:r>
        <w:rPr>
          <w:rFonts w:ascii="Bookman Old Style" w:eastAsia="Arial Unicode MS" w:hAnsi="Bookman Old Style" w:cs="Arial Unicode MS"/>
          <w:sz w:val="24"/>
          <w:szCs w:val="24"/>
        </w:rPr>
        <w:t>alleged he has committed.</w:t>
      </w:r>
      <w:r>
        <w:rPr>
          <w:rStyle w:val="FootnoteReference"/>
          <w:rFonts w:ascii="Bookman Old Style" w:eastAsia="Arial Unicode MS" w:hAnsi="Bookman Old Style" w:cs="Arial Unicode MS"/>
          <w:sz w:val="24"/>
          <w:szCs w:val="24"/>
        </w:rPr>
        <w:footnoteReference w:id="58"/>
      </w:r>
      <w:r>
        <w:rPr>
          <w:rFonts w:ascii="Bookman Old Style" w:eastAsia="Arial Unicode MS" w:hAnsi="Bookman Old Style" w:cs="Arial Unicode MS"/>
          <w:sz w:val="24"/>
          <w:szCs w:val="24"/>
        </w:rPr>
        <w:t xml:space="preserve"> Accordingly</w:t>
      </w:r>
      <w:r w:rsidR="0003622A">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 defendant who plead</w:t>
      </w:r>
      <w:r w:rsidR="00485375">
        <w:rPr>
          <w:rFonts w:ascii="Bookman Old Style" w:eastAsia="Arial Unicode MS" w:hAnsi="Bookman Old Style" w:cs="Arial Unicode MS"/>
          <w:sz w:val="24"/>
          <w:szCs w:val="24"/>
        </w:rPr>
        <w:t>s</w:t>
      </w:r>
      <w:r>
        <w:rPr>
          <w:rFonts w:ascii="Bookman Old Style" w:eastAsia="Arial Unicode MS" w:hAnsi="Bookman Old Style" w:cs="Arial Unicode MS"/>
          <w:sz w:val="24"/>
          <w:szCs w:val="24"/>
        </w:rPr>
        <w:t xml:space="preserve"> justification to a general charge must give full particulars of the facts he relies on as showing that the defamatory statement is true.</w:t>
      </w:r>
      <w:r>
        <w:rPr>
          <w:rStyle w:val="FootnoteReference"/>
          <w:rFonts w:ascii="Bookman Old Style" w:eastAsia="Arial Unicode MS" w:hAnsi="Bookman Old Style" w:cs="Arial Unicode MS"/>
          <w:sz w:val="24"/>
          <w:szCs w:val="24"/>
        </w:rPr>
        <w:footnoteReference w:id="59"/>
      </w:r>
      <w:r>
        <w:rPr>
          <w:rFonts w:ascii="Bookman Old Style" w:eastAsia="Arial Unicode MS" w:hAnsi="Bookman Old Style" w:cs="Arial Unicode MS"/>
          <w:sz w:val="24"/>
          <w:szCs w:val="24"/>
        </w:rPr>
        <w:t xml:space="preserve"> The particulars must be relevant, and must be capable of justifying the meaning, or </w:t>
      </w:r>
      <w:r w:rsidR="00485375">
        <w:rPr>
          <w:rFonts w:ascii="Bookman Old Style" w:eastAsia="Arial Unicode MS" w:hAnsi="Bookman Old Style" w:cs="Arial Unicode MS"/>
          <w:sz w:val="24"/>
          <w:szCs w:val="24"/>
        </w:rPr>
        <w:t>meanings that</w:t>
      </w:r>
      <w:r w:rsidR="00B033D8">
        <w:rPr>
          <w:rFonts w:ascii="Bookman Old Style" w:eastAsia="Arial Unicode MS" w:hAnsi="Bookman Old Style" w:cs="Arial Unicode MS"/>
          <w:sz w:val="24"/>
          <w:szCs w:val="24"/>
        </w:rPr>
        <w:t xml:space="preserve"> the defendants seek</w:t>
      </w:r>
      <w:r w:rsidR="008E7C2D">
        <w:rPr>
          <w:rFonts w:ascii="Bookman Old Style" w:eastAsia="Arial Unicode MS" w:hAnsi="Bookman Old Style" w:cs="Arial Unicode MS"/>
          <w:sz w:val="24"/>
          <w:szCs w:val="24"/>
        </w:rPr>
        <w:t xml:space="preserve"> to justify.</w:t>
      </w:r>
      <w:r w:rsidR="008E7C2D">
        <w:rPr>
          <w:rStyle w:val="FootnoteReference"/>
          <w:rFonts w:ascii="Bookman Old Style" w:eastAsia="Arial Unicode MS" w:hAnsi="Bookman Old Style" w:cs="Arial Unicode MS"/>
          <w:sz w:val="24"/>
          <w:szCs w:val="24"/>
        </w:rPr>
        <w:footnoteReference w:id="60"/>
      </w:r>
      <w:r w:rsidR="008E7C2D">
        <w:rPr>
          <w:rFonts w:ascii="Bookman Old Style" w:eastAsia="Arial Unicode MS" w:hAnsi="Bookman Old Style" w:cs="Arial Unicode MS"/>
          <w:sz w:val="24"/>
          <w:szCs w:val="24"/>
        </w:rPr>
        <w:t xml:space="preserve"> It must be noticed that section 6 of the Defamation Act</w:t>
      </w:r>
      <w:r w:rsidR="00B033D8">
        <w:rPr>
          <w:rFonts w:ascii="Bookman Old Style" w:eastAsia="Arial Unicode MS" w:hAnsi="Bookman Old Style" w:cs="Arial Unicode MS"/>
          <w:sz w:val="24"/>
          <w:szCs w:val="24"/>
        </w:rPr>
        <w:t>,</w:t>
      </w:r>
      <w:r w:rsidR="008E7C2D">
        <w:rPr>
          <w:rStyle w:val="FootnoteReference"/>
          <w:rFonts w:ascii="Bookman Old Style" w:eastAsia="Arial Unicode MS" w:hAnsi="Bookman Old Style" w:cs="Arial Unicode MS"/>
          <w:sz w:val="24"/>
          <w:szCs w:val="24"/>
        </w:rPr>
        <w:footnoteReference w:id="61"/>
      </w:r>
      <w:r>
        <w:rPr>
          <w:rFonts w:ascii="Bookman Old Style" w:eastAsia="Arial Unicode MS" w:hAnsi="Bookman Old Style" w:cs="Arial Unicode MS"/>
          <w:sz w:val="24"/>
          <w:szCs w:val="24"/>
        </w:rPr>
        <w:t xml:space="preserve"> </w:t>
      </w:r>
      <w:r w:rsidR="008E7C2D">
        <w:rPr>
          <w:rFonts w:ascii="Bookman Old Style" w:eastAsia="Arial Unicode MS" w:hAnsi="Bookman Old Style" w:cs="Arial Unicode MS"/>
          <w:sz w:val="24"/>
          <w:szCs w:val="24"/>
        </w:rPr>
        <w:t xml:space="preserve">provides for a statutory defence of justification as follows: </w:t>
      </w:r>
    </w:p>
    <w:p w:rsidR="008E7C2D" w:rsidRPr="008E7C2D" w:rsidRDefault="00485375" w:rsidP="008E7C2D">
      <w:pPr>
        <w:spacing w:before="240" w:line="240" w:lineRule="auto"/>
        <w:jc w:val="both"/>
        <w:rPr>
          <w:rFonts w:ascii="Bookman Old Style" w:eastAsia="Arial Unicode MS" w:hAnsi="Bookman Old Style" w:cs="Arial Unicode MS"/>
          <w:i/>
          <w:sz w:val="24"/>
          <w:szCs w:val="24"/>
        </w:rPr>
      </w:pPr>
      <w:r>
        <w:rPr>
          <w:rFonts w:ascii="Bookman Old Style" w:eastAsia="Arial Unicode MS" w:hAnsi="Bookman Old Style" w:cs="Arial Unicode MS"/>
          <w:i/>
          <w:sz w:val="24"/>
          <w:szCs w:val="24"/>
        </w:rPr>
        <w:t>“I</w:t>
      </w:r>
      <w:r w:rsidR="008E7C2D" w:rsidRPr="008E7C2D">
        <w:rPr>
          <w:rFonts w:ascii="Bookman Old Style" w:eastAsia="Arial Unicode MS" w:hAnsi="Bookman Old Style" w:cs="Arial Unicode MS"/>
          <w:i/>
          <w:sz w:val="24"/>
          <w:szCs w:val="24"/>
        </w:rPr>
        <w:t xml:space="preserve">n an action for libel or slander in respect of words contained </w:t>
      </w:r>
      <w:r w:rsidR="00B033D8">
        <w:rPr>
          <w:rFonts w:ascii="Bookman Old Style" w:eastAsia="Arial Unicode MS" w:hAnsi="Bookman Old Style" w:cs="Arial Unicode MS"/>
          <w:i/>
          <w:sz w:val="24"/>
          <w:szCs w:val="24"/>
        </w:rPr>
        <w:t xml:space="preserve">in </w:t>
      </w:r>
      <w:r w:rsidR="008E7C2D" w:rsidRPr="008E7C2D">
        <w:rPr>
          <w:rFonts w:ascii="Bookman Old Style" w:eastAsia="Arial Unicode MS" w:hAnsi="Bookman Old Style" w:cs="Arial Unicode MS"/>
          <w:i/>
          <w:sz w:val="24"/>
          <w:szCs w:val="24"/>
        </w:rPr>
        <w:t>two, or more distinct charges against the plaintiff a defence of justification shall not fail by reason only that the truth of every charge is not proved</w:t>
      </w:r>
      <w:r w:rsidR="00B033D8">
        <w:rPr>
          <w:rFonts w:ascii="Bookman Old Style" w:eastAsia="Arial Unicode MS" w:hAnsi="Bookman Old Style" w:cs="Arial Unicode MS"/>
          <w:i/>
          <w:sz w:val="24"/>
          <w:szCs w:val="24"/>
        </w:rPr>
        <w:t xml:space="preserve"> if the words not proved to be true</w:t>
      </w:r>
      <w:r w:rsidR="008E7C2D" w:rsidRPr="008E7C2D">
        <w:rPr>
          <w:rFonts w:ascii="Bookman Old Style" w:eastAsia="Arial Unicode MS" w:hAnsi="Bookman Old Style" w:cs="Arial Unicode MS"/>
          <w:i/>
          <w:sz w:val="24"/>
          <w:szCs w:val="24"/>
        </w:rPr>
        <w:t>, do not materially injure the plaintiff’s reputation having regard to the truth of the remaining charges.”</w:t>
      </w:r>
    </w:p>
    <w:p w:rsidR="008E7C2D" w:rsidRPr="008E7C2D" w:rsidRDefault="008E7C2D" w:rsidP="008E7C2D">
      <w:pPr>
        <w:spacing w:before="240" w:line="240" w:lineRule="auto"/>
        <w:jc w:val="both"/>
        <w:rPr>
          <w:rFonts w:ascii="Bookman Old Style" w:eastAsia="Arial Unicode MS" w:hAnsi="Bookman Old Style" w:cs="Arial Unicode MS"/>
          <w:i/>
          <w:sz w:val="24"/>
          <w:szCs w:val="24"/>
        </w:rPr>
      </w:pPr>
    </w:p>
    <w:p w:rsidR="001E76BF" w:rsidRDefault="008E7C2D"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effect of the preceding provisions is therefore that no injunction will be granted even in relation to facts which are clearly untrue if there is genuine argument as to whether they materially affect the claimant’s reputation, assuming that the other matters in the publication which the defendant asserts to be true are indeed true.</w:t>
      </w:r>
      <w:r>
        <w:rPr>
          <w:rStyle w:val="FootnoteReference"/>
          <w:rFonts w:ascii="Bookman Old Style" w:eastAsia="Arial Unicode MS" w:hAnsi="Bookman Old Style" w:cs="Arial Unicode MS"/>
          <w:sz w:val="24"/>
          <w:szCs w:val="24"/>
        </w:rPr>
        <w:footnoteReference w:id="62"/>
      </w:r>
      <w:r>
        <w:rPr>
          <w:rFonts w:ascii="Bookman Old Style" w:eastAsia="Arial Unicode MS" w:hAnsi="Bookman Old Style" w:cs="Arial Unicode MS"/>
          <w:sz w:val="24"/>
          <w:szCs w:val="24"/>
        </w:rPr>
        <w:t xml:space="preserve"> If a defendant wishes to rely on the </w:t>
      </w:r>
      <w:r>
        <w:rPr>
          <w:rFonts w:ascii="Bookman Old Style" w:eastAsia="Arial Unicode MS" w:hAnsi="Bookman Old Style" w:cs="Arial Unicode MS"/>
          <w:sz w:val="24"/>
          <w:szCs w:val="24"/>
        </w:rPr>
        <w:lastRenderedPageBreak/>
        <w:t>statutory defence of justifica</w:t>
      </w:r>
      <w:r w:rsidR="00485375">
        <w:rPr>
          <w:rFonts w:ascii="Bookman Old Style" w:eastAsia="Arial Unicode MS" w:hAnsi="Bookman Old Style" w:cs="Arial Unicode MS"/>
          <w:sz w:val="24"/>
          <w:szCs w:val="24"/>
        </w:rPr>
        <w:t>tion</w:t>
      </w:r>
      <w:r w:rsidR="0003622A">
        <w:rPr>
          <w:rFonts w:ascii="Bookman Old Style" w:eastAsia="Arial Unicode MS" w:hAnsi="Bookman Old Style" w:cs="Arial Unicode MS"/>
          <w:sz w:val="24"/>
          <w:szCs w:val="24"/>
        </w:rPr>
        <w:t>, i</w:t>
      </w:r>
      <w:r w:rsidR="00485375">
        <w:rPr>
          <w:rFonts w:ascii="Bookman Old Style" w:eastAsia="Arial Unicode MS" w:hAnsi="Bookman Old Style" w:cs="Arial Unicode MS"/>
          <w:sz w:val="24"/>
          <w:szCs w:val="24"/>
        </w:rPr>
        <w:t>t</w:t>
      </w:r>
      <w:r>
        <w:rPr>
          <w:rFonts w:ascii="Bookman Old Style" w:eastAsia="Arial Unicode MS" w:hAnsi="Bookman Old Style" w:cs="Arial Unicode MS"/>
          <w:sz w:val="24"/>
          <w:szCs w:val="24"/>
        </w:rPr>
        <w:t xml:space="preserve"> must be specifically pleaded.</w:t>
      </w:r>
      <w:r>
        <w:rPr>
          <w:rStyle w:val="FootnoteReference"/>
          <w:rFonts w:ascii="Bookman Old Style" w:eastAsia="Arial Unicode MS" w:hAnsi="Bookman Old Style" w:cs="Arial Unicode MS"/>
          <w:sz w:val="24"/>
          <w:szCs w:val="24"/>
        </w:rPr>
        <w:footnoteReference w:id="63"/>
      </w:r>
      <w:r>
        <w:rPr>
          <w:rFonts w:ascii="Bookman Old Style" w:eastAsia="Arial Unicode MS" w:hAnsi="Bookman Old Style" w:cs="Arial Unicode MS"/>
          <w:sz w:val="24"/>
          <w:szCs w:val="24"/>
        </w:rPr>
        <w:t xml:space="preserve"> </w:t>
      </w:r>
      <w:r w:rsidR="00BC7400">
        <w:rPr>
          <w:rFonts w:ascii="Bookman Old Style" w:eastAsia="Arial Unicode MS" w:hAnsi="Bookman Old Style" w:cs="Arial Unicode MS"/>
          <w:sz w:val="24"/>
          <w:szCs w:val="24"/>
        </w:rPr>
        <w:t>It is a reflection of the importance accorded to reputation that there is a presumption</w:t>
      </w:r>
      <w:r w:rsidR="001D499F">
        <w:rPr>
          <w:rFonts w:ascii="Bookman Old Style" w:eastAsia="Arial Unicode MS" w:hAnsi="Bookman Old Style" w:cs="Arial Unicode MS"/>
          <w:sz w:val="24"/>
          <w:szCs w:val="24"/>
        </w:rPr>
        <w:t xml:space="preserve"> that any defamatory statement is false.</w:t>
      </w:r>
      <w:r w:rsidR="001D499F">
        <w:rPr>
          <w:rStyle w:val="FootnoteReference"/>
          <w:rFonts w:ascii="Bookman Old Style" w:eastAsia="Arial Unicode MS" w:hAnsi="Bookman Old Style" w:cs="Arial Unicode MS"/>
          <w:sz w:val="24"/>
          <w:szCs w:val="24"/>
        </w:rPr>
        <w:footnoteReference w:id="64"/>
      </w:r>
      <w:r w:rsidR="00BC7400">
        <w:rPr>
          <w:rFonts w:ascii="Bookman Old Style" w:eastAsia="Arial Unicode MS" w:hAnsi="Bookman Old Style" w:cs="Arial Unicode MS"/>
          <w:sz w:val="24"/>
          <w:szCs w:val="24"/>
        </w:rPr>
        <w:t xml:space="preserve"> </w:t>
      </w:r>
      <w:r w:rsidR="00970612">
        <w:rPr>
          <w:rFonts w:ascii="Bookman Old Style" w:eastAsia="Arial Unicode MS" w:hAnsi="Bookman Old Style" w:cs="Arial Unicode MS"/>
          <w:sz w:val="24"/>
          <w:szCs w:val="24"/>
        </w:rPr>
        <w:t>The defendant can only rebut the presumption by pleading, and proving that it is true.</w:t>
      </w:r>
      <w:r w:rsidR="00970612">
        <w:rPr>
          <w:rStyle w:val="FootnoteReference"/>
          <w:rFonts w:ascii="Bookman Old Style" w:eastAsia="Arial Unicode MS" w:hAnsi="Bookman Old Style" w:cs="Arial Unicode MS"/>
          <w:sz w:val="24"/>
          <w:szCs w:val="24"/>
        </w:rPr>
        <w:footnoteReference w:id="65"/>
      </w:r>
      <w:r w:rsidR="00970612">
        <w:rPr>
          <w:rFonts w:ascii="Bookman Old Style" w:eastAsia="Arial Unicode MS" w:hAnsi="Bookman Old Style" w:cs="Arial Unicode MS"/>
          <w:sz w:val="24"/>
          <w:szCs w:val="24"/>
        </w:rPr>
        <w:t xml:space="preserve"> Thus the burden of proof in justification is firmly on the defendant.</w:t>
      </w:r>
      <w:r w:rsidR="00970612">
        <w:rPr>
          <w:rStyle w:val="FootnoteReference"/>
          <w:rFonts w:ascii="Bookman Old Style" w:eastAsia="Arial Unicode MS" w:hAnsi="Bookman Old Style" w:cs="Arial Unicode MS"/>
          <w:sz w:val="24"/>
          <w:szCs w:val="24"/>
        </w:rPr>
        <w:footnoteReference w:id="66"/>
      </w:r>
      <w:r w:rsidR="00970612">
        <w:rPr>
          <w:rFonts w:ascii="Bookman Old Style" w:eastAsia="Arial Unicode MS" w:hAnsi="Bookman Old Style" w:cs="Arial Unicode MS"/>
          <w:sz w:val="24"/>
          <w:szCs w:val="24"/>
        </w:rPr>
        <w:t xml:space="preserve"> The standard of proof is the normal civil one of the balance of probabilities.</w:t>
      </w:r>
      <w:r w:rsidR="00C90909">
        <w:rPr>
          <w:rStyle w:val="FootnoteReference"/>
          <w:rFonts w:ascii="Bookman Old Style" w:eastAsia="Arial Unicode MS" w:hAnsi="Bookman Old Style" w:cs="Arial Unicode MS"/>
          <w:sz w:val="24"/>
          <w:szCs w:val="24"/>
        </w:rPr>
        <w:footnoteReference w:id="67"/>
      </w:r>
      <w:r w:rsidR="00970612">
        <w:rPr>
          <w:rFonts w:ascii="Bookman Old Style" w:eastAsia="Arial Unicode MS" w:hAnsi="Bookman Old Style" w:cs="Arial Unicode MS"/>
          <w:sz w:val="24"/>
          <w:szCs w:val="24"/>
        </w:rPr>
        <w:t xml:space="preserve"> In sum, justification has traditionally been regard</w:t>
      </w:r>
      <w:r w:rsidR="00B033D8">
        <w:rPr>
          <w:rFonts w:ascii="Bookman Old Style" w:eastAsia="Arial Unicode MS" w:hAnsi="Bookman Old Style" w:cs="Arial Unicode MS"/>
          <w:sz w:val="24"/>
          <w:szCs w:val="24"/>
        </w:rPr>
        <w:t>ed as the main defence to a def</w:t>
      </w:r>
      <w:r w:rsidR="00970612">
        <w:rPr>
          <w:rFonts w:ascii="Bookman Old Style" w:eastAsia="Arial Unicode MS" w:hAnsi="Bookman Old Style" w:cs="Arial Unicode MS"/>
          <w:sz w:val="24"/>
          <w:szCs w:val="24"/>
        </w:rPr>
        <w:t>a</w:t>
      </w:r>
      <w:r w:rsidR="00B033D8">
        <w:rPr>
          <w:rFonts w:ascii="Bookman Old Style" w:eastAsia="Arial Unicode MS" w:hAnsi="Bookman Old Style" w:cs="Arial Unicode MS"/>
          <w:sz w:val="24"/>
          <w:szCs w:val="24"/>
        </w:rPr>
        <w:t>ma</w:t>
      </w:r>
      <w:r w:rsidR="00970612">
        <w:rPr>
          <w:rFonts w:ascii="Bookman Old Style" w:eastAsia="Arial Unicode MS" w:hAnsi="Bookman Old Style" w:cs="Arial Unicode MS"/>
          <w:sz w:val="24"/>
          <w:szCs w:val="24"/>
        </w:rPr>
        <w:t>tion claim.</w:t>
      </w:r>
      <w:r w:rsidR="00970612">
        <w:rPr>
          <w:rStyle w:val="FootnoteReference"/>
          <w:rFonts w:ascii="Bookman Old Style" w:eastAsia="Arial Unicode MS" w:hAnsi="Bookman Old Style" w:cs="Arial Unicode MS"/>
          <w:sz w:val="24"/>
          <w:szCs w:val="24"/>
        </w:rPr>
        <w:footnoteReference w:id="68"/>
      </w:r>
      <w:r w:rsidR="00C90909">
        <w:rPr>
          <w:rFonts w:ascii="Bookman Old Style" w:eastAsia="Arial Unicode MS" w:hAnsi="Bookman Old Style" w:cs="Arial Unicode MS"/>
          <w:sz w:val="24"/>
          <w:szCs w:val="24"/>
        </w:rPr>
        <w:t xml:space="preserve"> However, its primacy has to an extent waned in recent years.</w:t>
      </w:r>
      <w:r w:rsidR="00C90909">
        <w:rPr>
          <w:rStyle w:val="FootnoteReference"/>
          <w:rFonts w:ascii="Bookman Old Style" w:eastAsia="Arial Unicode MS" w:hAnsi="Bookman Old Style" w:cs="Arial Unicode MS"/>
          <w:sz w:val="24"/>
          <w:szCs w:val="24"/>
        </w:rPr>
        <w:footnoteReference w:id="69"/>
      </w:r>
      <w:r w:rsidR="00C90909">
        <w:rPr>
          <w:rFonts w:ascii="Bookman Old Style" w:eastAsia="Arial Unicode MS" w:hAnsi="Bookman Old Style" w:cs="Arial Unicode MS"/>
          <w:sz w:val="24"/>
          <w:szCs w:val="24"/>
        </w:rPr>
        <w:t xml:space="preserve"> Developments in fair c</w:t>
      </w:r>
      <w:r w:rsidR="0003622A">
        <w:rPr>
          <w:rFonts w:ascii="Bookman Old Style" w:eastAsia="Arial Unicode MS" w:hAnsi="Bookman Old Style" w:cs="Arial Unicode MS"/>
          <w:sz w:val="24"/>
          <w:szCs w:val="24"/>
        </w:rPr>
        <w:t>omment, and qualified privilege</w:t>
      </w:r>
      <w:r w:rsidR="00C90909">
        <w:rPr>
          <w:rFonts w:ascii="Bookman Old Style" w:eastAsia="Arial Unicode MS" w:hAnsi="Bookman Old Style" w:cs="Arial Unicode MS"/>
          <w:sz w:val="24"/>
          <w:szCs w:val="24"/>
        </w:rPr>
        <w:t xml:space="preserve"> have made these defences more available and attractive.</w:t>
      </w:r>
      <w:r w:rsidR="00C90909">
        <w:rPr>
          <w:rStyle w:val="FootnoteReference"/>
          <w:rFonts w:ascii="Bookman Old Style" w:eastAsia="Arial Unicode MS" w:hAnsi="Bookman Old Style" w:cs="Arial Unicode MS"/>
          <w:sz w:val="24"/>
          <w:szCs w:val="24"/>
        </w:rPr>
        <w:footnoteReference w:id="70"/>
      </w:r>
      <w:r w:rsidR="00970612">
        <w:rPr>
          <w:rFonts w:ascii="Bookman Old Style" w:eastAsia="Arial Unicode MS" w:hAnsi="Bookman Old Style" w:cs="Arial Unicode MS"/>
          <w:sz w:val="24"/>
          <w:szCs w:val="24"/>
        </w:rPr>
        <w:t xml:space="preserve">  </w:t>
      </w:r>
      <w:r w:rsidR="00D577FE">
        <w:rPr>
          <w:rFonts w:ascii="Bookman Old Style" w:eastAsia="Arial Unicode MS" w:hAnsi="Bookman Old Style" w:cs="Arial Unicode MS"/>
          <w:sz w:val="24"/>
          <w:szCs w:val="24"/>
        </w:rPr>
        <w:t xml:space="preserve"> </w:t>
      </w:r>
    </w:p>
    <w:p w:rsidR="001E76BF" w:rsidRDefault="001E76BF" w:rsidP="00153D09">
      <w:pPr>
        <w:spacing w:before="240" w:line="360" w:lineRule="auto"/>
        <w:jc w:val="both"/>
        <w:rPr>
          <w:rFonts w:ascii="Bookman Old Style" w:eastAsia="Arial Unicode MS" w:hAnsi="Bookman Old Style" w:cs="Arial Unicode MS"/>
          <w:sz w:val="24"/>
          <w:szCs w:val="24"/>
        </w:rPr>
      </w:pPr>
    </w:p>
    <w:p w:rsidR="00305BE2" w:rsidRPr="00017363" w:rsidRDefault="00305BE2" w:rsidP="00153D09">
      <w:pPr>
        <w:spacing w:before="240" w:line="360" w:lineRule="auto"/>
        <w:jc w:val="both"/>
        <w:rPr>
          <w:rFonts w:ascii="Bookman Old Style" w:eastAsia="Arial Unicode MS" w:hAnsi="Bookman Old Style" w:cs="Arial Unicode MS"/>
          <w:b/>
          <w:sz w:val="24"/>
          <w:szCs w:val="24"/>
        </w:rPr>
      </w:pPr>
      <w:r w:rsidRPr="00017363">
        <w:rPr>
          <w:rFonts w:ascii="Bookman Old Style" w:eastAsia="Arial Unicode MS" w:hAnsi="Bookman Old Style" w:cs="Arial Unicode MS"/>
          <w:b/>
          <w:sz w:val="24"/>
          <w:szCs w:val="24"/>
        </w:rPr>
        <w:t>FAIR COMMENT</w:t>
      </w:r>
    </w:p>
    <w:p w:rsidR="004D77DE" w:rsidRDefault="00A46035"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defence of fair comment on a matter of public interest is available to everyone. However, this defence is of particular importance to the media. Freedom of expression, and press freedom is largely protected by this defence. It is important to keep in mind that this defence is concerned with the protection of comment, a</w:t>
      </w:r>
      <w:r w:rsidR="00276C61">
        <w:rPr>
          <w:rFonts w:ascii="Bookman Old Style" w:eastAsia="Arial Unicode MS" w:hAnsi="Bookman Old Style" w:cs="Arial Unicode MS"/>
          <w:sz w:val="24"/>
          <w:szCs w:val="24"/>
        </w:rPr>
        <w:t>n</w:t>
      </w:r>
      <w:r>
        <w:rPr>
          <w:rFonts w:ascii="Bookman Old Style" w:eastAsia="Arial Unicode MS" w:hAnsi="Bookman Old Style" w:cs="Arial Unicode MS"/>
          <w:sz w:val="24"/>
          <w:szCs w:val="24"/>
        </w:rPr>
        <w:t>d not imputations of fact.</w:t>
      </w:r>
      <w:r>
        <w:rPr>
          <w:rStyle w:val="FootnoteReference"/>
          <w:rFonts w:ascii="Bookman Old Style" w:eastAsia="Arial Unicode MS" w:hAnsi="Bookman Old Style" w:cs="Arial Unicode MS"/>
          <w:sz w:val="24"/>
          <w:szCs w:val="24"/>
        </w:rPr>
        <w:footnoteReference w:id="71"/>
      </w:r>
      <w:r>
        <w:rPr>
          <w:rFonts w:ascii="Bookman Old Style" w:eastAsia="Arial Unicode MS" w:hAnsi="Bookman Old Style" w:cs="Arial Unicode MS"/>
          <w:sz w:val="24"/>
          <w:szCs w:val="24"/>
        </w:rPr>
        <w:t xml:space="preserve"> </w:t>
      </w:r>
      <w:r w:rsidR="005953C7">
        <w:rPr>
          <w:rFonts w:ascii="Bookman Old Style" w:eastAsia="Arial Unicode MS" w:hAnsi="Bookman Old Style" w:cs="Arial Unicode MS"/>
          <w:sz w:val="24"/>
          <w:szCs w:val="24"/>
        </w:rPr>
        <w:t>If the imputation is one fact</w:t>
      </w:r>
      <w:r w:rsidR="00485375">
        <w:rPr>
          <w:rFonts w:ascii="Bookman Old Style" w:eastAsia="Arial Unicode MS" w:hAnsi="Bookman Old Style" w:cs="Arial Unicode MS"/>
          <w:sz w:val="24"/>
          <w:szCs w:val="24"/>
        </w:rPr>
        <w:t>,</w:t>
      </w:r>
      <w:r w:rsidR="005953C7">
        <w:rPr>
          <w:rFonts w:ascii="Bookman Old Style" w:eastAsia="Arial Unicode MS" w:hAnsi="Bookman Old Style" w:cs="Arial Unicode MS"/>
          <w:sz w:val="24"/>
          <w:szCs w:val="24"/>
        </w:rPr>
        <w:t xml:space="preserve"> a ground of defence must be sought elsewhere.</w:t>
      </w:r>
      <w:r w:rsidR="005953C7">
        <w:rPr>
          <w:rStyle w:val="FootnoteReference"/>
          <w:rFonts w:ascii="Bookman Old Style" w:eastAsia="Arial Unicode MS" w:hAnsi="Bookman Old Style" w:cs="Arial Unicode MS"/>
          <w:sz w:val="24"/>
          <w:szCs w:val="24"/>
        </w:rPr>
        <w:footnoteReference w:id="72"/>
      </w:r>
      <w:r w:rsidR="005953C7">
        <w:rPr>
          <w:rFonts w:ascii="Bookman Old Style" w:eastAsia="Arial Unicode MS" w:hAnsi="Bookman Old Style" w:cs="Arial Unicode MS"/>
          <w:sz w:val="24"/>
          <w:szCs w:val="24"/>
        </w:rPr>
        <w:t xml:space="preserve"> Further, to be within this defence, the fair comment</w:t>
      </w:r>
      <w:r w:rsidR="00276C61">
        <w:rPr>
          <w:rFonts w:ascii="Bookman Old Style" w:eastAsia="Arial Unicode MS" w:hAnsi="Bookman Old Style" w:cs="Arial Unicode MS"/>
          <w:sz w:val="24"/>
          <w:szCs w:val="24"/>
        </w:rPr>
        <w:t xml:space="preserve"> must be recognised as comment</w:t>
      </w:r>
      <w:r w:rsidR="005953C7">
        <w:rPr>
          <w:rFonts w:ascii="Bookman Old Style" w:eastAsia="Arial Unicode MS" w:hAnsi="Bookman Old Style" w:cs="Arial Unicode MS"/>
          <w:sz w:val="24"/>
          <w:szCs w:val="24"/>
        </w:rPr>
        <w:t xml:space="preserve"> as distinct </w:t>
      </w:r>
      <w:r w:rsidR="00B033D8">
        <w:rPr>
          <w:rFonts w:ascii="Bookman Old Style" w:eastAsia="Arial Unicode MS" w:hAnsi="Bookman Old Style" w:cs="Arial Unicode MS"/>
          <w:sz w:val="24"/>
          <w:szCs w:val="24"/>
        </w:rPr>
        <w:t>from</w:t>
      </w:r>
      <w:r w:rsidR="005953C7">
        <w:rPr>
          <w:rFonts w:ascii="Bookman Old Style" w:eastAsia="Arial Unicode MS" w:hAnsi="Bookman Old Style" w:cs="Arial Unicode MS"/>
          <w:sz w:val="24"/>
          <w:szCs w:val="24"/>
        </w:rPr>
        <w:t xml:space="preserve"> an imputation of fact.</w:t>
      </w:r>
      <w:r w:rsidR="005953C7">
        <w:rPr>
          <w:rStyle w:val="FootnoteReference"/>
          <w:rFonts w:ascii="Bookman Old Style" w:eastAsia="Arial Unicode MS" w:hAnsi="Bookman Old Style" w:cs="Arial Unicode MS"/>
          <w:sz w:val="24"/>
          <w:szCs w:val="24"/>
        </w:rPr>
        <w:footnoteReference w:id="73"/>
      </w:r>
      <w:r w:rsidR="005953C7">
        <w:rPr>
          <w:rFonts w:ascii="Bookman Old Style" w:eastAsia="Arial Unicode MS" w:hAnsi="Bookman Old Style" w:cs="Arial Unicode MS"/>
          <w:sz w:val="24"/>
          <w:szCs w:val="24"/>
        </w:rPr>
        <w:t xml:space="preserve"> The comment must explicitly, or implicitly indicate at least in general terms, the facts on which the comment is being made.</w:t>
      </w:r>
      <w:r w:rsidR="00276C61">
        <w:rPr>
          <w:rFonts w:ascii="Bookman Old Style" w:eastAsia="Arial Unicode MS" w:hAnsi="Bookman Old Style" w:cs="Arial Unicode MS"/>
          <w:sz w:val="24"/>
          <w:szCs w:val="24"/>
        </w:rPr>
        <w:t xml:space="preserve"> </w:t>
      </w:r>
      <w:r w:rsidR="005953C7">
        <w:rPr>
          <w:rFonts w:ascii="Bookman Old Style" w:eastAsia="Arial Unicode MS" w:hAnsi="Bookman Old Style" w:cs="Arial Unicode MS"/>
          <w:sz w:val="24"/>
          <w:szCs w:val="24"/>
        </w:rPr>
        <w:t>One constraint does exist upon this defence.</w:t>
      </w:r>
      <w:r w:rsidR="00276C61">
        <w:rPr>
          <w:rFonts w:ascii="Bookman Old Style" w:eastAsia="Arial Unicode MS" w:hAnsi="Bookman Old Style" w:cs="Arial Unicode MS"/>
          <w:sz w:val="24"/>
          <w:szCs w:val="24"/>
        </w:rPr>
        <w:t xml:space="preserve"> </w:t>
      </w:r>
      <w:r w:rsidR="004D77DE">
        <w:rPr>
          <w:rFonts w:ascii="Bookman Old Style" w:eastAsia="Arial Unicode MS" w:hAnsi="Bookman Old Style" w:cs="Arial Unicode MS"/>
          <w:sz w:val="24"/>
          <w:szCs w:val="24"/>
        </w:rPr>
        <w:t xml:space="preserve">The comment must represent the </w:t>
      </w:r>
      <w:r w:rsidR="004D77DE">
        <w:rPr>
          <w:rFonts w:ascii="Bookman Old Style" w:eastAsia="Arial Unicode MS" w:hAnsi="Bookman Old Style" w:cs="Arial Unicode MS"/>
          <w:sz w:val="24"/>
          <w:szCs w:val="24"/>
        </w:rPr>
        <w:lastRenderedPageBreak/>
        <w:t>honest belief of its author. If the plaintiff proves he was actuated by malice, this ground of defence will fail. The defence of honest comment does not cover defamatory statements of facts.</w:t>
      </w:r>
      <w:r w:rsidR="00276C61">
        <w:rPr>
          <w:rFonts w:ascii="Bookman Old Style" w:eastAsia="Arial Unicode MS" w:hAnsi="Bookman Old Style" w:cs="Arial Unicode MS"/>
          <w:sz w:val="24"/>
          <w:szCs w:val="24"/>
        </w:rPr>
        <w:t xml:space="preserve"> </w:t>
      </w:r>
      <w:r w:rsidR="004D77DE">
        <w:rPr>
          <w:rFonts w:ascii="Bookman Old Style" w:eastAsia="Arial Unicode MS" w:hAnsi="Bookman Old Style" w:cs="Arial Unicode MS"/>
          <w:sz w:val="24"/>
          <w:szCs w:val="24"/>
        </w:rPr>
        <w:t>The essence of this defence lies in the law</w:t>
      </w:r>
      <w:r w:rsidR="00276C61">
        <w:rPr>
          <w:rFonts w:ascii="Bookman Old Style" w:eastAsia="Arial Unicode MS" w:hAnsi="Bookman Old Style" w:cs="Arial Unicode MS"/>
          <w:sz w:val="24"/>
          <w:szCs w:val="24"/>
        </w:rPr>
        <w:t>’</w:t>
      </w:r>
      <w:r w:rsidR="004D77DE">
        <w:rPr>
          <w:rFonts w:ascii="Bookman Old Style" w:eastAsia="Arial Unicode MS" w:hAnsi="Bookman Old Style" w:cs="Arial Unicode MS"/>
          <w:sz w:val="24"/>
          <w:szCs w:val="24"/>
        </w:rPr>
        <w:t>s recognition of the need in the public interest for a particular recipient to receive frank, and uninhibited communication of particular information from a particular source.</w:t>
      </w:r>
      <w:r w:rsidR="004D77DE">
        <w:rPr>
          <w:rStyle w:val="FootnoteReference"/>
          <w:rFonts w:ascii="Bookman Old Style" w:eastAsia="Arial Unicode MS" w:hAnsi="Bookman Old Style" w:cs="Arial Unicode MS"/>
          <w:sz w:val="24"/>
          <w:szCs w:val="24"/>
        </w:rPr>
        <w:footnoteReference w:id="74"/>
      </w:r>
      <w:r w:rsidR="004D77DE">
        <w:rPr>
          <w:rFonts w:ascii="Bookman Old Style" w:eastAsia="Arial Unicode MS" w:hAnsi="Bookman Old Style" w:cs="Arial Unicode MS"/>
          <w:sz w:val="24"/>
          <w:szCs w:val="24"/>
        </w:rPr>
        <w:t xml:space="preserve"> </w:t>
      </w:r>
    </w:p>
    <w:p w:rsidR="004D77DE" w:rsidRDefault="004D77DE" w:rsidP="00153D09">
      <w:pPr>
        <w:spacing w:before="240" w:line="360" w:lineRule="auto"/>
        <w:jc w:val="both"/>
        <w:rPr>
          <w:rFonts w:ascii="Bookman Old Style" w:eastAsia="Arial Unicode MS" w:hAnsi="Bookman Old Style" w:cs="Arial Unicode MS"/>
          <w:sz w:val="24"/>
          <w:szCs w:val="24"/>
        </w:rPr>
      </w:pPr>
    </w:p>
    <w:p w:rsidR="004D77DE" w:rsidRDefault="004D77DE"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Whether a sta</w:t>
      </w:r>
      <w:r w:rsidR="00276C61">
        <w:rPr>
          <w:rFonts w:ascii="Bookman Old Style" w:eastAsia="Arial Unicode MS" w:hAnsi="Bookman Old Style" w:cs="Arial Unicode MS"/>
          <w:sz w:val="24"/>
          <w:szCs w:val="24"/>
        </w:rPr>
        <w:t>te</w:t>
      </w:r>
      <w:r>
        <w:rPr>
          <w:rFonts w:ascii="Bookman Old Style" w:eastAsia="Arial Unicode MS" w:hAnsi="Bookman Old Style" w:cs="Arial Unicode MS"/>
          <w:sz w:val="24"/>
          <w:szCs w:val="24"/>
        </w:rPr>
        <w:t>men</w:t>
      </w:r>
      <w:r w:rsidR="00276C61">
        <w:rPr>
          <w:rFonts w:ascii="Bookman Old Style" w:eastAsia="Arial Unicode MS" w:hAnsi="Bookman Old Style" w:cs="Arial Unicode MS"/>
          <w:sz w:val="24"/>
          <w:szCs w:val="24"/>
        </w:rPr>
        <w:t>t</w:t>
      </w:r>
      <w:r>
        <w:rPr>
          <w:rFonts w:ascii="Bookman Old Style" w:eastAsia="Arial Unicode MS" w:hAnsi="Bookman Old Style" w:cs="Arial Unicode MS"/>
          <w:sz w:val="24"/>
          <w:szCs w:val="24"/>
        </w:rPr>
        <w:t xml:space="preserve"> is a fact or not, can be a very difficult distinction particularly because in many publications there is a mixture of both.</w:t>
      </w:r>
      <w:r>
        <w:rPr>
          <w:rStyle w:val="FootnoteReference"/>
          <w:rFonts w:ascii="Bookman Old Style" w:eastAsia="Arial Unicode MS" w:hAnsi="Bookman Old Style" w:cs="Arial Unicode MS"/>
          <w:sz w:val="24"/>
          <w:szCs w:val="24"/>
        </w:rPr>
        <w:footnoteReference w:id="75"/>
      </w:r>
      <w:r>
        <w:rPr>
          <w:rFonts w:ascii="Bookman Old Style" w:eastAsia="Arial Unicode MS" w:hAnsi="Bookman Old Style" w:cs="Arial Unicode MS"/>
          <w:sz w:val="24"/>
          <w:szCs w:val="24"/>
        </w:rPr>
        <w:t xml:space="preserve"> In </w:t>
      </w:r>
      <w:r w:rsidRPr="004D77DE">
        <w:rPr>
          <w:rFonts w:ascii="Bookman Old Style" w:eastAsia="Arial Unicode MS" w:hAnsi="Bookman Old Style" w:cs="Arial Unicode MS"/>
          <w:i/>
          <w:sz w:val="24"/>
          <w:szCs w:val="24"/>
        </w:rPr>
        <w:t>Branson v Bower</w:t>
      </w:r>
      <w:r>
        <w:rPr>
          <w:rStyle w:val="FootnoteReference"/>
          <w:rFonts w:ascii="Bookman Old Style" w:eastAsia="Arial Unicode MS" w:hAnsi="Bookman Old Style" w:cs="Arial Unicode MS"/>
          <w:sz w:val="24"/>
          <w:szCs w:val="24"/>
        </w:rPr>
        <w:footnoteReference w:id="76"/>
      </w:r>
      <w:r>
        <w:rPr>
          <w:rFonts w:ascii="Bookman Old Style" w:eastAsia="Arial Unicode MS" w:hAnsi="Bookman Old Style" w:cs="Arial Unicode MS"/>
          <w:sz w:val="24"/>
          <w:szCs w:val="24"/>
        </w:rPr>
        <w:t xml:space="preserve"> Latham L.J. approved the judgment of Cussen. J. In </w:t>
      </w:r>
      <w:r w:rsidRPr="004D77DE">
        <w:rPr>
          <w:rFonts w:ascii="Bookman Old Style" w:eastAsia="Arial Unicode MS" w:hAnsi="Bookman Old Style" w:cs="Arial Unicode MS"/>
          <w:i/>
          <w:sz w:val="24"/>
          <w:szCs w:val="24"/>
        </w:rPr>
        <w:t>Clarke v Norton</w:t>
      </w:r>
      <w:r>
        <w:rPr>
          <w:rStyle w:val="FootnoteReference"/>
          <w:rFonts w:ascii="Bookman Old Style" w:eastAsia="Arial Unicode MS" w:hAnsi="Bookman Old Style" w:cs="Arial Unicode MS"/>
          <w:sz w:val="24"/>
          <w:szCs w:val="24"/>
        </w:rPr>
        <w:footnoteReference w:id="77"/>
      </w:r>
      <w:r>
        <w:rPr>
          <w:rFonts w:ascii="Bookman Old Style" w:eastAsia="Arial Unicode MS" w:hAnsi="Bookman Old Style" w:cs="Arial Unicode MS"/>
          <w:sz w:val="24"/>
          <w:szCs w:val="24"/>
        </w:rPr>
        <w:t xml:space="preserve"> where he said:</w:t>
      </w:r>
    </w:p>
    <w:p w:rsidR="004D77DE" w:rsidRDefault="004D77DE" w:rsidP="00604A5D">
      <w:pPr>
        <w:spacing w:before="240" w:line="24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t>
      </w:r>
      <w:r w:rsidRPr="00604A5D">
        <w:rPr>
          <w:rFonts w:ascii="Bookman Old Style" w:eastAsia="Arial Unicode MS" w:hAnsi="Bookman Old Style" w:cs="Arial Unicode MS"/>
          <w:i/>
          <w:sz w:val="24"/>
          <w:szCs w:val="24"/>
        </w:rPr>
        <w:t>More accurately, it has been said that the sense of comment is something which is or can reasonably be inferred to be a deduction, inference, conclusion, criticism, remark, observation etc.”</w:t>
      </w:r>
      <w:r>
        <w:rPr>
          <w:rFonts w:ascii="Bookman Old Style" w:eastAsia="Arial Unicode MS" w:hAnsi="Bookman Old Style" w:cs="Arial Unicode MS"/>
          <w:sz w:val="24"/>
          <w:szCs w:val="24"/>
        </w:rPr>
        <w:t xml:space="preserve"> </w:t>
      </w:r>
    </w:p>
    <w:p w:rsidR="003423FA" w:rsidRDefault="004D77DE"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Where the statement</w:t>
      </w:r>
      <w:r w:rsidR="005817A2">
        <w:rPr>
          <w:rFonts w:ascii="Bookman Old Style" w:eastAsia="Arial Unicode MS" w:hAnsi="Bookman Old Style" w:cs="Arial Unicode MS"/>
          <w:sz w:val="24"/>
          <w:szCs w:val="24"/>
        </w:rPr>
        <w:t xml:space="preserve"> is a pure value judg</w:t>
      </w:r>
      <w:r>
        <w:rPr>
          <w:rFonts w:ascii="Bookman Old Style" w:eastAsia="Arial Unicode MS" w:hAnsi="Bookman Old Style" w:cs="Arial Unicode MS"/>
          <w:sz w:val="24"/>
          <w:szCs w:val="24"/>
        </w:rPr>
        <w:t>m</w:t>
      </w:r>
      <w:r w:rsidR="005817A2">
        <w:rPr>
          <w:rFonts w:ascii="Bookman Old Style" w:eastAsia="Arial Unicode MS" w:hAnsi="Bookman Old Style" w:cs="Arial Unicode MS"/>
          <w:sz w:val="24"/>
          <w:szCs w:val="24"/>
        </w:rPr>
        <w:t>e</w:t>
      </w:r>
      <w:r w:rsidR="00276C61">
        <w:rPr>
          <w:rFonts w:ascii="Bookman Old Style" w:eastAsia="Arial Unicode MS" w:hAnsi="Bookman Old Style" w:cs="Arial Unicode MS"/>
          <w:sz w:val="24"/>
          <w:szCs w:val="24"/>
        </w:rPr>
        <w:t>nt in</w:t>
      </w:r>
      <w:r>
        <w:rPr>
          <w:rFonts w:ascii="Bookman Old Style" w:eastAsia="Arial Unicode MS" w:hAnsi="Bookman Old Style" w:cs="Arial Unicode MS"/>
          <w:sz w:val="24"/>
          <w:szCs w:val="24"/>
        </w:rPr>
        <w:t xml:space="preserve">capable </w:t>
      </w:r>
      <w:r w:rsidR="005817A2">
        <w:rPr>
          <w:rFonts w:ascii="Bookman Old Style" w:eastAsia="Arial Unicode MS" w:hAnsi="Bookman Old Style" w:cs="Arial Unicode MS"/>
          <w:sz w:val="24"/>
          <w:szCs w:val="24"/>
        </w:rPr>
        <w:t>of proof, it is likely to be regarded as a comment.</w:t>
      </w:r>
      <w:r w:rsidR="005817A2">
        <w:rPr>
          <w:rStyle w:val="FootnoteReference"/>
          <w:rFonts w:ascii="Bookman Old Style" w:eastAsia="Arial Unicode MS" w:hAnsi="Bookman Old Style" w:cs="Arial Unicode MS"/>
          <w:sz w:val="24"/>
          <w:szCs w:val="24"/>
        </w:rPr>
        <w:footnoteReference w:id="78"/>
      </w:r>
      <w:r w:rsidR="005817A2">
        <w:rPr>
          <w:rFonts w:ascii="Bookman Old Style" w:eastAsia="Arial Unicode MS" w:hAnsi="Bookman Old Style" w:cs="Arial Unicode MS"/>
          <w:sz w:val="24"/>
          <w:szCs w:val="24"/>
        </w:rPr>
        <w:t xml:space="preserve">  Where the defendant refers to certain facts, and makes it clear that the sta</w:t>
      </w:r>
      <w:r w:rsidR="00485375">
        <w:rPr>
          <w:rFonts w:ascii="Bookman Old Style" w:eastAsia="Arial Unicode MS" w:hAnsi="Bookman Old Style" w:cs="Arial Unicode MS"/>
          <w:sz w:val="24"/>
          <w:szCs w:val="24"/>
        </w:rPr>
        <w:t>te</w:t>
      </w:r>
      <w:r w:rsidR="005817A2">
        <w:rPr>
          <w:rFonts w:ascii="Bookman Old Style" w:eastAsia="Arial Unicode MS" w:hAnsi="Bookman Old Style" w:cs="Arial Unicode MS"/>
          <w:sz w:val="24"/>
          <w:szCs w:val="24"/>
        </w:rPr>
        <w:t>men</w:t>
      </w:r>
      <w:r w:rsidR="00485375">
        <w:rPr>
          <w:rFonts w:ascii="Bookman Old Style" w:eastAsia="Arial Unicode MS" w:hAnsi="Bookman Old Style" w:cs="Arial Unicode MS"/>
          <w:sz w:val="24"/>
          <w:szCs w:val="24"/>
        </w:rPr>
        <w:t>t</w:t>
      </w:r>
      <w:r w:rsidR="00276C61">
        <w:rPr>
          <w:rFonts w:ascii="Bookman Old Style" w:eastAsia="Arial Unicode MS" w:hAnsi="Bookman Old Style" w:cs="Arial Unicode MS"/>
          <w:sz w:val="24"/>
          <w:szCs w:val="24"/>
        </w:rPr>
        <w:t xml:space="preserve"> in question is an inference, f</w:t>
      </w:r>
      <w:r w:rsidR="005817A2">
        <w:rPr>
          <w:rFonts w:ascii="Bookman Old Style" w:eastAsia="Arial Unicode MS" w:hAnsi="Bookman Old Style" w:cs="Arial Unicode MS"/>
          <w:sz w:val="24"/>
          <w:szCs w:val="24"/>
        </w:rPr>
        <w:t>r</w:t>
      </w:r>
      <w:r w:rsidR="00276C61">
        <w:rPr>
          <w:rFonts w:ascii="Bookman Old Style" w:eastAsia="Arial Unicode MS" w:hAnsi="Bookman Old Style" w:cs="Arial Unicode MS"/>
          <w:sz w:val="24"/>
          <w:szCs w:val="24"/>
        </w:rPr>
        <w:t>o</w:t>
      </w:r>
      <w:r w:rsidR="005817A2">
        <w:rPr>
          <w:rFonts w:ascii="Bookman Old Style" w:eastAsia="Arial Unicode MS" w:hAnsi="Bookman Old Style" w:cs="Arial Unicode MS"/>
          <w:sz w:val="24"/>
          <w:szCs w:val="24"/>
        </w:rPr>
        <w:t>m the fact</w:t>
      </w:r>
      <w:r w:rsidR="00485375">
        <w:rPr>
          <w:rFonts w:ascii="Bookman Old Style" w:eastAsia="Arial Unicode MS" w:hAnsi="Bookman Old Style" w:cs="Arial Unicode MS"/>
          <w:sz w:val="24"/>
          <w:szCs w:val="24"/>
        </w:rPr>
        <w:t>,</w:t>
      </w:r>
      <w:r w:rsidR="005817A2">
        <w:rPr>
          <w:rFonts w:ascii="Bookman Old Style" w:eastAsia="Arial Unicode MS" w:hAnsi="Bookman Old Style" w:cs="Arial Unicode MS"/>
          <w:sz w:val="24"/>
          <w:szCs w:val="24"/>
        </w:rPr>
        <w:t xml:space="preserve"> it will generally be considered comment.</w:t>
      </w:r>
      <w:r w:rsidR="005817A2">
        <w:rPr>
          <w:rStyle w:val="FootnoteReference"/>
          <w:rFonts w:ascii="Bookman Old Style" w:eastAsia="Arial Unicode MS" w:hAnsi="Bookman Old Style" w:cs="Arial Unicode MS"/>
          <w:sz w:val="24"/>
          <w:szCs w:val="24"/>
        </w:rPr>
        <w:footnoteReference w:id="79"/>
      </w:r>
      <w:r>
        <w:rPr>
          <w:rFonts w:ascii="Bookman Old Style" w:eastAsia="Arial Unicode MS" w:hAnsi="Bookman Old Style" w:cs="Arial Unicode MS"/>
          <w:sz w:val="24"/>
          <w:szCs w:val="24"/>
        </w:rPr>
        <w:t xml:space="preserve"> </w:t>
      </w:r>
      <w:r w:rsidR="00276C61">
        <w:rPr>
          <w:rFonts w:ascii="Bookman Old Style" w:eastAsia="Arial Unicode MS" w:hAnsi="Bookman Old Style" w:cs="Arial Unicode MS"/>
          <w:sz w:val="24"/>
          <w:szCs w:val="24"/>
        </w:rPr>
        <w:t>This technique</w:t>
      </w:r>
      <w:r w:rsidR="005817A2">
        <w:rPr>
          <w:rFonts w:ascii="Bookman Old Style" w:eastAsia="Arial Unicode MS" w:hAnsi="Bookman Old Style" w:cs="Arial Unicode MS"/>
          <w:sz w:val="24"/>
          <w:szCs w:val="24"/>
        </w:rPr>
        <w:t xml:space="preserve"> is often utilised by the makers of documentaries who might set out a number of facts from which they draw the conclusion that the claimant, is for example unfit for public office.</w:t>
      </w:r>
      <w:r w:rsidR="005817A2">
        <w:rPr>
          <w:rStyle w:val="FootnoteReference"/>
          <w:rFonts w:ascii="Bookman Old Style" w:eastAsia="Arial Unicode MS" w:hAnsi="Bookman Old Style" w:cs="Arial Unicode MS"/>
          <w:sz w:val="24"/>
          <w:szCs w:val="24"/>
        </w:rPr>
        <w:footnoteReference w:id="80"/>
      </w:r>
      <w:r w:rsidR="005817A2">
        <w:rPr>
          <w:rFonts w:ascii="Bookman Old Style" w:eastAsia="Arial Unicode MS" w:hAnsi="Bookman Old Style" w:cs="Arial Unicode MS"/>
          <w:sz w:val="24"/>
          <w:szCs w:val="24"/>
        </w:rPr>
        <w:t xml:space="preserve"> The conclusion will clearly be comment.</w:t>
      </w:r>
      <w:r w:rsidR="005817A2">
        <w:rPr>
          <w:rStyle w:val="FootnoteReference"/>
          <w:rFonts w:ascii="Bookman Old Style" w:eastAsia="Arial Unicode MS" w:hAnsi="Bookman Old Style" w:cs="Arial Unicode MS"/>
          <w:sz w:val="24"/>
          <w:szCs w:val="24"/>
        </w:rPr>
        <w:footnoteReference w:id="81"/>
      </w:r>
      <w:r w:rsidR="005817A2">
        <w:rPr>
          <w:rFonts w:ascii="Bookman Old Style" w:eastAsia="Arial Unicode MS" w:hAnsi="Bookman Old Style" w:cs="Arial Unicode MS"/>
          <w:sz w:val="24"/>
          <w:szCs w:val="24"/>
        </w:rPr>
        <w:t xml:space="preserve"> </w:t>
      </w:r>
      <w:r w:rsidR="006921FC">
        <w:rPr>
          <w:rFonts w:ascii="Bookman Old Style" w:eastAsia="Arial Unicode MS" w:hAnsi="Bookman Old Style" w:cs="Arial Unicode MS"/>
          <w:sz w:val="24"/>
          <w:szCs w:val="24"/>
        </w:rPr>
        <w:t xml:space="preserve">However, it is vital to bear in mind that where the matters in question are defamatory statements of fact in their </w:t>
      </w:r>
      <w:r w:rsidR="006921FC">
        <w:rPr>
          <w:rFonts w:ascii="Bookman Old Style" w:eastAsia="Arial Unicode MS" w:hAnsi="Bookman Old Style" w:cs="Arial Unicode MS"/>
          <w:sz w:val="24"/>
          <w:szCs w:val="24"/>
        </w:rPr>
        <w:lastRenderedPageBreak/>
        <w:t xml:space="preserve">own right, they must be protected by privilege or they will have to </w:t>
      </w:r>
      <w:r w:rsidR="00276C61">
        <w:rPr>
          <w:rFonts w:ascii="Bookman Old Style" w:eastAsia="Arial Unicode MS" w:hAnsi="Bookman Old Style" w:cs="Arial Unicode MS"/>
          <w:sz w:val="24"/>
          <w:szCs w:val="24"/>
        </w:rPr>
        <w:t>be justified, that is proved tru</w:t>
      </w:r>
      <w:r w:rsidR="006921FC">
        <w:rPr>
          <w:rFonts w:ascii="Bookman Old Style" w:eastAsia="Arial Unicode MS" w:hAnsi="Bookman Old Style" w:cs="Arial Unicode MS"/>
          <w:sz w:val="24"/>
          <w:szCs w:val="24"/>
        </w:rPr>
        <w:t>e or substantially true.</w:t>
      </w:r>
      <w:r w:rsidR="006921FC">
        <w:rPr>
          <w:rStyle w:val="FootnoteReference"/>
          <w:rFonts w:ascii="Bookman Old Style" w:eastAsia="Arial Unicode MS" w:hAnsi="Bookman Old Style" w:cs="Arial Unicode MS"/>
          <w:sz w:val="24"/>
          <w:szCs w:val="24"/>
        </w:rPr>
        <w:footnoteReference w:id="82"/>
      </w:r>
      <w:r w:rsidR="006921FC">
        <w:rPr>
          <w:rFonts w:ascii="Bookman Old Style" w:eastAsia="Arial Unicode MS" w:hAnsi="Bookman Old Style" w:cs="Arial Unicode MS"/>
          <w:sz w:val="24"/>
          <w:szCs w:val="24"/>
        </w:rPr>
        <w:t xml:space="preserve"> </w:t>
      </w:r>
    </w:p>
    <w:p w:rsidR="003423FA" w:rsidRDefault="003423FA" w:rsidP="00153D09">
      <w:pPr>
        <w:spacing w:before="240" w:line="360" w:lineRule="auto"/>
        <w:jc w:val="both"/>
        <w:rPr>
          <w:rFonts w:ascii="Bookman Old Style" w:eastAsia="Arial Unicode MS" w:hAnsi="Bookman Old Style" w:cs="Arial Unicode MS"/>
          <w:sz w:val="24"/>
          <w:szCs w:val="24"/>
        </w:rPr>
      </w:pPr>
    </w:p>
    <w:p w:rsidR="001A6DF0" w:rsidRDefault="003423FA"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A bold state</w:t>
      </w:r>
      <w:r w:rsidR="00072B35">
        <w:rPr>
          <w:rFonts w:ascii="Bookman Old Style" w:eastAsia="Arial Unicode MS" w:hAnsi="Bookman Old Style" w:cs="Arial Unicode MS"/>
          <w:sz w:val="24"/>
          <w:szCs w:val="24"/>
        </w:rPr>
        <w:t>ment with no supporting facts is</w:t>
      </w:r>
      <w:r>
        <w:rPr>
          <w:rFonts w:ascii="Bookman Old Style" w:eastAsia="Arial Unicode MS" w:hAnsi="Bookman Old Style" w:cs="Arial Unicode MS"/>
          <w:sz w:val="24"/>
          <w:szCs w:val="24"/>
        </w:rPr>
        <w:t xml:space="preserve"> unlikely to be considered a comment.</w:t>
      </w:r>
      <w:r>
        <w:rPr>
          <w:rStyle w:val="FootnoteReference"/>
          <w:rFonts w:ascii="Bookman Old Style" w:eastAsia="Arial Unicode MS" w:hAnsi="Bookman Old Style" w:cs="Arial Unicode MS"/>
          <w:sz w:val="24"/>
          <w:szCs w:val="24"/>
        </w:rPr>
        <w:footnoteReference w:id="83"/>
      </w:r>
      <w:r w:rsidR="005817A2">
        <w:rPr>
          <w:rFonts w:ascii="Bookman Old Style" w:eastAsia="Arial Unicode MS" w:hAnsi="Bookman Old Style" w:cs="Arial Unicode MS"/>
          <w:sz w:val="24"/>
          <w:szCs w:val="24"/>
        </w:rPr>
        <w:t xml:space="preserve"> </w:t>
      </w:r>
      <w:r w:rsidR="00604A5D">
        <w:rPr>
          <w:rFonts w:ascii="Bookman Old Style" w:eastAsia="Arial Unicode MS" w:hAnsi="Bookman Old Style" w:cs="Arial Unicode MS"/>
          <w:sz w:val="24"/>
          <w:szCs w:val="24"/>
        </w:rPr>
        <w:t>For instance, to say, “</w:t>
      </w:r>
      <w:r w:rsidR="00604A5D" w:rsidRPr="00BD11DC">
        <w:rPr>
          <w:rFonts w:ascii="Bookman Old Style" w:eastAsia="Arial Unicode MS" w:hAnsi="Bookman Old Style" w:cs="Arial Unicode MS"/>
          <w:i/>
          <w:sz w:val="24"/>
          <w:szCs w:val="24"/>
        </w:rPr>
        <w:t>C is a disgrace to the profession of journalism,</w:t>
      </w:r>
      <w:r w:rsidR="00604A5D">
        <w:rPr>
          <w:rFonts w:ascii="Bookman Old Style" w:eastAsia="Arial Unicode MS" w:hAnsi="Bookman Old Style" w:cs="Arial Unicode MS"/>
          <w:sz w:val="24"/>
          <w:szCs w:val="24"/>
        </w:rPr>
        <w:t>” may sound like an opinion but in the absence of indication of the basis of the sta</w:t>
      </w:r>
      <w:r w:rsidR="00072B35">
        <w:rPr>
          <w:rFonts w:ascii="Bookman Old Style" w:eastAsia="Arial Unicode MS" w:hAnsi="Bookman Old Style" w:cs="Arial Unicode MS"/>
          <w:sz w:val="24"/>
          <w:szCs w:val="24"/>
        </w:rPr>
        <w:t>te</w:t>
      </w:r>
      <w:r w:rsidR="00604A5D">
        <w:rPr>
          <w:rFonts w:ascii="Bookman Old Style" w:eastAsia="Arial Unicode MS" w:hAnsi="Bookman Old Style" w:cs="Arial Unicode MS"/>
          <w:sz w:val="24"/>
          <w:szCs w:val="24"/>
        </w:rPr>
        <w:t>men</w:t>
      </w:r>
      <w:r w:rsidR="00072B35">
        <w:rPr>
          <w:rFonts w:ascii="Bookman Old Style" w:eastAsia="Arial Unicode MS" w:hAnsi="Bookman Old Style" w:cs="Arial Unicode MS"/>
          <w:sz w:val="24"/>
          <w:szCs w:val="24"/>
        </w:rPr>
        <w:t>t</w:t>
      </w:r>
      <w:r w:rsidR="00604A5D">
        <w:rPr>
          <w:rFonts w:ascii="Bookman Old Style" w:eastAsia="Arial Unicode MS" w:hAnsi="Bookman Old Style" w:cs="Arial Unicode MS"/>
          <w:sz w:val="24"/>
          <w:szCs w:val="24"/>
        </w:rPr>
        <w:t xml:space="preserve"> it is likely to be treated as a statement</w:t>
      </w:r>
      <w:r w:rsidR="00BD11DC">
        <w:rPr>
          <w:rFonts w:ascii="Bookman Old Style" w:eastAsia="Arial Unicode MS" w:hAnsi="Bookman Old Style" w:cs="Arial Unicode MS"/>
          <w:sz w:val="24"/>
          <w:szCs w:val="24"/>
        </w:rPr>
        <w:t xml:space="preserve"> fact.</w:t>
      </w:r>
      <w:r w:rsidR="00BD11DC">
        <w:rPr>
          <w:rStyle w:val="FootnoteReference"/>
          <w:rFonts w:ascii="Bookman Old Style" w:eastAsia="Arial Unicode MS" w:hAnsi="Bookman Old Style" w:cs="Arial Unicode MS"/>
          <w:sz w:val="24"/>
          <w:szCs w:val="24"/>
        </w:rPr>
        <w:footnoteReference w:id="84"/>
      </w:r>
      <w:r w:rsidR="00604A5D">
        <w:rPr>
          <w:rFonts w:ascii="Bookman Old Style" w:eastAsia="Arial Unicode MS" w:hAnsi="Bookman Old Style" w:cs="Arial Unicode MS"/>
          <w:sz w:val="24"/>
          <w:szCs w:val="24"/>
        </w:rPr>
        <w:t xml:space="preserve"> </w:t>
      </w:r>
      <w:r w:rsidR="00BD11DC">
        <w:rPr>
          <w:rFonts w:ascii="Bookman Old Style" w:eastAsia="Arial Unicode MS" w:hAnsi="Bookman Old Style" w:cs="Arial Unicode MS"/>
          <w:sz w:val="24"/>
          <w:szCs w:val="24"/>
        </w:rPr>
        <w:t>To s</w:t>
      </w:r>
      <w:r w:rsidR="00485375">
        <w:rPr>
          <w:rFonts w:ascii="Bookman Old Style" w:eastAsia="Arial Unicode MS" w:hAnsi="Bookman Old Style" w:cs="Arial Unicode MS"/>
          <w:sz w:val="24"/>
          <w:szCs w:val="24"/>
        </w:rPr>
        <w:t>ay that “</w:t>
      </w:r>
      <w:r w:rsidR="00485375" w:rsidRPr="0003622A">
        <w:rPr>
          <w:rFonts w:ascii="Bookman Old Style" w:eastAsia="Arial Unicode MS" w:hAnsi="Bookman Old Style" w:cs="Arial Unicode MS"/>
          <w:i/>
          <w:sz w:val="24"/>
          <w:szCs w:val="24"/>
        </w:rPr>
        <w:t>C disclosed the identit</w:t>
      </w:r>
      <w:r w:rsidR="00BD11DC" w:rsidRPr="0003622A">
        <w:rPr>
          <w:rFonts w:ascii="Bookman Old Style" w:eastAsia="Arial Unicode MS" w:hAnsi="Bookman Old Style" w:cs="Arial Unicode MS"/>
          <w:i/>
          <w:sz w:val="24"/>
          <w:szCs w:val="24"/>
        </w:rPr>
        <w:t>y of his source and is therefore a disgrace to the profession of journalism,”</w:t>
      </w:r>
      <w:r w:rsidR="00BD11DC">
        <w:rPr>
          <w:rFonts w:ascii="Bookman Old Style" w:eastAsia="Arial Unicode MS" w:hAnsi="Bookman Old Style" w:cs="Arial Unicode MS"/>
          <w:sz w:val="24"/>
          <w:szCs w:val="24"/>
        </w:rPr>
        <w:t xml:space="preserve"> clearly identifies the allegation as a comment based </w:t>
      </w:r>
      <w:r w:rsidR="00072B35">
        <w:rPr>
          <w:rFonts w:ascii="Bookman Old Style" w:eastAsia="Arial Unicode MS" w:hAnsi="Bookman Old Style" w:cs="Arial Unicode MS"/>
          <w:sz w:val="24"/>
          <w:szCs w:val="24"/>
        </w:rPr>
        <w:t>on t</w:t>
      </w:r>
      <w:r w:rsidR="00BD11DC">
        <w:rPr>
          <w:rFonts w:ascii="Bookman Old Style" w:eastAsia="Arial Unicode MS" w:hAnsi="Bookman Old Style" w:cs="Arial Unicode MS"/>
          <w:sz w:val="24"/>
          <w:szCs w:val="24"/>
        </w:rPr>
        <w:t>he fact that he has disclosed his source.</w:t>
      </w:r>
    </w:p>
    <w:p w:rsidR="00985FE1" w:rsidRDefault="001A6DF0"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It is said that a comment cannot exist in </w:t>
      </w:r>
      <w:r w:rsidR="00072B35">
        <w:rPr>
          <w:rFonts w:ascii="Bookman Old Style" w:eastAsia="Arial Unicode MS" w:hAnsi="Bookman Old Style" w:cs="Arial Unicode MS"/>
          <w:sz w:val="24"/>
          <w:szCs w:val="24"/>
        </w:rPr>
        <w:t>“</w:t>
      </w:r>
      <w:r w:rsidRPr="0003622A">
        <w:rPr>
          <w:rFonts w:ascii="Bookman Old Style" w:eastAsia="Arial Unicode MS" w:hAnsi="Bookman Old Style" w:cs="Arial Unicode MS"/>
          <w:i/>
          <w:sz w:val="24"/>
          <w:szCs w:val="24"/>
        </w:rPr>
        <w:t>thin air</w:t>
      </w:r>
      <w:r>
        <w:rPr>
          <w:rFonts w:ascii="Bookman Old Style" w:eastAsia="Arial Unicode MS" w:hAnsi="Bookman Old Style" w:cs="Arial Unicode MS"/>
          <w:sz w:val="24"/>
          <w:szCs w:val="24"/>
        </w:rPr>
        <w:t>.</w:t>
      </w:r>
      <w:r w:rsidR="00072B35">
        <w:rPr>
          <w:rFonts w:ascii="Bookman Old Style" w:eastAsia="Arial Unicode MS" w:hAnsi="Bookman Old Style" w:cs="Arial Unicode MS"/>
          <w:sz w:val="24"/>
          <w:szCs w:val="24"/>
        </w:rPr>
        <w:t>”</w:t>
      </w:r>
      <w:r>
        <w:rPr>
          <w:rStyle w:val="FootnoteReference"/>
          <w:rFonts w:ascii="Bookman Old Style" w:eastAsia="Arial Unicode MS" w:hAnsi="Bookman Old Style" w:cs="Arial Unicode MS"/>
          <w:sz w:val="24"/>
          <w:szCs w:val="24"/>
        </w:rPr>
        <w:footnoteReference w:id="85"/>
      </w:r>
      <w:r>
        <w:rPr>
          <w:rFonts w:ascii="Bookman Old Style" w:eastAsia="Arial Unicode MS" w:hAnsi="Bookman Old Style" w:cs="Arial Unicode MS"/>
          <w:sz w:val="24"/>
          <w:szCs w:val="24"/>
        </w:rPr>
        <w:t xml:space="preserve"> The defendant must prove that the factual building blocks on which the comment is based are true or sufficiently true. In the example, the allegation that C has disclosed the identity of a source is the fact on which the opinion____ that he is a disgrace to journalism is based.</w:t>
      </w:r>
      <w:r>
        <w:rPr>
          <w:rStyle w:val="FootnoteReference"/>
          <w:rFonts w:ascii="Bookman Old Style" w:eastAsia="Arial Unicode MS" w:hAnsi="Bookman Old Style" w:cs="Arial Unicode MS"/>
          <w:sz w:val="24"/>
          <w:szCs w:val="24"/>
        </w:rPr>
        <w:footnoteReference w:id="86"/>
      </w:r>
      <w:r w:rsidR="00BD11DC">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 xml:space="preserve">If C did not, in fact disclose the identity of a source then </w:t>
      </w:r>
      <w:r w:rsidR="00CF781B">
        <w:rPr>
          <w:rFonts w:ascii="Bookman Old Style" w:eastAsia="Arial Unicode MS" w:hAnsi="Bookman Old Style" w:cs="Arial Unicode MS"/>
          <w:sz w:val="24"/>
          <w:szCs w:val="24"/>
        </w:rPr>
        <w:t xml:space="preserve">the </w:t>
      </w:r>
      <w:r>
        <w:rPr>
          <w:rFonts w:ascii="Bookman Old Style" w:eastAsia="Arial Unicode MS" w:hAnsi="Bookman Old Style" w:cs="Arial Unicode MS"/>
          <w:sz w:val="24"/>
          <w:szCs w:val="24"/>
        </w:rPr>
        <w:t>comment, and defence collapses.</w:t>
      </w:r>
      <w:r>
        <w:rPr>
          <w:rStyle w:val="FootnoteReference"/>
          <w:rFonts w:ascii="Bookman Old Style" w:eastAsia="Arial Unicode MS" w:hAnsi="Bookman Old Style" w:cs="Arial Unicode MS"/>
          <w:sz w:val="24"/>
          <w:szCs w:val="24"/>
        </w:rPr>
        <w:footnoteReference w:id="87"/>
      </w:r>
      <w:r>
        <w:rPr>
          <w:rFonts w:ascii="Bookman Old Style" w:eastAsia="Arial Unicode MS" w:hAnsi="Bookman Old Style" w:cs="Arial Unicode MS"/>
          <w:sz w:val="24"/>
          <w:szCs w:val="24"/>
        </w:rPr>
        <w:t xml:space="preserve"> By analogy it cannot be fair comment to attack an author for something he has not written. </w:t>
      </w:r>
      <w:r w:rsidR="00571E66">
        <w:rPr>
          <w:rFonts w:ascii="Bookman Old Style" w:eastAsia="Arial Unicode MS" w:hAnsi="Bookman Old Style" w:cs="Arial Unicode MS"/>
          <w:sz w:val="24"/>
          <w:szCs w:val="24"/>
        </w:rPr>
        <w:t xml:space="preserve">For instance in </w:t>
      </w:r>
      <w:r w:rsidR="00571E66" w:rsidRPr="004F7CED">
        <w:rPr>
          <w:rFonts w:ascii="Bookman Old Style" w:eastAsia="Arial Unicode MS" w:hAnsi="Bookman Old Style" w:cs="Arial Unicode MS"/>
          <w:i/>
          <w:sz w:val="24"/>
          <w:szCs w:val="24"/>
        </w:rPr>
        <w:t>Merivat</w:t>
      </w:r>
      <w:r w:rsidR="00571E66">
        <w:rPr>
          <w:rFonts w:ascii="Bookman Old Style" w:eastAsia="Arial Unicode MS" w:hAnsi="Bookman Old Style" w:cs="Arial Unicode MS"/>
          <w:sz w:val="24"/>
          <w:szCs w:val="24"/>
        </w:rPr>
        <w:t xml:space="preserve">e </w:t>
      </w:r>
      <w:r w:rsidR="00571E66" w:rsidRPr="00FF6909">
        <w:rPr>
          <w:rFonts w:ascii="Bookman Old Style" w:eastAsia="Arial Unicode MS" w:hAnsi="Bookman Old Style" w:cs="Arial Unicode MS"/>
          <w:i/>
          <w:sz w:val="24"/>
          <w:szCs w:val="24"/>
        </w:rPr>
        <w:t>v Carson</w:t>
      </w:r>
      <w:r w:rsidR="00571E66">
        <w:rPr>
          <w:rFonts w:ascii="Bookman Old Style" w:eastAsia="Arial Unicode MS" w:hAnsi="Bookman Old Style" w:cs="Arial Unicode MS"/>
          <w:sz w:val="24"/>
          <w:szCs w:val="24"/>
        </w:rPr>
        <w:t>,</w:t>
      </w:r>
      <w:r w:rsidR="00FF6909">
        <w:rPr>
          <w:rStyle w:val="FootnoteReference"/>
          <w:rFonts w:ascii="Bookman Old Style" w:eastAsia="Arial Unicode MS" w:hAnsi="Bookman Old Style" w:cs="Arial Unicode MS"/>
          <w:sz w:val="24"/>
          <w:szCs w:val="24"/>
        </w:rPr>
        <w:footnoteReference w:id="88"/>
      </w:r>
      <w:r w:rsidR="005817A2">
        <w:rPr>
          <w:rFonts w:ascii="Bookman Old Style" w:eastAsia="Arial Unicode MS" w:hAnsi="Bookman Old Style" w:cs="Arial Unicode MS"/>
          <w:sz w:val="24"/>
          <w:szCs w:val="24"/>
        </w:rPr>
        <w:t xml:space="preserve"> </w:t>
      </w:r>
      <w:r w:rsidR="00FF6909">
        <w:rPr>
          <w:rFonts w:ascii="Bookman Old Style" w:eastAsia="Arial Unicode MS" w:hAnsi="Bookman Old Style" w:cs="Arial Unicode MS"/>
          <w:sz w:val="24"/>
          <w:szCs w:val="24"/>
        </w:rPr>
        <w:t>the defendant published a review of the plaintiff’s play which suggested that it had an evil tendency on the basis that it treated adultery cavalierly. In fact</w:t>
      </w:r>
      <w:r w:rsidR="00485375">
        <w:rPr>
          <w:rFonts w:ascii="Bookman Old Style" w:eastAsia="Arial Unicode MS" w:hAnsi="Bookman Old Style" w:cs="Arial Unicode MS"/>
          <w:sz w:val="24"/>
          <w:szCs w:val="24"/>
        </w:rPr>
        <w:t>,</w:t>
      </w:r>
      <w:r w:rsidR="00FF6909">
        <w:rPr>
          <w:rFonts w:ascii="Bookman Old Style" w:eastAsia="Arial Unicode MS" w:hAnsi="Bookman Old Style" w:cs="Arial Unicode MS"/>
          <w:sz w:val="24"/>
          <w:szCs w:val="24"/>
        </w:rPr>
        <w:t xml:space="preserve"> there was no mention of adultery in the play</w:t>
      </w:r>
      <w:r w:rsidR="00485375">
        <w:rPr>
          <w:rFonts w:ascii="Bookman Old Style" w:eastAsia="Arial Unicode MS" w:hAnsi="Bookman Old Style" w:cs="Arial Unicode MS"/>
          <w:sz w:val="24"/>
          <w:szCs w:val="24"/>
        </w:rPr>
        <w:t>,</w:t>
      </w:r>
      <w:r w:rsidR="00FF6909">
        <w:rPr>
          <w:rFonts w:ascii="Bookman Old Style" w:eastAsia="Arial Unicode MS" w:hAnsi="Bookman Old Style" w:cs="Arial Unicode MS"/>
          <w:sz w:val="24"/>
          <w:szCs w:val="24"/>
        </w:rPr>
        <w:t xml:space="preserve"> and the d</w:t>
      </w:r>
      <w:r w:rsidR="00985FE1">
        <w:rPr>
          <w:rFonts w:ascii="Bookman Old Style" w:eastAsia="Arial Unicode MS" w:hAnsi="Bookman Old Style" w:cs="Arial Unicode MS"/>
          <w:sz w:val="24"/>
          <w:szCs w:val="24"/>
        </w:rPr>
        <w:t>e</w:t>
      </w:r>
      <w:r w:rsidR="00FF6909">
        <w:rPr>
          <w:rFonts w:ascii="Bookman Old Style" w:eastAsia="Arial Unicode MS" w:hAnsi="Bookman Old Style" w:cs="Arial Unicode MS"/>
          <w:sz w:val="24"/>
          <w:szCs w:val="24"/>
        </w:rPr>
        <w:t xml:space="preserve">fence of fair comment therefore failed. </w:t>
      </w:r>
    </w:p>
    <w:p w:rsidR="00F466AB" w:rsidRDefault="004F7CED"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following principles emerge from this discussion.</w:t>
      </w:r>
      <w:r>
        <w:rPr>
          <w:rStyle w:val="FootnoteReference"/>
          <w:rFonts w:ascii="Bookman Old Style" w:eastAsia="Arial Unicode MS" w:hAnsi="Bookman Old Style" w:cs="Arial Unicode MS"/>
          <w:sz w:val="24"/>
          <w:szCs w:val="24"/>
        </w:rPr>
        <w:footnoteReference w:id="89"/>
      </w:r>
      <w:r w:rsidR="00FF6909">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 xml:space="preserve">The facts must either be stated or summarised in the publication or indicated with sufficient clarity to </w:t>
      </w:r>
      <w:r>
        <w:rPr>
          <w:rFonts w:ascii="Bookman Old Style" w:eastAsia="Arial Unicode MS" w:hAnsi="Bookman Old Style" w:cs="Arial Unicode MS"/>
          <w:sz w:val="24"/>
          <w:szCs w:val="24"/>
        </w:rPr>
        <w:lastRenderedPageBreak/>
        <w:t>enable the publishe</w:t>
      </w:r>
      <w:r w:rsidR="00072B35">
        <w:rPr>
          <w:rFonts w:ascii="Bookman Old Style" w:eastAsia="Arial Unicode MS" w:hAnsi="Bookman Old Style" w:cs="Arial Unicode MS"/>
          <w:sz w:val="24"/>
          <w:szCs w:val="24"/>
        </w:rPr>
        <w:t>e</w:t>
      </w:r>
      <w:r>
        <w:rPr>
          <w:rFonts w:ascii="Bookman Old Style" w:eastAsia="Arial Unicode MS" w:hAnsi="Bookman Old Style" w:cs="Arial Unicode MS"/>
          <w:sz w:val="24"/>
          <w:szCs w:val="24"/>
        </w:rPr>
        <w:t>s to ascertain the facts on which comment is based</w:t>
      </w:r>
      <w:r w:rsidR="00485375">
        <w:rPr>
          <w:rFonts w:ascii="Bookman Old Style" w:eastAsia="Arial Unicode MS" w:hAnsi="Bookman Old Style" w:cs="Arial Unicode MS"/>
          <w:sz w:val="24"/>
          <w:szCs w:val="24"/>
        </w:rPr>
        <w:t>.</w:t>
      </w:r>
      <w:r>
        <w:rPr>
          <w:rStyle w:val="FootnoteReference"/>
          <w:rFonts w:ascii="Bookman Old Style" w:eastAsia="Arial Unicode MS" w:hAnsi="Bookman Old Style" w:cs="Arial Unicode MS"/>
          <w:sz w:val="24"/>
          <w:szCs w:val="24"/>
        </w:rPr>
        <w:footnoteReference w:id="90"/>
      </w:r>
      <w:r w:rsidR="00485375">
        <w:rPr>
          <w:rFonts w:ascii="Bookman Old Style" w:eastAsia="Arial Unicode MS" w:hAnsi="Bookman Old Style" w:cs="Arial Unicode MS"/>
          <w:sz w:val="24"/>
          <w:szCs w:val="24"/>
        </w:rPr>
        <w:t xml:space="preserve"> Where so</w:t>
      </w:r>
      <w:r>
        <w:rPr>
          <w:rFonts w:ascii="Bookman Old Style" w:eastAsia="Arial Unicode MS" w:hAnsi="Bookman Old Style" w:cs="Arial Unicode MS"/>
          <w:sz w:val="24"/>
          <w:szCs w:val="24"/>
        </w:rPr>
        <w:t xml:space="preserve">me of the facts stated are true, and some are false, the defence will </w:t>
      </w:r>
      <w:r w:rsidR="00B36CD0">
        <w:rPr>
          <w:rFonts w:ascii="Bookman Old Style" w:eastAsia="Arial Unicode MS" w:hAnsi="Bookman Old Style" w:cs="Arial Unicode MS"/>
          <w:sz w:val="24"/>
          <w:szCs w:val="24"/>
        </w:rPr>
        <w:t>succeed</w:t>
      </w:r>
      <w:r>
        <w:rPr>
          <w:rFonts w:ascii="Bookman Old Style" w:eastAsia="Arial Unicode MS" w:hAnsi="Bookman Old Style" w:cs="Arial Unicode MS"/>
          <w:sz w:val="24"/>
          <w:szCs w:val="24"/>
        </w:rPr>
        <w:t xml:space="preserve"> if the </w:t>
      </w:r>
      <w:r w:rsidR="00B36CD0">
        <w:rPr>
          <w:rFonts w:ascii="Bookman Old Style" w:eastAsia="Arial Unicode MS" w:hAnsi="Bookman Old Style" w:cs="Arial Unicode MS"/>
          <w:sz w:val="24"/>
          <w:szCs w:val="24"/>
        </w:rPr>
        <w:t>defendant</w:t>
      </w:r>
      <w:r>
        <w:rPr>
          <w:rFonts w:ascii="Bookman Old Style" w:eastAsia="Arial Unicode MS" w:hAnsi="Bookman Old Style" w:cs="Arial Unicode MS"/>
          <w:sz w:val="24"/>
          <w:szCs w:val="24"/>
        </w:rPr>
        <w:t xml:space="preserve"> </w:t>
      </w:r>
      <w:r w:rsidR="00B36CD0">
        <w:rPr>
          <w:rFonts w:ascii="Bookman Old Style" w:eastAsia="Arial Unicode MS" w:hAnsi="Bookman Old Style" w:cs="Arial Unicode MS"/>
          <w:sz w:val="24"/>
          <w:szCs w:val="24"/>
        </w:rPr>
        <w:t>would</w:t>
      </w:r>
      <w:r>
        <w:rPr>
          <w:rFonts w:ascii="Bookman Old Style" w:eastAsia="Arial Unicode MS" w:hAnsi="Bookman Old Style" w:cs="Arial Unicode MS"/>
          <w:sz w:val="24"/>
          <w:szCs w:val="24"/>
        </w:rPr>
        <w:t xml:space="preserve"> h</w:t>
      </w:r>
      <w:r w:rsidR="00485375">
        <w:rPr>
          <w:rFonts w:ascii="Bookman Old Style" w:eastAsia="Arial Unicode MS" w:hAnsi="Bookman Old Style" w:cs="Arial Unicode MS"/>
          <w:sz w:val="24"/>
          <w:szCs w:val="24"/>
        </w:rPr>
        <w:t>ave been entitled to make the sa</w:t>
      </w:r>
      <w:r>
        <w:rPr>
          <w:rFonts w:ascii="Bookman Old Style" w:eastAsia="Arial Unicode MS" w:hAnsi="Bookman Old Style" w:cs="Arial Unicode MS"/>
          <w:sz w:val="24"/>
          <w:szCs w:val="24"/>
        </w:rPr>
        <w:t xml:space="preserve">me comment </w:t>
      </w:r>
      <w:r w:rsidR="00B36CD0">
        <w:rPr>
          <w:rFonts w:ascii="Bookman Old Style" w:eastAsia="Arial Unicode MS" w:hAnsi="Bookman Old Style" w:cs="Arial Unicode MS"/>
          <w:sz w:val="24"/>
          <w:szCs w:val="24"/>
        </w:rPr>
        <w:t>solely on the basis of the true facts.</w:t>
      </w:r>
    </w:p>
    <w:p w:rsidR="00F466AB" w:rsidRDefault="00F466AB"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To this ex</w:t>
      </w:r>
      <w:r w:rsidR="00072B35">
        <w:rPr>
          <w:rFonts w:ascii="Bookman Old Style" w:eastAsia="Arial Unicode MS" w:hAnsi="Bookman Old Style" w:cs="Arial Unicode MS"/>
          <w:sz w:val="24"/>
          <w:szCs w:val="24"/>
        </w:rPr>
        <w:t>tent section 7 of the Defamation</w:t>
      </w:r>
      <w:r>
        <w:rPr>
          <w:rFonts w:ascii="Bookman Old Style" w:eastAsia="Arial Unicode MS" w:hAnsi="Bookman Old Style" w:cs="Arial Unicode MS"/>
          <w:sz w:val="24"/>
          <w:szCs w:val="24"/>
        </w:rPr>
        <w:t xml:space="preserve"> Act provides that: </w:t>
      </w:r>
    </w:p>
    <w:p w:rsidR="001D36CA" w:rsidRPr="001D36CA" w:rsidRDefault="00F466AB" w:rsidP="001D36CA">
      <w:pPr>
        <w:spacing w:before="240" w:line="240" w:lineRule="auto"/>
        <w:jc w:val="both"/>
        <w:rPr>
          <w:rFonts w:ascii="Bookman Old Style" w:eastAsia="Arial Unicode MS" w:hAnsi="Bookman Old Style" w:cs="Arial Unicode MS"/>
          <w:i/>
          <w:sz w:val="24"/>
          <w:szCs w:val="24"/>
        </w:rPr>
      </w:pPr>
      <w:r w:rsidRPr="001D36CA">
        <w:rPr>
          <w:rFonts w:ascii="Bookman Old Style" w:eastAsia="Arial Unicode MS" w:hAnsi="Bookman Old Style" w:cs="Arial Unicode MS"/>
          <w:i/>
          <w:sz w:val="24"/>
          <w:szCs w:val="24"/>
        </w:rPr>
        <w:t>“In an action for libel or slander in respect of words consisting partly allegations of fact, and partly</w:t>
      </w:r>
      <w:r w:rsidR="009C0534" w:rsidRPr="001D36CA">
        <w:rPr>
          <w:rFonts w:ascii="Bookman Old Style" w:eastAsia="Arial Unicode MS" w:hAnsi="Bookman Old Style" w:cs="Arial Unicode MS"/>
          <w:i/>
          <w:sz w:val="24"/>
          <w:szCs w:val="24"/>
        </w:rPr>
        <w:t xml:space="preserve"> of expressions of opinion, a defence of fair comm</w:t>
      </w:r>
      <w:r w:rsidR="00C31DB0">
        <w:rPr>
          <w:rFonts w:ascii="Bookman Old Style" w:eastAsia="Arial Unicode MS" w:hAnsi="Bookman Old Style" w:cs="Arial Unicode MS"/>
          <w:i/>
          <w:sz w:val="24"/>
          <w:szCs w:val="24"/>
        </w:rPr>
        <w:t>ent shall not fail by reason</w:t>
      </w:r>
      <w:r w:rsidR="009C0534" w:rsidRPr="001D36CA">
        <w:rPr>
          <w:rFonts w:ascii="Bookman Old Style" w:eastAsia="Arial Unicode MS" w:hAnsi="Bookman Old Style" w:cs="Arial Unicode MS"/>
          <w:i/>
          <w:sz w:val="24"/>
          <w:szCs w:val="24"/>
        </w:rPr>
        <w:t xml:space="preserve"> that the truth of every allegation of fact is not proved if the expression of </w:t>
      </w:r>
      <w:r w:rsidR="00C31DB0">
        <w:rPr>
          <w:rFonts w:ascii="Bookman Old Style" w:eastAsia="Arial Unicode MS" w:hAnsi="Bookman Old Style" w:cs="Arial Unicode MS"/>
          <w:i/>
          <w:sz w:val="24"/>
          <w:szCs w:val="24"/>
        </w:rPr>
        <w:t>o</w:t>
      </w:r>
      <w:r w:rsidR="009C0534" w:rsidRPr="001D36CA">
        <w:rPr>
          <w:rFonts w:ascii="Bookman Old Style" w:eastAsia="Arial Unicode MS" w:hAnsi="Bookman Old Style" w:cs="Arial Unicode MS"/>
          <w:i/>
          <w:sz w:val="24"/>
          <w:szCs w:val="24"/>
        </w:rPr>
        <w:t>pinion is a fair comment having regard to such of the facts alleged or referred to in the words</w:t>
      </w:r>
      <w:r w:rsidR="00A378F1" w:rsidRPr="001D36CA">
        <w:rPr>
          <w:rFonts w:ascii="Bookman Old Style" w:eastAsia="Arial Unicode MS" w:hAnsi="Bookman Old Style" w:cs="Arial Unicode MS"/>
          <w:i/>
          <w:sz w:val="24"/>
          <w:szCs w:val="24"/>
        </w:rPr>
        <w:t xml:space="preserve"> complained of as are proved.” </w:t>
      </w:r>
    </w:p>
    <w:p w:rsidR="00072B35" w:rsidRDefault="005C71ED"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 order to rely on the statutory defence of fair comment, it must be pleaded.</w:t>
      </w:r>
      <w:r w:rsidR="00A378F1">
        <w:rPr>
          <w:rFonts w:ascii="Bookman Old Style" w:eastAsia="Arial Unicode MS" w:hAnsi="Bookman Old Style" w:cs="Arial Unicode MS"/>
          <w:sz w:val="24"/>
          <w:szCs w:val="24"/>
        </w:rPr>
        <w:t xml:space="preserve"> </w:t>
      </w:r>
    </w:p>
    <w:p w:rsidR="004D77DE" w:rsidRDefault="00072B35"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U</w:t>
      </w:r>
      <w:r w:rsidR="00A378F1">
        <w:rPr>
          <w:rFonts w:ascii="Bookman Old Style" w:eastAsia="Arial Unicode MS" w:hAnsi="Bookman Old Style" w:cs="Arial Unicode MS"/>
          <w:sz w:val="24"/>
          <w:szCs w:val="24"/>
        </w:rPr>
        <w:t>ltimately</w:t>
      </w:r>
      <w:r w:rsidR="00C31DB0">
        <w:rPr>
          <w:rFonts w:ascii="Bookman Old Style" w:eastAsia="Arial Unicode MS" w:hAnsi="Bookman Old Style" w:cs="Arial Unicode MS"/>
          <w:sz w:val="24"/>
          <w:szCs w:val="24"/>
        </w:rPr>
        <w:t>,</w:t>
      </w:r>
      <w:r w:rsidR="00A378F1">
        <w:rPr>
          <w:rFonts w:ascii="Bookman Old Style" w:eastAsia="Arial Unicode MS" w:hAnsi="Bookman Old Style" w:cs="Arial Unicode MS"/>
          <w:sz w:val="24"/>
          <w:szCs w:val="24"/>
        </w:rPr>
        <w:t xml:space="preserve"> the critical question is </w:t>
      </w:r>
      <w:r>
        <w:rPr>
          <w:rFonts w:ascii="Bookman Old Style" w:eastAsia="Arial Unicode MS" w:hAnsi="Bookman Old Style" w:cs="Arial Unicode MS"/>
          <w:sz w:val="24"/>
          <w:szCs w:val="24"/>
        </w:rPr>
        <w:t xml:space="preserve">whether or not the factual </w:t>
      </w:r>
      <w:r w:rsidR="00A378F1">
        <w:rPr>
          <w:rFonts w:ascii="Bookman Old Style" w:eastAsia="Arial Unicode MS" w:hAnsi="Bookman Old Style" w:cs="Arial Unicode MS"/>
          <w:sz w:val="24"/>
          <w:szCs w:val="24"/>
        </w:rPr>
        <w:t xml:space="preserve">building blocks remain sufficiently strong to justify the comment. </w:t>
      </w:r>
      <w:r w:rsidR="001D36CA">
        <w:rPr>
          <w:rFonts w:ascii="Bookman Old Style" w:eastAsia="Arial Unicode MS" w:hAnsi="Bookman Old Style" w:cs="Arial Unicode MS"/>
          <w:sz w:val="24"/>
          <w:szCs w:val="24"/>
        </w:rPr>
        <w:t>It is also clear from the preceding discussion that this defence give</w:t>
      </w:r>
      <w:r>
        <w:rPr>
          <w:rFonts w:ascii="Bookman Old Style" w:eastAsia="Arial Unicode MS" w:hAnsi="Bookman Old Style" w:cs="Arial Unicode MS"/>
          <w:sz w:val="24"/>
          <w:szCs w:val="24"/>
        </w:rPr>
        <w:t>s</w:t>
      </w:r>
      <w:r w:rsidR="001D36CA">
        <w:rPr>
          <w:rFonts w:ascii="Bookman Old Style" w:eastAsia="Arial Unicode MS" w:hAnsi="Bookman Old Style" w:cs="Arial Unicode MS"/>
          <w:sz w:val="24"/>
          <w:szCs w:val="24"/>
        </w:rPr>
        <w:t xml:space="preserve"> more latitude to the defendants than the defence of justification. It might be thought that provided the statement is comment, and the facts on which are sufficiently true, there should be no requirement that the comment should be judged objectively as fair.</w:t>
      </w:r>
      <w:r w:rsidR="001D36CA">
        <w:rPr>
          <w:rStyle w:val="FootnoteReference"/>
          <w:rFonts w:ascii="Bookman Old Style" w:eastAsia="Arial Unicode MS" w:hAnsi="Bookman Old Style" w:cs="Arial Unicode MS"/>
          <w:sz w:val="24"/>
          <w:szCs w:val="24"/>
        </w:rPr>
        <w:footnoteReference w:id="91"/>
      </w:r>
      <w:r w:rsidR="00F466AB">
        <w:rPr>
          <w:rFonts w:ascii="Bookman Old Style" w:eastAsia="Arial Unicode MS" w:hAnsi="Bookman Old Style" w:cs="Arial Unicode MS"/>
          <w:sz w:val="24"/>
          <w:szCs w:val="24"/>
        </w:rPr>
        <w:t xml:space="preserve"> </w:t>
      </w:r>
      <w:r w:rsidR="001D36CA">
        <w:rPr>
          <w:rFonts w:ascii="Bookman Old Style" w:eastAsia="Arial Unicode MS" w:hAnsi="Bookman Old Style" w:cs="Arial Unicode MS"/>
          <w:sz w:val="24"/>
          <w:szCs w:val="24"/>
        </w:rPr>
        <w:t>However, the reality is that this additional requirement is in theory very limited and in practice non-existent.</w:t>
      </w:r>
      <w:r w:rsidR="001D36CA">
        <w:rPr>
          <w:rStyle w:val="FootnoteReference"/>
          <w:rFonts w:ascii="Bookman Old Style" w:eastAsia="Arial Unicode MS" w:hAnsi="Bookman Old Style" w:cs="Arial Unicode MS"/>
          <w:sz w:val="24"/>
          <w:szCs w:val="24"/>
        </w:rPr>
        <w:footnoteReference w:id="92"/>
      </w:r>
      <w:r w:rsidR="00C31DB0">
        <w:rPr>
          <w:rFonts w:ascii="Bookman Old Style" w:eastAsia="Arial Unicode MS" w:hAnsi="Bookman Old Style" w:cs="Arial Unicode MS"/>
          <w:sz w:val="24"/>
          <w:szCs w:val="24"/>
        </w:rPr>
        <w:t xml:space="preserve"> </w:t>
      </w:r>
      <w:r w:rsidR="001D36CA">
        <w:rPr>
          <w:rFonts w:ascii="Bookman Old Style" w:eastAsia="Arial Unicode MS" w:hAnsi="Bookman Old Style" w:cs="Arial Unicode MS"/>
          <w:sz w:val="24"/>
          <w:szCs w:val="24"/>
        </w:rPr>
        <w:t xml:space="preserve">Thus in </w:t>
      </w:r>
      <w:r w:rsidR="001D36CA" w:rsidRPr="007A7A85">
        <w:rPr>
          <w:rFonts w:ascii="Bookman Old Style" w:eastAsia="Arial Unicode MS" w:hAnsi="Bookman Old Style" w:cs="Arial Unicode MS"/>
          <w:i/>
          <w:sz w:val="24"/>
          <w:szCs w:val="24"/>
        </w:rPr>
        <w:t>Branson v Bower [No. 2]</w:t>
      </w:r>
      <w:r w:rsidR="00C31DB0">
        <w:rPr>
          <w:rFonts w:ascii="Bookman Old Style" w:eastAsia="Arial Unicode MS" w:hAnsi="Bookman Old Style" w:cs="Arial Unicode MS"/>
          <w:sz w:val="24"/>
          <w:szCs w:val="24"/>
        </w:rPr>
        <w:t>,</w:t>
      </w:r>
      <w:r w:rsidR="001D36CA">
        <w:rPr>
          <w:rStyle w:val="FootnoteReference"/>
          <w:rFonts w:ascii="Bookman Old Style" w:eastAsia="Arial Unicode MS" w:hAnsi="Bookman Old Style" w:cs="Arial Unicode MS"/>
          <w:sz w:val="24"/>
          <w:szCs w:val="24"/>
        </w:rPr>
        <w:footnoteReference w:id="93"/>
      </w:r>
      <w:r w:rsidR="001D36CA">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Eady J, m</w:t>
      </w:r>
      <w:r w:rsidR="007A7A85">
        <w:rPr>
          <w:rFonts w:ascii="Bookman Old Style" w:eastAsia="Arial Unicode MS" w:hAnsi="Bookman Old Style" w:cs="Arial Unicode MS"/>
          <w:sz w:val="24"/>
          <w:szCs w:val="24"/>
        </w:rPr>
        <w:t xml:space="preserve">ade it clear that the only issue is whether an honest person could express the comment on the basis of such facts as have been proved. Earlier on in </w:t>
      </w:r>
      <w:r w:rsidR="007A7A85" w:rsidRPr="00072B35">
        <w:rPr>
          <w:rFonts w:ascii="Bookman Old Style" w:eastAsia="Arial Unicode MS" w:hAnsi="Bookman Old Style" w:cs="Arial Unicode MS"/>
          <w:i/>
          <w:sz w:val="24"/>
          <w:szCs w:val="24"/>
        </w:rPr>
        <w:t>Reynolds v Times Newspapers Limited and Others</w:t>
      </w:r>
      <w:r w:rsidR="00C31DB0">
        <w:rPr>
          <w:rFonts w:ascii="Bookman Old Style" w:eastAsia="Arial Unicode MS" w:hAnsi="Bookman Old Style" w:cs="Arial Unicode MS"/>
          <w:i/>
          <w:sz w:val="24"/>
          <w:szCs w:val="24"/>
        </w:rPr>
        <w:t>,</w:t>
      </w:r>
      <w:r w:rsidR="007A7A85">
        <w:rPr>
          <w:rStyle w:val="FootnoteReference"/>
          <w:rFonts w:ascii="Bookman Old Style" w:eastAsia="Arial Unicode MS" w:hAnsi="Bookman Old Style" w:cs="Arial Unicode MS"/>
          <w:sz w:val="24"/>
          <w:szCs w:val="24"/>
        </w:rPr>
        <w:footnoteReference w:id="94"/>
      </w:r>
      <w:r w:rsidR="007A7A85">
        <w:rPr>
          <w:rFonts w:ascii="Bookman Old Style" w:eastAsia="Arial Unicode MS" w:hAnsi="Bookman Old Style" w:cs="Arial Unicode MS"/>
          <w:sz w:val="24"/>
          <w:szCs w:val="24"/>
        </w:rPr>
        <w:t xml:space="preserve"> Lord Nicholls observed that the epithet “</w:t>
      </w:r>
      <w:r w:rsidR="007A7A85" w:rsidRPr="005C71ED">
        <w:rPr>
          <w:rFonts w:ascii="Bookman Old Style" w:eastAsia="Arial Unicode MS" w:hAnsi="Bookman Old Style" w:cs="Arial Unicode MS"/>
          <w:i/>
          <w:sz w:val="24"/>
          <w:szCs w:val="24"/>
        </w:rPr>
        <w:t>fair”</w:t>
      </w:r>
      <w:r w:rsidR="007A7A85">
        <w:rPr>
          <w:rFonts w:ascii="Bookman Old Style" w:eastAsia="Arial Unicode MS" w:hAnsi="Bookman Old Style" w:cs="Arial Unicode MS"/>
          <w:sz w:val="24"/>
          <w:szCs w:val="24"/>
        </w:rPr>
        <w:t xml:space="preserve"> as applied to the defence of comment is now meaningless, and misleading. The true test is whether the opinion, however exaggerate</w:t>
      </w:r>
      <w:r>
        <w:rPr>
          <w:rFonts w:ascii="Bookman Old Style" w:eastAsia="Arial Unicode MS" w:hAnsi="Bookman Old Style" w:cs="Arial Unicode MS"/>
          <w:sz w:val="24"/>
          <w:szCs w:val="24"/>
        </w:rPr>
        <w:t>d</w:t>
      </w:r>
      <w:r w:rsidR="007A7A85">
        <w:rPr>
          <w:rFonts w:ascii="Bookman Old Style" w:eastAsia="Arial Unicode MS" w:hAnsi="Bookman Old Style" w:cs="Arial Unicode MS"/>
          <w:sz w:val="24"/>
          <w:szCs w:val="24"/>
        </w:rPr>
        <w:t>, obstinate</w:t>
      </w:r>
      <w:r w:rsidR="005C71ED">
        <w:rPr>
          <w:rFonts w:ascii="Bookman Old Style" w:eastAsia="Arial Unicode MS" w:hAnsi="Bookman Old Style" w:cs="Arial Unicode MS"/>
          <w:sz w:val="24"/>
          <w:szCs w:val="24"/>
        </w:rPr>
        <w:t>,</w:t>
      </w:r>
      <w:r w:rsidR="007A7A85">
        <w:rPr>
          <w:rFonts w:ascii="Bookman Old Style" w:eastAsia="Arial Unicode MS" w:hAnsi="Bookman Old Style" w:cs="Arial Unicode MS"/>
          <w:sz w:val="24"/>
          <w:szCs w:val="24"/>
        </w:rPr>
        <w:t xml:space="preserve"> or prejudiced, was honestly held by the person expressing it.   </w:t>
      </w:r>
      <w:r w:rsidR="00B36CD0">
        <w:rPr>
          <w:rFonts w:ascii="Bookman Old Style" w:eastAsia="Arial Unicode MS" w:hAnsi="Bookman Old Style" w:cs="Arial Unicode MS"/>
          <w:sz w:val="24"/>
          <w:szCs w:val="24"/>
        </w:rPr>
        <w:t xml:space="preserve"> </w:t>
      </w:r>
      <w:r w:rsidR="004F7CED">
        <w:rPr>
          <w:rFonts w:ascii="Bookman Old Style" w:eastAsia="Arial Unicode MS" w:hAnsi="Bookman Old Style" w:cs="Arial Unicode MS"/>
          <w:sz w:val="24"/>
          <w:szCs w:val="24"/>
        </w:rPr>
        <w:t xml:space="preserve"> </w:t>
      </w:r>
    </w:p>
    <w:p w:rsidR="00072B35" w:rsidRDefault="00072B35" w:rsidP="00153D09">
      <w:pPr>
        <w:spacing w:before="240" w:line="360" w:lineRule="auto"/>
        <w:jc w:val="both"/>
        <w:rPr>
          <w:rFonts w:ascii="Bookman Old Style" w:eastAsia="Arial Unicode MS" w:hAnsi="Bookman Old Style" w:cs="Arial Unicode MS"/>
          <w:sz w:val="24"/>
          <w:szCs w:val="24"/>
        </w:rPr>
      </w:pPr>
    </w:p>
    <w:p w:rsidR="00017363" w:rsidRPr="00017363" w:rsidRDefault="00017363" w:rsidP="00153D09">
      <w:pPr>
        <w:spacing w:before="240" w:line="360" w:lineRule="auto"/>
        <w:jc w:val="both"/>
        <w:rPr>
          <w:rFonts w:ascii="Bookman Old Style" w:eastAsia="Arial Unicode MS" w:hAnsi="Bookman Old Style" w:cs="Arial Unicode MS"/>
          <w:b/>
          <w:sz w:val="24"/>
          <w:szCs w:val="24"/>
        </w:rPr>
      </w:pPr>
      <w:r w:rsidRPr="00017363">
        <w:rPr>
          <w:rFonts w:ascii="Bookman Old Style" w:eastAsia="Arial Unicode MS" w:hAnsi="Bookman Old Style" w:cs="Arial Unicode MS"/>
          <w:b/>
          <w:sz w:val="24"/>
          <w:szCs w:val="24"/>
        </w:rPr>
        <w:t>QU</w:t>
      </w:r>
      <w:r w:rsidR="00887B4B">
        <w:rPr>
          <w:rFonts w:ascii="Bookman Old Style" w:eastAsia="Arial Unicode MS" w:hAnsi="Bookman Old Style" w:cs="Arial Unicode MS"/>
          <w:b/>
          <w:sz w:val="24"/>
          <w:szCs w:val="24"/>
        </w:rPr>
        <w:t>A</w:t>
      </w:r>
      <w:r w:rsidRPr="00017363">
        <w:rPr>
          <w:rFonts w:ascii="Bookman Old Style" w:eastAsia="Arial Unicode MS" w:hAnsi="Bookman Old Style" w:cs="Arial Unicode MS"/>
          <w:b/>
          <w:sz w:val="24"/>
          <w:szCs w:val="24"/>
        </w:rPr>
        <w:t>LIFIED PRIVILEGE</w:t>
      </w:r>
      <w:r w:rsidR="00811434">
        <w:rPr>
          <w:rFonts w:ascii="Bookman Old Style" w:eastAsia="Arial Unicode MS" w:hAnsi="Bookman Old Style" w:cs="Arial Unicode MS"/>
          <w:b/>
          <w:sz w:val="24"/>
          <w:szCs w:val="24"/>
        </w:rPr>
        <w:t xml:space="preserve"> – DUTY </w:t>
      </w:r>
      <w:r w:rsidR="00CF781B">
        <w:rPr>
          <w:rFonts w:ascii="Bookman Old Style" w:eastAsia="Arial Unicode MS" w:hAnsi="Bookman Old Style" w:cs="Arial Unicode MS"/>
          <w:b/>
          <w:sz w:val="24"/>
          <w:szCs w:val="24"/>
        </w:rPr>
        <w:t xml:space="preserve">AND </w:t>
      </w:r>
      <w:r w:rsidR="00811434">
        <w:rPr>
          <w:rFonts w:ascii="Bookman Old Style" w:eastAsia="Arial Unicode MS" w:hAnsi="Bookman Old Style" w:cs="Arial Unicode MS"/>
          <w:b/>
          <w:sz w:val="24"/>
          <w:szCs w:val="24"/>
        </w:rPr>
        <w:t>INTEREST</w:t>
      </w:r>
      <w:r w:rsidRPr="00017363">
        <w:rPr>
          <w:rFonts w:ascii="Bookman Old Style" w:eastAsia="Arial Unicode MS" w:hAnsi="Bookman Old Style" w:cs="Arial Unicode MS"/>
          <w:b/>
          <w:sz w:val="24"/>
          <w:szCs w:val="24"/>
        </w:rPr>
        <w:t xml:space="preserve"> </w:t>
      </w:r>
    </w:p>
    <w:p w:rsidR="00496636" w:rsidRDefault="00811434"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law of defamati</w:t>
      </w:r>
      <w:r w:rsidR="005852FB">
        <w:rPr>
          <w:rFonts w:ascii="Bookman Old Style" w:eastAsia="Arial Unicode MS" w:hAnsi="Bookman Old Style" w:cs="Arial Unicode MS"/>
          <w:sz w:val="24"/>
          <w:szCs w:val="24"/>
        </w:rPr>
        <w:t>on always seeks to balance the competing interests of freedom of speech and the protection of reputation. There is no difficulty where the</w:t>
      </w:r>
      <w:r w:rsidR="00C31DB0">
        <w:rPr>
          <w:rFonts w:ascii="Bookman Old Style" w:eastAsia="Arial Unicode MS" w:hAnsi="Bookman Old Style" w:cs="Arial Unicode MS"/>
          <w:sz w:val="24"/>
          <w:szCs w:val="24"/>
        </w:rPr>
        <w:t xml:space="preserve"> publication in question is tru</w:t>
      </w:r>
      <w:r w:rsidR="005852FB">
        <w:rPr>
          <w:rFonts w:ascii="Bookman Old Style" w:eastAsia="Arial Unicode MS" w:hAnsi="Bookman Old Style" w:cs="Arial Unicode MS"/>
          <w:sz w:val="24"/>
          <w:szCs w:val="24"/>
        </w:rPr>
        <w:t>e___ freedom to disseminate the truth must outweigh the protection of underserved reputation.</w:t>
      </w:r>
      <w:r w:rsidR="005852FB">
        <w:rPr>
          <w:rStyle w:val="FootnoteReference"/>
          <w:rFonts w:ascii="Bookman Old Style" w:eastAsia="Arial Unicode MS" w:hAnsi="Bookman Old Style" w:cs="Arial Unicode MS"/>
          <w:sz w:val="24"/>
          <w:szCs w:val="24"/>
        </w:rPr>
        <w:footnoteReference w:id="95"/>
      </w:r>
      <w:r w:rsidR="005852FB">
        <w:rPr>
          <w:rFonts w:ascii="Bookman Old Style" w:eastAsia="Arial Unicode MS" w:hAnsi="Bookman Old Style" w:cs="Arial Unicode MS"/>
          <w:sz w:val="24"/>
          <w:szCs w:val="24"/>
        </w:rPr>
        <w:t xml:space="preserve"> However, in certain circumstances, the law recognises that it is better </w:t>
      </w:r>
      <w:r w:rsidR="00C31DB0">
        <w:rPr>
          <w:rFonts w:ascii="Bookman Old Style" w:eastAsia="Arial Unicode MS" w:hAnsi="Bookman Old Style" w:cs="Arial Unicode MS"/>
          <w:sz w:val="24"/>
          <w:szCs w:val="24"/>
        </w:rPr>
        <w:t xml:space="preserve">that </w:t>
      </w:r>
      <w:r w:rsidR="005852FB">
        <w:rPr>
          <w:rFonts w:ascii="Bookman Old Style" w:eastAsia="Arial Unicode MS" w:hAnsi="Bookman Old Style" w:cs="Arial Unicode MS"/>
          <w:sz w:val="24"/>
          <w:szCs w:val="24"/>
        </w:rPr>
        <w:t>individual</w:t>
      </w:r>
      <w:r w:rsidR="00C31DB0">
        <w:rPr>
          <w:rFonts w:ascii="Bookman Old Style" w:eastAsia="Arial Unicode MS" w:hAnsi="Bookman Old Style" w:cs="Arial Unicode MS"/>
          <w:sz w:val="24"/>
          <w:szCs w:val="24"/>
        </w:rPr>
        <w:t>s</w:t>
      </w:r>
      <w:r w:rsidR="005852FB">
        <w:rPr>
          <w:rFonts w:ascii="Bookman Old Style" w:eastAsia="Arial Unicode MS" w:hAnsi="Bookman Old Style" w:cs="Arial Unicode MS"/>
          <w:sz w:val="24"/>
          <w:szCs w:val="24"/>
        </w:rPr>
        <w:t>, are free to speak their mind (and others to report what they say) without fear of being sued even if they get it wrong, and the claimant’s reputation is damage</w:t>
      </w:r>
      <w:r w:rsidR="00C31DB0">
        <w:rPr>
          <w:rFonts w:ascii="Bookman Old Style" w:eastAsia="Arial Unicode MS" w:hAnsi="Bookman Old Style" w:cs="Arial Unicode MS"/>
          <w:sz w:val="24"/>
          <w:szCs w:val="24"/>
        </w:rPr>
        <w:t>d</w:t>
      </w:r>
      <w:r w:rsidR="005852FB">
        <w:rPr>
          <w:rFonts w:ascii="Bookman Old Style" w:eastAsia="Arial Unicode MS" w:hAnsi="Bookman Old Style" w:cs="Arial Unicode MS"/>
          <w:sz w:val="24"/>
          <w:szCs w:val="24"/>
        </w:rPr>
        <w:t>.</w:t>
      </w:r>
      <w:r w:rsidR="005852FB">
        <w:rPr>
          <w:rStyle w:val="FootnoteReference"/>
          <w:rFonts w:ascii="Bookman Old Style" w:eastAsia="Arial Unicode MS" w:hAnsi="Bookman Old Style" w:cs="Arial Unicode MS"/>
          <w:sz w:val="24"/>
          <w:szCs w:val="24"/>
        </w:rPr>
        <w:footnoteReference w:id="96"/>
      </w:r>
      <w:r w:rsidR="005852FB">
        <w:rPr>
          <w:rFonts w:ascii="Bookman Old Style" w:eastAsia="Arial Unicode MS" w:hAnsi="Bookman Old Style" w:cs="Arial Unicode MS"/>
          <w:sz w:val="24"/>
          <w:szCs w:val="24"/>
        </w:rPr>
        <w:t xml:space="preserve"> </w:t>
      </w:r>
      <w:r w:rsidR="002250E4">
        <w:rPr>
          <w:rFonts w:ascii="Bookman Old Style" w:eastAsia="Arial Unicode MS" w:hAnsi="Bookman Old Style" w:cs="Arial Unicode MS"/>
          <w:sz w:val="24"/>
          <w:szCs w:val="24"/>
        </w:rPr>
        <w:t xml:space="preserve">This is the </w:t>
      </w:r>
      <w:r w:rsidR="00C31DB0">
        <w:rPr>
          <w:rFonts w:ascii="Bookman Old Style" w:eastAsia="Arial Unicode MS" w:hAnsi="Bookman Old Style" w:cs="Arial Unicode MS"/>
          <w:sz w:val="24"/>
          <w:szCs w:val="24"/>
        </w:rPr>
        <w:t xml:space="preserve">rationale </w:t>
      </w:r>
      <w:r w:rsidR="002250E4">
        <w:rPr>
          <w:rFonts w:ascii="Bookman Old Style" w:eastAsia="Arial Unicode MS" w:hAnsi="Bookman Old Style" w:cs="Arial Unicode MS"/>
          <w:sz w:val="24"/>
          <w:szCs w:val="24"/>
        </w:rPr>
        <w:t>behind the defence of privilege</w:t>
      </w:r>
      <w:r w:rsidR="00C31DB0">
        <w:rPr>
          <w:rFonts w:ascii="Bookman Old Style" w:eastAsia="Arial Unicode MS" w:hAnsi="Bookman Old Style" w:cs="Arial Unicode MS"/>
          <w:sz w:val="24"/>
          <w:szCs w:val="24"/>
        </w:rPr>
        <w:t>.</w:t>
      </w:r>
    </w:p>
    <w:p w:rsidR="007B4CA9" w:rsidRDefault="00496636"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There are, in general, two types of privilege___ absolute, and qualified.</w:t>
      </w:r>
      <w:r w:rsidR="005852FB">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Where the publication is protected by qualified privilege, the defence may be defeated if the claimant proves that the defendant was malicious.</w:t>
      </w:r>
      <w:r w:rsidR="00811434">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Malice is a term of art, and will be considered in more detail later.</w:t>
      </w:r>
      <w:r w:rsidR="003C77E5">
        <w:rPr>
          <w:rFonts w:ascii="Bookman Old Style" w:eastAsia="Arial Unicode MS" w:hAnsi="Bookman Old Style" w:cs="Arial Unicode MS"/>
          <w:sz w:val="24"/>
          <w:szCs w:val="24"/>
        </w:rPr>
        <w:t xml:space="preserve"> The categories of qualified </w:t>
      </w:r>
      <w:r w:rsidR="007B4CA9">
        <w:rPr>
          <w:rFonts w:ascii="Bookman Old Style" w:eastAsia="Arial Unicode MS" w:hAnsi="Bookman Old Style" w:cs="Arial Unicode MS"/>
          <w:sz w:val="24"/>
          <w:szCs w:val="24"/>
        </w:rPr>
        <w:t>privilege cover a wide range of situations where it is felt that freedom of expression should prevail over the protection of reputation, but not to the extent of granting a complete immunity.</w:t>
      </w:r>
      <w:r w:rsidR="007B4CA9">
        <w:rPr>
          <w:rStyle w:val="FootnoteReference"/>
          <w:rFonts w:ascii="Bookman Old Style" w:eastAsia="Arial Unicode MS" w:hAnsi="Bookman Old Style" w:cs="Arial Unicode MS"/>
          <w:sz w:val="24"/>
          <w:szCs w:val="24"/>
        </w:rPr>
        <w:footnoteReference w:id="97"/>
      </w:r>
      <w:r>
        <w:rPr>
          <w:rFonts w:ascii="Bookman Old Style" w:eastAsia="Arial Unicode MS" w:hAnsi="Bookman Old Style" w:cs="Arial Unicode MS"/>
          <w:sz w:val="24"/>
          <w:szCs w:val="24"/>
        </w:rPr>
        <w:t xml:space="preserve"> </w:t>
      </w:r>
      <w:r w:rsidR="007B4CA9">
        <w:rPr>
          <w:rFonts w:ascii="Bookman Old Style" w:eastAsia="Arial Unicode MS" w:hAnsi="Bookman Old Style" w:cs="Arial Unicode MS"/>
          <w:sz w:val="24"/>
          <w:szCs w:val="24"/>
        </w:rPr>
        <w:t>The concept of duty, and interest is the primary method by which the c</w:t>
      </w:r>
      <w:r w:rsidR="00C31DB0">
        <w:rPr>
          <w:rFonts w:ascii="Bookman Old Style" w:eastAsia="Arial Unicode MS" w:hAnsi="Bookman Old Style" w:cs="Arial Unicode MS"/>
          <w:sz w:val="24"/>
          <w:szCs w:val="24"/>
        </w:rPr>
        <w:t>ommon law identifies</w:t>
      </w:r>
      <w:r w:rsidR="007B4CA9">
        <w:rPr>
          <w:rFonts w:ascii="Bookman Old Style" w:eastAsia="Arial Unicode MS" w:hAnsi="Bookman Old Style" w:cs="Arial Unicode MS"/>
          <w:sz w:val="24"/>
          <w:szCs w:val="24"/>
        </w:rPr>
        <w:t xml:space="preserve"> the circumstances in which it is felt desirable for people to speak their mind honestly without fear of being sued for defamation if they get </w:t>
      </w:r>
      <w:r w:rsidR="00C31DB0">
        <w:rPr>
          <w:rFonts w:ascii="Bookman Old Style" w:eastAsia="Arial Unicode MS" w:hAnsi="Bookman Old Style" w:cs="Arial Unicode MS"/>
          <w:sz w:val="24"/>
          <w:szCs w:val="24"/>
        </w:rPr>
        <w:t xml:space="preserve">it </w:t>
      </w:r>
      <w:r w:rsidR="007B4CA9">
        <w:rPr>
          <w:rFonts w:ascii="Bookman Old Style" w:eastAsia="Arial Unicode MS" w:hAnsi="Bookman Old Style" w:cs="Arial Unicode MS"/>
          <w:sz w:val="24"/>
          <w:szCs w:val="24"/>
        </w:rPr>
        <w:t>wrong.</w:t>
      </w:r>
      <w:r w:rsidR="007B4CA9">
        <w:rPr>
          <w:rStyle w:val="FootnoteReference"/>
          <w:rFonts w:ascii="Bookman Old Style" w:eastAsia="Arial Unicode MS" w:hAnsi="Bookman Old Style" w:cs="Arial Unicode MS"/>
          <w:sz w:val="24"/>
          <w:szCs w:val="24"/>
        </w:rPr>
        <w:footnoteReference w:id="98"/>
      </w:r>
      <w:r w:rsidR="007B4CA9">
        <w:rPr>
          <w:rFonts w:ascii="Bookman Old Style" w:eastAsia="Arial Unicode MS" w:hAnsi="Bookman Old Style" w:cs="Arial Unicode MS"/>
          <w:sz w:val="24"/>
          <w:szCs w:val="24"/>
        </w:rPr>
        <w:t xml:space="preserve">The </w:t>
      </w:r>
      <w:r w:rsidR="007B4CA9" w:rsidRPr="005C71ED">
        <w:rPr>
          <w:rFonts w:ascii="Bookman Old Style" w:eastAsia="Arial Unicode MS" w:hAnsi="Bookman Old Style" w:cs="Arial Unicode MS"/>
          <w:i/>
          <w:sz w:val="24"/>
          <w:szCs w:val="24"/>
        </w:rPr>
        <w:t>raison d’tre</w:t>
      </w:r>
      <w:r w:rsidR="005C71ED">
        <w:rPr>
          <w:rFonts w:ascii="Bookman Old Style" w:eastAsia="Arial Unicode MS" w:hAnsi="Bookman Old Style" w:cs="Arial Unicode MS"/>
          <w:sz w:val="24"/>
          <w:szCs w:val="24"/>
        </w:rPr>
        <w:t xml:space="preserve"> for qualified privilege was stated</w:t>
      </w:r>
      <w:r w:rsidR="007B4CA9">
        <w:rPr>
          <w:rFonts w:ascii="Bookman Old Style" w:eastAsia="Arial Unicode MS" w:hAnsi="Bookman Old Style" w:cs="Arial Unicode MS"/>
          <w:sz w:val="24"/>
          <w:szCs w:val="24"/>
        </w:rPr>
        <w:t xml:space="preserve"> succinctly by Lord Atkin when he said:</w:t>
      </w:r>
      <w:r w:rsidR="007B4CA9">
        <w:rPr>
          <w:rStyle w:val="FootnoteReference"/>
          <w:rFonts w:ascii="Bookman Old Style" w:eastAsia="Arial Unicode MS" w:hAnsi="Bookman Old Style" w:cs="Arial Unicode MS"/>
          <w:sz w:val="24"/>
          <w:szCs w:val="24"/>
        </w:rPr>
        <w:footnoteReference w:id="99"/>
      </w:r>
      <w:r w:rsidR="007B4CA9">
        <w:rPr>
          <w:rFonts w:ascii="Bookman Old Style" w:eastAsia="Arial Unicode MS" w:hAnsi="Bookman Old Style" w:cs="Arial Unicode MS"/>
          <w:sz w:val="24"/>
          <w:szCs w:val="24"/>
        </w:rPr>
        <w:t xml:space="preserve"> </w:t>
      </w:r>
    </w:p>
    <w:p w:rsidR="007B4CA9" w:rsidRPr="0051035E" w:rsidRDefault="007B4CA9" w:rsidP="0051035E">
      <w:pPr>
        <w:spacing w:before="240" w:line="240" w:lineRule="auto"/>
        <w:jc w:val="both"/>
        <w:rPr>
          <w:rFonts w:ascii="Bookman Old Style" w:eastAsia="Arial Unicode MS" w:hAnsi="Bookman Old Style" w:cs="Arial Unicode MS"/>
          <w:i/>
          <w:sz w:val="24"/>
          <w:szCs w:val="24"/>
        </w:rPr>
      </w:pPr>
      <w:r w:rsidRPr="0051035E">
        <w:rPr>
          <w:rFonts w:ascii="Bookman Old Style" w:eastAsia="Arial Unicode MS" w:hAnsi="Bookman Old Style" w:cs="Arial Unicode MS"/>
          <w:i/>
          <w:sz w:val="24"/>
          <w:szCs w:val="24"/>
        </w:rPr>
        <w:t>“A privilege</w:t>
      </w:r>
      <w:r w:rsidR="00CF781B">
        <w:rPr>
          <w:rFonts w:ascii="Bookman Old Style" w:eastAsia="Arial Unicode MS" w:hAnsi="Bookman Old Style" w:cs="Arial Unicode MS"/>
          <w:i/>
          <w:sz w:val="24"/>
          <w:szCs w:val="24"/>
        </w:rPr>
        <w:t>d</w:t>
      </w:r>
      <w:r w:rsidRPr="0051035E">
        <w:rPr>
          <w:rFonts w:ascii="Bookman Old Style" w:eastAsia="Arial Unicode MS" w:hAnsi="Bookman Old Style" w:cs="Arial Unicode MS"/>
          <w:i/>
          <w:sz w:val="24"/>
          <w:szCs w:val="24"/>
        </w:rPr>
        <w:t xml:space="preserve"> occasion is an occasion where the person who makes a communication has any interest or duty legal, social, or moral to make it to the person to whom it is made, and the person to whom it is made</w:t>
      </w:r>
      <w:r w:rsidR="00CB7C3A">
        <w:rPr>
          <w:rFonts w:ascii="Bookman Old Style" w:eastAsia="Arial Unicode MS" w:hAnsi="Bookman Old Style" w:cs="Arial Unicode MS"/>
          <w:i/>
          <w:sz w:val="24"/>
          <w:szCs w:val="24"/>
        </w:rPr>
        <w:t xml:space="preserve"> has a corresponding interest or</w:t>
      </w:r>
      <w:r w:rsidRPr="0051035E">
        <w:rPr>
          <w:rFonts w:ascii="Bookman Old Style" w:eastAsia="Arial Unicode MS" w:hAnsi="Bookman Old Style" w:cs="Arial Unicode MS"/>
          <w:i/>
          <w:sz w:val="24"/>
          <w:szCs w:val="24"/>
        </w:rPr>
        <w:t xml:space="preserve"> duty to receive it. This reciprocity is essential.”</w:t>
      </w:r>
    </w:p>
    <w:p w:rsidR="0051035E" w:rsidRDefault="0051035E" w:rsidP="00153D09">
      <w:pPr>
        <w:spacing w:before="240" w:line="360" w:lineRule="auto"/>
        <w:jc w:val="both"/>
        <w:rPr>
          <w:rFonts w:ascii="Bookman Old Style" w:eastAsia="Arial Unicode MS" w:hAnsi="Bookman Old Style" w:cs="Arial Unicode MS"/>
          <w:sz w:val="24"/>
          <w:szCs w:val="24"/>
        </w:rPr>
      </w:pPr>
    </w:p>
    <w:p w:rsidR="0051035E" w:rsidRDefault="0051035E"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authorities make it clear that the assessment of whethe</w:t>
      </w:r>
      <w:r w:rsidR="00CB7C3A">
        <w:rPr>
          <w:rFonts w:ascii="Bookman Old Style" w:eastAsia="Arial Unicode MS" w:hAnsi="Bookman Old Style" w:cs="Arial Unicode MS"/>
          <w:sz w:val="24"/>
          <w:szCs w:val="24"/>
        </w:rPr>
        <w:t>r such a duty or interest arises</w:t>
      </w:r>
      <w:r>
        <w:rPr>
          <w:rFonts w:ascii="Bookman Old Style" w:eastAsia="Arial Unicode MS" w:hAnsi="Bookman Old Style" w:cs="Arial Unicode MS"/>
          <w:sz w:val="24"/>
          <w:szCs w:val="24"/>
        </w:rPr>
        <w:t xml:space="preserve"> depends to a large extent on the facts of the particular case.</w:t>
      </w:r>
      <w:r w:rsidR="002A2A5D">
        <w:rPr>
          <w:rStyle w:val="FootnoteReference"/>
          <w:rFonts w:ascii="Bookman Old Style" w:eastAsia="Arial Unicode MS" w:hAnsi="Bookman Old Style" w:cs="Arial Unicode MS"/>
          <w:sz w:val="24"/>
          <w:szCs w:val="24"/>
        </w:rPr>
        <w:footnoteReference w:id="100"/>
      </w:r>
      <w:r w:rsidR="002A2A5D">
        <w:rPr>
          <w:rFonts w:ascii="Bookman Old Style" w:eastAsia="Arial Unicode MS" w:hAnsi="Bookman Old Style" w:cs="Arial Unicode MS"/>
          <w:sz w:val="24"/>
          <w:szCs w:val="24"/>
        </w:rPr>
        <w:t xml:space="preserve"> It is important to stress that it is the occasion that is privilege</w:t>
      </w:r>
      <w:r w:rsidR="00CB7C3A">
        <w:rPr>
          <w:rFonts w:ascii="Bookman Old Style" w:eastAsia="Arial Unicode MS" w:hAnsi="Bookman Old Style" w:cs="Arial Unicode MS"/>
          <w:sz w:val="24"/>
          <w:szCs w:val="24"/>
        </w:rPr>
        <w:t>d</w:t>
      </w:r>
      <w:r w:rsidR="002A2A5D">
        <w:rPr>
          <w:rFonts w:ascii="Bookman Old Style" w:eastAsia="Arial Unicode MS" w:hAnsi="Bookman Old Style" w:cs="Arial Unicode MS"/>
          <w:sz w:val="24"/>
          <w:szCs w:val="24"/>
        </w:rPr>
        <w:t>. The privilege neither belongs to the communications</w:t>
      </w:r>
      <w:r w:rsidR="00CB7C3A">
        <w:rPr>
          <w:rFonts w:ascii="Bookman Old Style" w:eastAsia="Arial Unicode MS" w:hAnsi="Bookman Old Style" w:cs="Arial Unicode MS"/>
          <w:sz w:val="24"/>
          <w:szCs w:val="24"/>
        </w:rPr>
        <w:t>,</w:t>
      </w:r>
      <w:r w:rsidR="002A2A5D">
        <w:rPr>
          <w:rFonts w:ascii="Bookman Old Style" w:eastAsia="Arial Unicode MS" w:hAnsi="Bookman Old Style" w:cs="Arial Unicode MS"/>
          <w:sz w:val="24"/>
          <w:szCs w:val="24"/>
        </w:rPr>
        <w:t xml:space="preserve"> nor to the people whom communicate them. No individual, or organization such as a </w:t>
      </w:r>
      <w:r w:rsidR="00CB7C3A">
        <w:rPr>
          <w:rFonts w:ascii="Bookman Old Style" w:eastAsia="Arial Unicode MS" w:hAnsi="Bookman Old Style" w:cs="Arial Unicode MS"/>
          <w:sz w:val="24"/>
          <w:szCs w:val="24"/>
        </w:rPr>
        <w:t>newspaper or any other section of</w:t>
      </w:r>
      <w:r w:rsidR="002A2A5D">
        <w:rPr>
          <w:rFonts w:ascii="Bookman Old Style" w:eastAsia="Arial Unicode MS" w:hAnsi="Bookman Old Style" w:cs="Arial Unicode MS"/>
          <w:sz w:val="24"/>
          <w:szCs w:val="24"/>
        </w:rPr>
        <w:t xml:space="preserve"> the media can assert that it is entitled to the benefit of qualified privilege simply because of who or what that individual does or organization is or what it does.</w:t>
      </w:r>
      <w:r w:rsidR="002A2A5D">
        <w:rPr>
          <w:rStyle w:val="FootnoteReference"/>
          <w:rFonts w:ascii="Bookman Old Style" w:eastAsia="Arial Unicode MS" w:hAnsi="Bookman Old Style" w:cs="Arial Unicode MS"/>
          <w:sz w:val="24"/>
          <w:szCs w:val="24"/>
        </w:rPr>
        <w:footnoteReference w:id="101"/>
      </w:r>
      <w:r>
        <w:rPr>
          <w:rFonts w:ascii="Bookman Old Style" w:eastAsia="Arial Unicode MS" w:hAnsi="Bookman Old Style" w:cs="Arial Unicode MS"/>
          <w:sz w:val="24"/>
          <w:szCs w:val="24"/>
        </w:rPr>
        <w:t xml:space="preserve"> </w:t>
      </w:r>
      <w:r w:rsidR="00C86141">
        <w:rPr>
          <w:rFonts w:ascii="Bookman Old Style" w:eastAsia="Arial Unicode MS" w:hAnsi="Bookman Old Style" w:cs="Arial Unicode MS"/>
          <w:sz w:val="24"/>
          <w:szCs w:val="24"/>
        </w:rPr>
        <w:t>It is the occasion of the communication which must be examined to see whether there was an interest or duty to make it and the corresponding interest or duty to receive it, having regard to its particular subject matter.</w:t>
      </w:r>
      <w:r w:rsidR="00C86141">
        <w:rPr>
          <w:rStyle w:val="FootnoteReference"/>
          <w:rFonts w:ascii="Bookman Old Style" w:eastAsia="Arial Unicode MS" w:hAnsi="Bookman Old Style" w:cs="Arial Unicode MS"/>
          <w:sz w:val="24"/>
          <w:szCs w:val="24"/>
        </w:rPr>
        <w:footnoteReference w:id="102"/>
      </w:r>
      <w:r w:rsidR="00C86141">
        <w:rPr>
          <w:rFonts w:ascii="Bookman Old Style" w:eastAsia="Arial Unicode MS" w:hAnsi="Bookman Old Style" w:cs="Arial Unicode MS"/>
          <w:sz w:val="24"/>
          <w:szCs w:val="24"/>
        </w:rPr>
        <w:t xml:space="preserve"> </w:t>
      </w:r>
    </w:p>
    <w:p w:rsidR="00C86141" w:rsidRDefault="00C86141" w:rsidP="00153D09">
      <w:pPr>
        <w:spacing w:before="240" w:line="360" w:lineRule="auto"/>
        <w:jc w:val="both"/>
        <w:rPr>
          <w:rFonts w:ascii="Bookman Old Style" w:eastAsia="Arial Unicode MS" w:hAnsi="Bookman Old Style" w:cs="Arial Unicode MS"/>
          <w:sz w:val="24"/>
          <w:szCs w:val="24"/>
        </w:rPr>
      </w:pPr>
    </w:p>
    <w:p w:rsidR="00C86141" w:rsidRDefault="00C86141"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Proof of actual malice will always be required before the words can be held to be defamatory. This assists free speech and full, and frank disclosure of facts. It also removes the inhibiting or chilling effect which the law of defamation imposes on the discussion of matters of public interest. As a general rule it is beneficial, and in the public interest that communication between parties with the necessary duty, a</w:t>
      </w:r>
      <w:r w:rsidR="00096167">
        <w:rPr>
          <w:rFonts w:ascii="Bookman Old Style" w:eastAsia="Arial Unicode MS" w:hAnsi="Bookman Old Style" w:cs="Arial Unicode MS"/>
          <w:sz w:val="24"/>
          <w:szCs w:val="24"/>
        </w:rPr>
        <w:t>n</w:t>
      </w:r>
      <w:r>
        <w:rPr>
          <w:rFonts w:ascii="Bookman Old Style" w:eastAsia="Arial Unicode MS" w:hAnsi="Bookman Old Style" w:cs="Arial Unicode MS"/>
          <w:sz w:val="24"/>
          <w:szCs w:val="24"/>
        </w:rPr>
        <w:t>d interest</w:t>
      </w:r>
      <w:r w:rsidR="00CB7C3A">
        <w:rPr>
          <w:rFonts w:ascii="Bookman Old Style" w:eastAsia="Arial Unicode MS" w:hAnsi="Bookman Old Style" w:cs="Arial Unicode MS"/>
          <w:sz w:val="24"/>
          <w:szCs w:val="24"/>
        </w:rPr>
        <w:t xml:space="preserve"> in the matter should not be in</w:t>
      </w:r>
      <w:r w:rsidR="005C71ED">
        <w:rPr>
          <w:rFonts w:ascii="Bookman Old Style" w:eastAsia="Arial Unicode MS" w:hAnsi="Bookman Old Style" w:cs="Arial Unicode MS"/>
          <w:sz w:val="24"/>
          <w:szCs w:val="24"/>
        </w:rPr>
        <w:t>hi</w:t>
      </w:r>
      <w:r>
        <w:rPr>
          <w:rFonts w:ascii="Bookman Old Style" w:eastAsia="Arial Unicode MS" w:hAnsi="Bookman Old Style" w:cs="Arial Unicode MS"/>
          <w:sz w:val="24"/>
          <w:szCs w:val="24"/>
        </w:rPr>
        <w:t>bited.</w:t>
      </w:r>
      <w:r w:rsidR="000B6377">
        <w:rPr>
          <w:rStyle w:val="FootnoteReference"/>
          <w:rFonts w:ascii="Bookman Old Style" w:eastAsia="Arial Unicode MS" w:hAnsi="Bookman Old Style" w:cs="Arial Unicode MS"/>
          <w:sz w:val="24"/>
          <w:szCs w:val="24"/>
        </w:rPr>
        <w:footnoteReference w:id="103"/>
      </w:r>
      <w:r>
        <w:rPr>
          <w:rFonts w:ascii="Bookman Old Style" w:eastAsia="Arial Unicode MS" w:hAnsi="Bookman Old Style" w:cs="Arial Unicode MS"/>
          <w:sz w:val="24"/>
          <w:szCs w:val="24"/>
        </w:rPr>
        <w:t xml:space="preserve"> </w:t>
      </w:r>
      <w:r w:rsidR="000B6377">
        <w:rPr>
          <w:rFonts w:ascii="Bookman Old Style" w:eastAsia="Arial Unicode MS" w:hAnsi="Bookman Old Style" w:cs="Arial Unicode MS"/>
          <w:sz w:val="24"/>
          <w:szCs w:val="24"/>
        </w:rPr>
        <w:t xml:space="preserve">This approach recognises the fact that the question is ultimately one of striking the right balance between the competing interests. </w:t>
      </w:r>
    </w:p>
    <w:p w:rsidR="000B6377" w:rsidRDefault="000B6377" w:rsidP="00153D09">
      <w:pPr>
        <w:spacing w:before="240" w:line="360" w:lineRule="auto"/>
        <w:jc w:val="both"/>
        <w:rPr>
          <w:rFonts w:ascii="Bookman Old Style" w:eastAsia="Arial Unicode MS" w:hAnsi="Bookman Old Style" w:cs="Arial Unicode MS"/>
          <w:sz w:val="24"/>
          <w:szCs w:val="24"/>
        </w:rPr>
      </w:pPr>
    </w:p>
    <w:p w:rsidR="005C71ED" w:rsidRDefault="000B6377"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 the context of this defence___ qualified privilege___ it is also recognised that complete factual accuracy may not always be practically achievable, nor may it always be possible finitely to establish what is true, and what is not.</w:t>
      </w:r>
      <w:r w:rsidR="005B5465">
        <w:rPr>
          <w:rStyle w:val="FootnoteReference"/>
          <w:rFonts w:ascii="Bookman Old Style" w:eastAsia="Arial Unicode MS" w:hAnsi="Bookman Old Style" w:cs="Arial Unicode MS"/>
          <w:sz w:val="24"/>
          <w:szCs w:val="24"/>
        </w:rPr>
        <w:footnoteReference w:id="104"/>
      </w:r>
      <w:r>
        <w:rPr>
          <w:rFonts w:ascii="Bookman Old Style" w:eastAsia="Arial Unicode MS" w:hAnsi="Bookman Old Style" w:cs="Arial Unicode MS"/>
          <w:sz w:val="24"/>
          <w:szCs w:val="24"/>
        </w:rPr>
        <w:t xml:space="preserve"> Some </w:t>
      </w:r>
      <w:r>
        <w:rPr>
          <w:rFonts w:ascii="Bookman Old Style" w:eastAsia="Arial Unicode MS" w:hAnsi="Bookman Old Style" w:cs="Arial Unicode MS"/>
          <w:sz w:val="24"/>
          <w:szCs w:val="24"/>
        </w:rPr>
        <w:lastRenderedPageBreak/>
        <w:t>degree of tolerance for factual inaccuracy has to be accepted; hence the need for a law of privilege.</w:t>
      </w:r>
      <w:r w:rsidR="009E6893">
        <w:rPr>
          <w:rStyle w:val="FootnoteReference"/>
          <w:rFonts w:ascii="Bookman Old Style" w:eastAsia="Arial Unicode MS" w:hAnsi="Bookman Old Style" w:cs="Arial Unicode MS"/>
          <w:sz w:val="24"/>
          <w:szCs w:val="24"/>
        </w:rPr>
        <w:footnoteReference w:id="105"/>
      </w:r>
      <w:r w:rsidR="00096167">
        <w:rPr>
          <w:rFonts w:ascii="Bookman Old Style" w:eastAsia="Arial Unicode MS" w:hAnsi="Bookman Old Style" w:cs="Arial Unicode MS"/>
          <w:sz w:val="24"/>
          <w:szCs w:val="24"/>
        </w:rPr>
        <w:t xml:space="preserve"> </w:t>
      </w:r>
      <w:r w:rsidR="005C71ED">
        <w:rPr>
          <w:rFonts w:ascii="Bookman Old Style" w:eastAsia="Arial Unicode MS" w:hAnsi="Bookman Old Style" w:cs="Arial Unicode MS"/>
          <w:sz w:val="24"/>
          <w:szCs w:val="24"/>
        </w:rPr>
        <w:t xml:space="preserve">Thus a defence of privilege in the usual sense </w:t>
      </w:r>
      <w:r w:rsidR="00096167">
        <w:rPr>
          <w:rFonts w:ascii="Bookman Old Style" w:eastAsia="Arial Unicode MS" w:hAnsi="Bookman Old Style" w:cs="Arial Unicode MS"/>
          <w:sz w:val="24"/>
          <w:szCs w:val="24"/>
        </w:rPr>
        <w:t xml:space="preserve">is </w:t>
      </w:r>
      <w:r w:rsidR="005C71ED">
        <w:rPr>
          <w:rFonts w:ascii="Bookman Old Style" w:eastAsia="Arial Unicode MS" w:hAnsi="Bookman Old Style" w:cs="Arial Unicode MS"/>
          <w:sz w:val="24"/>
          <w:szCs w:val="24"/>
        </w:rPr>
        <w:t xml:space="preserve">available when the defamatory statement was published on a privileged occasion and </w:t>
      </w:r>
      <w:r w:rsidR="00096167">
        <w:rPr>
          <w:rFonts w:ascii="Bookman Old Style" w:eastAsia="Arial Unicode MS" w:hAnsi="Bookman Old Style" w:cs="Arial Unicode MS"/>
          <w:sz w:val="24"/>
          <w:szCs w:val="24"/>
        </w:rPr>
        <w:t xml:space="preserve">can </w:t>
      </w:r>
      <w:r w:rsidR="005C71ED">
        <w:rPr>
          <w:rFonts w:ascii="Bookman Old Style" w:eastAsia="Arial Unicode MS" w:hAnsi="Bookman Old Style" w:cs="Arial Unicode MS"/>
          <w:sz w:val="24"/>
          <w:szCs w:val="24"/>
        </w:rPr>
        <w:t>be defeated only by showing that the privilege was abused.</w:t>
      </w:r>
      <w:r w:rsidR="005C71ED">
        <w:rPr>
          <w:rStyle w:val="FootnoteReference"/>
          <w:rFonts w:ascii="Bookman Old Style" w:eastAsia="Arial Unicode MS" w:hAnsi="Bookman Old Style" w:cs="Arial Unicode MS"/>
          <w:sz w:val="24"/>
          <w:szCs w:val="24"/>
        </w:rPr>
        <w:footnoteReference w:id="106"/>
      </w:r>
      <w:r w:rsidR="003E61FF">
        <w:rPr>
          <w:rFonts w:ascii="Bookman Old Style" w:eastAsia="Arial Unicode MS" w:hAnsi="Bookman Old Style" w:cs="Arial Unicode MS"/>
          <w:sz w:val="24"/>
          <w:szCs w:val="24"/>
        </w:rPr>
        <w:t xml:space="preserve">  </w:t>
      </w:r>
      <w:r w:rsidR="005C71ED">
        <w:rPr>
          <w:rFonts w:ascii="Bookman Old Style" w:eastAsia="Arial Unicode MS" w:hAnsi="Bookman Old Style" w:cs="Arial Unicode MS"/>
          <w:sz w:val="24"/>
          <w:szCs w:val="24"/>
        </w:rPr>
        <w:t xml:space="preserve">As Lord Diplock said in a well known passage in </w:t>
      </w:r>
      <w:r w:rsidR="005C71ED" w:rsidRPr="00C56FE3">
        <w:rPr>
          <w:rFonts w:ascii="Bookman Old Style" w:eastAsia="Arial Unicode MS" w:hAnsi="Bookman Old Style" w:cs="Arial Unicode MS"/>
          <w:i/>
          <w:sz w:val="24"/>
          <w:szCs w:val="24"/>
        </w:rPr>
        <w:t>Harrocks v Lowe</w:t>
      </w:r>
      <w:r w:rsidR="005C71ED">
        <w:rPr>
          <w:rFonts w:ascii="Bookman Old Style" w:eastAsia="Arial Unicode MS" w:hAnsi="Bookman Old Style" w:cs="Arial Unicode MS"/>
          <w:sz w:val="24"/>
          <w:szCs w:val="24"/>
        </w:rPr>
        <w:t>:</w:t>
      </w:r>
      <w:r w:rsidR="005C71ED">
        <w:rPr>
          <w:rStyle w:val="FootnoteReference"/>
          <w:rFonts w:ascii="Bookman Old Style" w:eastAsia="Arial Unicode MS" w:hAnsi="Bookman Old Style" w:cs="Arial Unicode MS"/>
          <w:sz w:val="24"/>
          <w:szCs w:val="24"/>
        </w:rPr>
        <w:footnoteReference w:id="107"/>
      </w:r>
    </w:p>
    <w:p w:rsidR="007C47D8" w:rsidRPr="00DE1AF9" w:rsidRDefault="005C71ED" w:rsidP="00DE1AF9">
      <w:pPr>
        <w:spacing w:before="240" w:line="240" w:lineRule="auto"/>
        <w:jc w:val="both"/>
        <w:rPr>
          <w:rFonts w:ascii="Bookman Old Style" w:eastAsia="Arial Unicode MS" w:hAnsi="Bookman Old Style" w:cs="Arial Unicode MS"/>
          <w:i/>
          <w:sz w:val="24"/>
          <w:szCs w:val="24"/>
        </w:rPr>
      </w:pPr>
      <w:r w:rsidRPr="00DE1AF9">
        <w:rPr>
          <w:rFonts w:ascii="Bookman Old Style" w:eastAsia="Arial Unicode MS" w:hAnsi="Bookman Old Style" w:cs="Arial Unicode MS"/>
          <w:i/>
          <w:sz w:val="24"/>
          <w:szCs w:val="24"/>
        </w:rPr>
        <w:t>“The public interest that effective means whereby a man can vindicate his reputation against calumny has nevertheless to be accommodated to the competing public interest in permitting men to communicate frankly, and freely with one another about matters in respect of which the law recognises</w:t>
      </w:r>
      <w:r w:rsidR="007C47D8" w:rsidRPr="00DE1AF9">
        <w:rPr>
          <w:rFonts w:ascii="Bookman Old Style" w:eastAsia="Arial Unicode MS" w:hAnsi="Bookman Old Style" w:cs="Arial Unicode MS"/>
          <w:i/>
          <w:sz w:val="24"/>
          <w:szCs w:val="24"/>
        </w:rPr>
        <w:t xml:space="preserve"> that they have a duty to perform or an interest to protect in doing so. What is published in good faith </w:t>
      </w:r>
      <w:r w:rsidR="00096167">
        <w:rPr>
          <w:rFonts w:ascii="Bookman Old Style" w:eastAsia="Arial Unicode MS" w:hAnsi="Bookman Old Style" w:cs="Arial Unicode MS"/>
          <w:i/>
          <w:sz w:val="24"/>
          <w:szCs w:val="24"/>
        </w:rPr>
        <w:t>i</w:t>
      </w:r>
      <w:r w:rsidR="007C47D8" w:rsidRPr="00DE1AF9">
        <w:rPr>
          <w:rFonts w:ascii="Bookman Old Style" w:eastAsia="Arial Unicode MS" w:hAnsi="Bookman Old Style" w:cs="Arial Unicode MS"/>
          <w:i/>
          <w:sz w:val="24"/>
          <w:szCs w:val="24"/>
        </w:rPr>
        <w:t>n matters of these kinds is published on privileged occasion. It is not actionable even though it be defamatory and turns out to be untrue. With some exceptions which are irrelevant to the instant appeal, the privilege is not absolute but qualified. It is lost if the occasion which gives rise to it is misused.”</w:t>
      </w:r>
      <w:r w:rsidRPr="00DE1AF9">
        <w:rPr>
          <w:rFonts w:ascii="Bookman Old Style" w:eastAsia="Arial Unicode MS" w:hAnsi="Bookman Old Style" w:cs="Arial Unicode MS"/>
          <w:i/>
          <w:sz w:val="24"/>
          <w:szCs w:val="24"/>
        </w:rPr>
        <w:t xml:space="preserve"> </w:t>
      </w:r>
    </w:p>
    <w:p w:rsidR="007C47D8" w:rsidRDefault="007C47D8" w:rsidP="00153D09">
      <w:pPr>
        <w:spacing w:before="240" w:line="360" w:lineRule="auto"/>
        <w:jc w:val="both"/>
        <w:rPr>
          <w:rFonts w:ascii="Bookman Old Style" w:eastAsia="Arial Unicode MS" w:hAnsi="Bookman Old Style" w:cs="Arial Unicode MS"/>
          <w:sz w:val="24"/>
          <w:szCs w:val="24"/>
        </w:rPr>
      </w:pPr>
    </w:p>
    <w:p w:rsidR="00DC1941" w:rsidRDefault="007C47D8"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However, in the case of </w:t>
      </w:r>
      <w:r w:rsidRPr="007C47D8">
        <w:rPr>
          <w:rFonts w:ascii="Bookman Old Style" w:eastAsia="Arial Unicode MS" w:hAnsi="Bookman Old Style" w:cs="Arial Unicode MS"/>
          <w:i/>
          <w:sz w:val="24"/>
          <w:szCs w:val="24"/>
        </w:rPr>
        <w:t>Reynolds v Times Newspapers Limited, and Others</w:t>
      </w:r>
      <w:r>
        <w:rPr>
          <w:rFonts w:ascii="Bookman Old Style" w:eastAsia="Arial Unicode MS" w:hAnsi="Bookman Old Style" w:cs="Arial Unicode MS"/>
          <w:sz w:val="24"/>
          <w:szCs w:val="24"/>
        </w:rPr>
        <w:t>,</w:t>
      </w:r>
      <w:r>
        <w:rPr>
          <w:rStyle w:val="FootnoteReference"/>
          <w:rFonts w:ascii="Bookman Old Style" w:eastAsia="Arial Unicode MS" w:hAnsi="Bookman Old Style" w:cs="Arial Unicode MS"/>
          <w:sz w:val="24"/>
          <w:szCs w:val="24"/>
        </w:rPr>
        <w:footnoteReference w:id="108"/>
      </w:r>
      <w:r>
        <w:rPr>
          <w:rFonts w:ascii="Bookman Old Style" w:eastAsia="Arial Unicode MS" w:hAnsi="Bookman Old Style" w:cs="Arial Unicode MS"/>
          <w:sz w:val="24"/>
          <w:szCs w:val="24"/>
        </w:rPr>
        <w:t xml:space="preserve"> the House of Lords refused to do so. Lord Nicholls of Birkenhead said that to allow publications of any defamatory statement of a political character, subject only to proof of malice, would provide inadequate protection </w:t>
      </w:r>
      <w:r w:rsidR="00096167">
        <w:rPr>
          <w:rFonts w:ascii="Bookman Old Style" w:eastAsia="Arial Unicode MS" w:hAnsi="Bookman Old Style" w:cs="Arial Unicode MS"/>
          <w:sz w:val="24"/>
          <w:szCs w:val="24"/>
        </w:rPr>
        <w:t>f</w:t>
      </w:r>
      <w:r>
        <w:rPr>
          <w:rFonts w:ascii="Bookman Old Style" w:eastAsia="Arial Unicode MS" w:hAnsi="Bookman Old Style" w:cs="Arial Unicode MS"/>
          <w:sz w:val="24"/>
          <w:szCs w:val="24"/>
        </w:rPr>
        <w:t xml:space="preserve">or the reputation of defamed individuals. </w:t>
      </w:r>
      <w:r w:rsidR="00DC1941">
        <w:rPr>
          <w:rFonts w:ascii="Bookman Old Style" w:eastAsia="Arial Unicode MS" w:hAnsi="Bookman Old Style" w:cs="Arial Unicode MS"/>
          <w:sz w:val="24"/>
          <w:szCs w:val="24"/>
        </w:rPr>
        <w:t>Instead</w:t>
      </w:r>
      <w:r w:rsidR="00096167">
        <w:rPr>
          <w:rFonts w:ascii="Bookman Old Style" w:eastAsia="Arial Unicode MS" w:hAnsi="Bookman Old Style" w:cs="Arial Unicode MS"/>
          <w:sz w:val="24"/>
          <w:szCs w:val="24"/>
        </w:rPr>
        <w:t>,</w:t>
      </w:r>
      <w:r w:rsidR="00DC1941">
        <w:rPr>
          <w:rFonts w:ascii="Bookman Old Style" w:eastAsia="Arial Unicode MS" w:hAnsi="Bookman Old Style" w:cs="Arial Unicode MS"/>
          <w:sz w:val="24"/>
          <w:szCs w:val="24"/>
        </w:rPr>
        <w:t xml:space="preserve"> Lord Nicholls said at page 202 that:-</w:t>
      </w:r>
    </w:p>
    <w:p w:rsidR="00FD05ED" w:rsidRDefault="00DC1941" w:rsidP="00FD05ED">
      <w:pPr>
        <w:spacing w:before="240" w:line="24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t>
      </w:r>
      <w:r w:rsidRPr="00FD05ED">
        <w:rPr>
          <w:rFonts w:ascii="Bookman Old Style" w:eastAsia="Arial Unicode MS" w:hAnsi="Bookman Old Style" w:cs="Arial Unicode MS"/>
          <w:i/>
          <w:sz w:val="24"/>
          <w:szCs w:val="24"/>
        </w:rPr>
        <w:t xml:space="preserve">The common law solution is for the Court to have regard all the circumstances when deciding whether the publication of particular material was privileged because of its value to the public. Its value to </w:t>
      </w:r>
      <w:r w:rsidR="00096167">
        <w:rPr>
          <w:rFonts w:ascii="Bookman Old Style" w:eastAsia="Arial Unicode MS" w:hAnsi="Bookman Old Style" w:cs="Arial Unicode MS"/>
          <w:i/>
          <w:sz w:val="24"/>
          <w:szCs w:val="24"/>
        </w:rPr>
        <w:t xml:space="preserve">the </w:t>
      </w:r>
      <w:r w:rsidRPr="00FD05ED">
        <w:rPr>
          <w:rFonts w:ascii="Bookman Old Style" w:eastAsia="Arial Unicode MS" w:hAnsi="Bookman Old Style" w:cs="Arial Unicode MS"/>
          <w:i/>
          <w:sz w:val="24"/>
          <w:szCs w:val="24"/>
        </w:rPr>
        <w:t>public depends upon its quality as well as its subject matter. This solution has the merit of elasticity.</w:t>
      </w:r>
      <w:r w:rsidR="00DE1AF9" w:rsidRPr="00FD05ED">
        <w:rPr>
          <w:rFonts w:ascii="Bookman Old Style" w:eastAsia="Arial Unicode MS" w:hAnsi="Bookman Old Style" w:cs="Arial Unicode MS"/>
          <w:i/>
          <w:sz w:val="24"/>
          <w:szCs w:val="24"/>
        </w:rPr>
        <w:t xml:space="preserve"> As observed by the Court of Appeal, this principle can be applied appropriately to the particular circumstances of individual cases in their infinite variety. It can be applied appropriately to all</w:t>
      </w:r>
      <w:r w:rsidR="00096167">
        <w:rPr>
          <w:rFonts w:ascii="Bookman Old Style" w:eastAsia="Arial Unicode MS" w:hAnsi="Bookman Old Style" w:cs="Arial Unicode MS"/>
          <w:i/>
          <w:sz w:val="24"/>
          <w:szCs w:val="24"/>
        </w:rPr>
        <w:t xml:space="preserve"> information publi</w:t>
      </w:r>
      <w:r w:rsidR="00DE1AF9" w:rsidRPr="00FD05ED">
        <w:rPr>
          <w:rFonts w:ascii="Bookman Old Style" w:eastAsia="Arial Unicode MS" w:hAnsi="Bookman Old Style" w:cs="Arial Unicode MS"/>
          <w:i/>
          <w:sz w:val="24"/>
          <w:szCs w:val="24"/>
        </w:rPr>
        <w:t>shed by a newspaper, whatever its source or origin.</w:t>
      </w:r>
      <w:r w:rsidR="00FD05ED" w:rsidRPr="00FD05ED">
        <w:rPr>
          <w:rFonts w:ascii="Bookman Old Style" w:eastAsia="Arial Unicode MS" w:hAnsi="Bookman Old Style" w:cs="Arial Unicode MS"/>
          <w:i/>
          <w:sz w:val="24"/>
          <w:szCs w:val="24"/>
        </w:rPr>
        <w:t>”</w:t>
      </w:r>
    </w:p>
    <w:p w:rsidR="00FD05ED" w:rsidRDefault="00FD05ED" w:rsidP="00153D09">
      <w:pPr>
        <w:spacing w:before="240" w:line="360" w:lineRule="auto"/>
        <w:jc w:val="both"/>
        <w:rPr>
          <w:rFonts w:ascii="Bookman Old Style" w:eastAsia="Arial Unicode MS" w:hAnsi="Bookman Old Style" w:cs="Arial Unicode MS"/>
          <w:sz w:val="24"/>
          <w:szCs w:val="24"/>
        </w:rPr>
      </w:pPr>
    </w:p>
    <w:p w:rsidR="00A854E0" w:rsidRDefault="00FD05ED"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lastRenderedPageBreak/>
        <w:t xml:space="preserve">Although Lord Nicholls uses the word </w:t>
      </w:r>
      <w:r w:rsidRPr="00FD05ED">
        <w:rPr>
          <w:rFonts w:ascii="Bookman Old Style" w:eastAsia="Arial Unicode MS" w:hAnsi="Bookman Old Style" w:cs="Arial Unicode MS"/>
          <w:i/>
          <w:sz w:val="24"/>
          <w:szCs w:val="24"/>
        </w:rPr>
        <w:t>“privilege</w:t>
      </w:r>
      <w:r>
        <w:rPr>
          <w:rFonts w:ascii="Bookman Old Style" w:eastAsia="Arial Unicode MS" w:hAnsi="Bookman Old Style" w:cs="Arial Unicode MS"/>
          <w:sz w:val="24"/>
          <w:szCs w:val="24"/>
        </w:rPr>
        <w:t xml:space="preserve">,” it is not used in the old sense referred to above. It </w:t>
      </w:r>
      <w:r w:rsidR="00096167">
        <w:rPr>
          <w:rFonts w:ascii="Bookman Old Style" w:eastAsia="Arial Unicode MS" w:hAnsi="Bookman Old Style" w:cs="Arial Unicode MS"/>
          <w:sz w:val="24"/>
          <w:szCs w:val="24"/>
        </w:rPr>
        <w:t>i</w:t>
      </w:r>
      <w:r>
        <w:rPr>
          <w:rFonts w:ascii="Bookman Old Style" w:eastAsia="Arial Unicode MS" w:hAnsi="Bookman Old Style" w:cs="Arial Unicode MS"/>
          <w:sz w:val="24"/>
          <w:szCs w:val="24"/>
        </w:rPr>
        <w:t>s the material which is privileged, and not the occasion on which it is published</w:t>
      </w:r>
      <w:r w:rsidR="00096167">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Further</w:t>
      </w:r>
      <w:r w:rsidR="00096167">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in terms of the “</w:t>
      </w:r>
      <w:r w:rsidRPr="00FD05ED">
        <w:rPr>
          <w:rFonts w:ascii="Bookman Old Style" w:eastAsia="Arial Unicode MS" w:hAnsi="Bookman Old Style" w:cs="Arial Unicode MS"/>
          <w:i/>
          <w:sz w:val="24"/>
          <w:szCs w:val="24"/>
        </w:rPr>
        <w:t>Reynolds privilege,”</w:t>
      </w:r>
      <w:r>
        <w:rPr>
          <w:rFonts w:ascii="Bookman Old Style" w:eastAsia="Arial Unicode MS" w:hAnsi="Bookman Old Style" w:cs="Arial Unicode MS"/>
          <w:sz w:val="24"/>
          <w:szCs w:val="24"/>
        </w:rPr>
        <w:t xml:space="preserve"> there is no question of the privilege being defeated by proof of malice because the propriety of the conduct of the defendant is built into the conditions under which the material is privileged. The burden is upon the defendant to prove that those conditions are satisfied. It is therefore self-evident that the </w:t>
      </w:r>
      <w:r w:rsidRPr="00FD05ED">
        <w:rPr>
          <w:rFonts w:ascii="Bookman Old Style" w:eastAsia="Arial Unicode MS" w:hAnsi="Bookman Old Style" w:cs="Arial Unicode MS"/>
          <w:i/>
          <w:sz w:val="24"/>
          <w:szCs w:val="24"/>
        </w:rPr>
        <w:t>“Reynolds privilege</w:t>
      </w:r>
      <w:r>
        <w:rPr>
          <w:rFonts w:ascii="Bookman Old Style" w:eastAsia="Arial Unicode MS" w:hAnsi="Bookman Old Style" w:cs="Arial Unicode MS"/>
          <w:sz w:val="24"/>
          <w:szCs w:val="24"/>
        </w:rPr>
        <w:t>” is a different jurisprudential creature from the traditional form of privilege from which it sprang. It is more appropriately called the “</w:t>
      </w:r>
      <w:r w:rsidRPr="00096167">
        <w:rPr>
          <w:rFonts w:ascii="Bookman Old Style" w:eastAsia="Arial Unicode MS" w:hAnsi="Bookman Old Style" w:cs="Arial Unicode MS"/>
          <w:i/>
          <w:sz w:val="24"/>
          <w:szCs w:val="24"/>
        </w:rPr>
        <w:t>Reynolds public interest defence</w:t>
      </w:r>
      <w:r w:rsidR="00096167" w:rsidRPr="00096167">
        <w:rPr>
          <w:rFonts w:ascii="Bookman Old Style" w:eastAsia="Arial Unicode MS" w:hAnsi="Bookman Old Style" w:cs="Arial Unicode MS"/>
          <w:i/>
          <w:sz w:val="24"/>
          <w:szCs w:val="24"/>
        </w:rPr>
        <w:t>,</w:t>
      </w:r>
      <w:r w:rsidR="00096167">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rather than privilege. </w:t>
      </w:r>
      <w:r w:rsidR="00DE1AF9">
        <w:rPr>
          <w:rFonts w:ascii="Bookman Old Style" w:eastAsia="Arial Unicode MS" w:hAnsi="Bookman Old Style" w:cs="Arial Unicode MS"/>
          <w:sz w:val="24"/>
          <w:szCs w:val="24"/>
        </w:rPr>
        <w:t xml:space="preserve"> </w:t>
      </w:r>
    </w:p>
    <w:p w:rsidR="00A854E0" w:rsidRDefault="00A854E0" w:rsidP="00153D09">
      <w:pPr>
        <w:spacing w:before="240" w:line="360" w:lineRule="auto"/>
        <w:jc w:val="both"/>
        <w:rPr>
          <w:rFonts w:ascii="Bookman Old Style" w:eastAsia="Arial Unicode MS" w:hAnsi="Bookman Old Style" w:cs="Arial Unicode MS"/>
          <w:sz w:val="24"/>
          <w:szCs w:val="24"/>
        </w:rPr>
      </w:pPr>
    </w:p>
    <w:p w:rsidR="005925D4" w:rsidRDefault="00A854E0"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In the </w:t>
      </w:r>
      <w:r w:rsidRPr="00A854E0">
        <w:rPr>
          <w:rFonts w:ascii="Bookman Old Style" w:eastAsia="Arial Unicode MS" w:hAnsi="Bookman Old Style" w:cs="Arial Unicode MS"/>
          <w:i/>
          <w:sz w:val="24"/>
          <w:szCs w:val="24"/>
        </w:rPr>
        <w:t>Reynolds case</w:t>
      </w:r>
      <w:r>
        <w:rPr>
          <w:rFonts w:ascii="Bookman Old Style" w:eastAsia="Arial Unicode MS" w:hAnsi="Bookman Old Style" w:cs="Arial Unicode MS"/>
          <w:sz w:val="24"/>
          <w:szCs w:val="24"/>
        </w:rPr>
        <w:t>, Lord Nicholls offered guidance in the form of a non-exhaustive illustrative list of matters which depending on the circumstances might be relevant. Thus in considering whether allegations made in the press attracted qualified privilege</w:t>
      </w:r>
      <w:r w:rsidR="00096167">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the matters to be taken into account depend</w:t>
      </w:r>
      <w:r w:rsidR="00096167">
        <w:rPr>
          <w:rFonts w:ascii="Bookman Old Style" w:eastAsia="Arial Unicode MS" w:hAnsi="Bookman Old Style" w:cs="Arial Unicode MS"/>
          <w:sz w:val="24"/>
          <w:szCs w:val="24"/>
        </w:rPr>
        <w:t>ing</w:t>
      </w:r>
      <w:r>
        <w:rPr>
          <w:rFonts w:ascii="Bookman Old Style" w:eastAsia="Arial Unicode MS" w:hAnsi="Bookman Old Style" w:cs="Arial Unicode MS"/>
          <w:sz w:val="24"/>
          <w:szCs w:val="24"/>
        </w:rPr>
        <w:t xml:space="preserve"> on the circumstances included: the seriousness of the allegation; the nature of the information, and the extent to</w:t>
      </w:r>
      <w:r w:rsidR="009C714E">
        <w:rPr>
          <w:rFonts w:ascii="Bookman Old Style" w:eastAsia="Arial Unicode MS" w:hAnsi="Bookman Old Style" w:cs="Arial Unicode MS"/>
          <w:sz w:val="24"/>
          <w:szCs w:val="24"/>
        </w:rPr>
        <w:t xml:space="preserve"> which the subject matter was of public concern; the source of information; the steps taken to verify the information; the status of the matter; whether comment had been sought from the plaintiff; whether the article contained the gist of the plaintiff’s side of the story; the tone of the article, and the circumstances of the publication including the timing.</w:t>
      </w:r>
      <w:r w:rsidR="005925D4">
        <w:rPr>
          <w:rFonts w:ascii="Bookman Old Style" w:eastAsia="Arial Unicode MS" w:hAnsi="Bookman Old Style" w:cs="Arial Unicode MS"/>
          <w:sz w:val="24"/>
          <w:szCs w:val="24"/>
        </w:rPr>
        <w:t xml:space="preserve"> </w:t>
      </w:r>
      <w:r w:rsidR="003D33EC">
        <w:rPr>
          <w:rFonts w:ascii="Bookman Old Style" w:eastAsia="Arial Unicode MS" w:hAnsi="Bookman Old Style" w:cs="Arial Unicode MS"/>
          <w:sz w:val="24"/>
          <w:szCs w:val="24"/>
        </w:rPr>
        <w:t>The weight to be given to these, and any other relevant factors would vary from case to case.</w:t>
      </w:r>
    </w:p>
    <w:p w:rsidR="005925D4" w:rsidRDefault="005925D4" w:rsidP="00153D09">
      <w:pPr>
        <w:spacing w:before="240" w:line="360" w:lineRule="auto"/>
        <w:jc w:val="both"/>
        <w:rPr>
          <w:rFonts w:ascii="Bookman Old Style" w:eastAsia="Arial Unicode MS" w:hAnsi="Bookman Old Style" w:cs="Arial Unicode MS"/>
          <w:sz w:val="24"/>
          <w:szCs w:val="24"/>
        </w:rPr>
      </w:pPr>
    </w:p>
    <w:p w:rsidR="00B4559B" w:rsidRDefault="005925D4"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Thus when applying the </w:t>
      </w:r>
      <w:r w:rsidR="00096167">
        <w:rPr>
          <w:rFonts w:ascii="Bookman Old Style" w:eastAsia="Arial Unicode MS" w:hAnsi="Bookman Old Style" w:cs="Arial Unicode MS"/>
          <w:sz w:val="24"/>
          <w:szCs w:val="24"/>
        </w:rPr>
        <w:t>“</w:t>
      </w:r>
      <w:r w:rsidRPr="00B4559B">
        <w:rPr>
          <w:rFonts w:ascii="Bookman Old Style" w:eastAsia="Arial Unicode MS" w:hAnsi="Bookman Old Style" w:cs="Arial Unicode MS"/>
          <w:i/>
          <w:sz w:val="24"/>
          <w:szCs w:val="24"/>
        </w:rPr>
        <w:t xml:space="preserve">Reynolds </w:t>
      </w:r>
      <w:r w:rsidR="009A7B1B">
        <w:rPr>
          <w:rFonts w:ascii="Bookman Old Style" w:eastAsia="Arial Unicode MS" w:hAnsi="Bookman Old Style" w:cs="Arial Unicode MS"/>
          <w:i/>
          <w:sz w:val="24"/>
          <w:szCs w:val="24"/>
        </w:rPr>
        <w:t>defence</w:t>
      </w:r>
      <w:r>
        <w:rPr>
          <w:rFonts w:ascii="Bookman Old Style" w:eastAsia="Arial Unicode MS" w:hAnsi="Bookman Old Style" w:cs="Arial Unicode MS"/>
          <w:sz w:val="24"/>
          <w:szCs w:val="24"/>
        </w:rPr>
        <w:t>,</w:t>
      </w:r>
      <w:r w:rsidR="00096167">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the first question to be considered is whether the subject matter of the article was a matter of public interest. In answering this question, one ought to consider the publication as a whole and not isolate the defamatory statement.</w:t>
      </w:r>
      <w:r w:rsidR="00B03764">
        <w:rPr>
          <w:rFonts w:ascii="Bookman Old Style" w:eastAsia="Arial Unicode MS" w:hAnsi="Bookman Old Style" w:cs="Arial Unicode MS"/>
          <w:sz w:val="24"/>
          <w:szCs w:val="24"/>
        </w:rPr>
        <w:t xml:space="preserve"> Privilege attaches to the publication on </w:t>
      </w:r>
      <w:r w:rsidR="00B03764">
        <w:rPr>
          <w:rFonts w:ascii="Bookman Old Style" w:eastAsia="Arial Unicode MS" w:hAnsi="Bookman Old Style" w:cs="Arial Unicode MS"/>
          <w:sz w:val="24"/>
          <w:szCs w:val="24"/>
        </w:rPr>
        <w:lastRenderedPageBreak/>
        <w:t xml:space="preserve">the basis of its value to the public. The question whether the publication concerned is a matter of public interest is to be decided by the Court. And it </w:t>
      </w:r>
      <w:r w:rsidR="00096167">
        <w:rPr>
          <w:rFonts w:ascii="Bookman Old Style" w:eastAsia="Arial Unicode MS" w:hAnsi="Bookman Old Style" w:cs="Arial Unicode MS"/>
          <w:sz w:val="24"/>
          <w:szCs w:val="24"/>
        </w:rPr>
        <w:t xml:space="preserve">is </w:t>
      </w:r>
      <w:r w:rsidR="00B03764">
        <w:rPr>
          <w:rFonts w:ascii="Bookman Old Style" w:eastAsia="Arial Unicode MS" w:hAnsi="Bookman Old Style" w:cs="Arial Unicode MS"/>
          <w:sz w:val="24"/>
          <w:szCs w:val="24"/>
        </w:rPr>
        <w:t xml:space="preserve">also for the Court to apply the test of public interest. </w:t>
      </w:r>
    </w:p>
    <w:p w:rsidR="00B4559B" w:rsidRDefault="00B4559B" w:rsidP="00153D09">
      <w:pPr>
        <w:spacing w:before="240" w:line="360" w:lineRule="auto"/>
        <w:jc w:val="both"/>
        <w:rPr>
          <w:rFonts w:ascii="Bookman Old Style" w:eastAsia="Arial Unicode MS" w:hAnsi="Bookman Old Style" w:cs="Arial Unicode MS"/>
          <w:sz w:val="24"/>
          <w:szCs w:val="24"/>
        </w:rPr>
      </w:pPr>
    </w:p>
    <w:p w:rsidR="00FE2721" w:rsidRDefault="00096167"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Further </w:t>
      </w:r>
      <w:r w:rsidR="00B4559B">
        <w:rPr>
          <w:rFonts w:ascii="Bookman Old Style" w:eastAsia="Arial Unicode MS" w:hAnsi="Bookman Old Style" w:cs="Arial Unicode MS"/>
          <w:sz w:val="24"/>
          <w:szCs w:val="24"/>
        </w:rPr>
        <w:t xml:space="preserve">n terms of the </w:t>
      </w:r>
      <w:r>
        <w:rPr>
          <w:rFonts w:ascii="Bookman Old Style" w:eastAsia="Arial Unicode MS" w:hAnsi="Bookman Old Style" w:cs="Arial Unicode MS"/>
          <w:sz w:val="24"/>
          <w:szCs w:val="24"/>
        </w:rPr>
        <w:t>“</w:t>
      </w:r>
      <w:r w:rsidR="00B4559B" w:rsidRPr="00B4559B">
        <w:rPr>
          <w:rFonts w:ascii="Bookman Old Style" w:eastAsia="Arial Unicode MS" w:hAnsi="Bookman Old Style" w:cs="Arial Unicode MS"/>
          <w:i/>
          <w:sz w:val="24"/>
          <w:szCs w:val="24"/>
        </w:rPr>
        <w:t xml:space="preserve">Reynold’s </w:t>
      </w:r>
      <w:r w:rsidR="009A7B1B">
        <w:rPr>
          <w:rFonts w:ascii="Bookman Old Style" w:eastAsia="Arial Unicode MS" w:hAnsi="Bookman Old Style" w:cs="Arial Unicode MS"/>
          <w:i/>
          <w:sz w:val="24"/>
          <w:szCs w:val="24"/>
        </w:rPr>
        <w:t>defence</w:t>
      </w:r>
      <w:r>
        <w:rPr>
          <w:rFonts w:ascii="Bookman Old Style" w:eastAsia="Arial Unicode MS" w:hAnsi="Bookman Old Style" w:cs="Arial Unicode MS"/>
          <w:i/>
          <w:sz w:val="24"/>
          <w:szCs w:val="24"/>
        </w:rPr>
        <w:t>”</w:t>
      </w:r>
      <w:r w:rsidR="00B4559B">
        <w:rPr>
          <w:rFonts w:ascii="Bookman Old Style" w:eastAsia="Arial Unicode MS" w:hAnsi="Bookman Old Style" w:cs="Arial Unicode MS"/>
          <w:sz w:val="24"/>
          <w:szCs w:val="24"/>
        </w:rPr>
        <w:t xml:space="preserve"> </w:t>
      </w:r>
      <w:r w:rsidR="007822C8">
        <w:rPr>
          <w:rFonts w:ascii="Bookman Old Style" w:eastAsia="Arial Unicode MS" w:hAnsi="Bookman Old Style" w:cs="Arial Unicode MS"/>
          <w:sz w:val="24"/>
          <w:szCs w:val="24"/>
        </w:rPr>
        <w:t xml:space="preserve">an </w:t>
      </w:r>
      <w:r w:rsidR="00B4559B">
        <w:rPr>
          <w:rFonts w:ascii="Bookman Old Style" w:eastAsia="Arial Unicode MS" w:hAnsi="Bookman Old Style" w:cs="Arial Unicode MS"/>
          <w:sz w:val="24"/>
          <w:szCs w:val="24"/>
        </w:rPr>
        <w:t xml:space="preserve">addressing the question of public interest, it is not helpful </w:t>
      </w:r>
      <w:r w:rsidR="007822C8">
        <w:rPr>
          <w:rFonts w:ascii="Bookman Old Style" w:eastAsia="Arial Unicode MS" w:hAnsi="Bookman Old Style" w:cs="Arial Unicode MS"/>
          <w:sz w:val="24"/>
          <w:szCs w:val="24"/>
        </w:rPr>
        <w:t xml:space="preserve">or useful </w:t>
      </w:r>
      <w:r w:rsidR="00B4559B">
        <w:rPr>
          <w:rFonts w:ascii="Bookman Old Style" w:eastAsia="Arial Unicode MS" w:hAnsi="Bookman Old Style" w:cs="Arial Unicode MS"/>
          <w:sz w:val="24"/>
          <w:szCs w:val="24"/>
        </w:rPr>
        <w:t xml:space="preserve">to apply the classic test for the existence of </w:t>
      </w:r>
      <w:r w:rsidR="007822C8">
        <w:rPr>
          <w:rFonts w:ascii="Bookman Old Style" w:eastAsia="Arial Unicode MS" w:hAnsi="Bookman Old Style" w:cs="Arial Unicode MS"/>
          <w:sz w:val="24"/>
          <w:szCs w:val="24"/>
        </w:rPr>
        <w:t>a privileged occasion, and a</w:t>
      </w:r>
      <w:r w:rsidR="00B4559B">
        <w:rPr>
          <w:rFonts w:ascii="Bookman Old Style" w:eastAsia="Arial Unicode MS" w:hAnsi="Bookman Old Style" w:cs="Arial Unicode MS"/>
          <w:sz w:val="24"/>
          <w:szCs w:val="24"/>
        </w:rPr>
        <w:t xml:space="preserve">sk whether there was a duty to communicate the information, and an interest in receiving it. The </w:t>
      </w:r>
      <w:r w:rsidR="009A7B1B">
        <w:rPr>
          <w:rFonts w:ascii="Bookman Old Style" w:eastAsia="Arial Unicode MS" w:hAnsi="Bookman Old Style" w:cs="Arial Unicode MS"/>
          <w:i/>
          <w:sz w:val="24"/>
          <w:szCs w:val="24"/>
        </w:rPr>
        <w:t>“Reynolds defence</w:t>
      </w:r>
      <w:r w:rsidR="007822C8" w:rsidRPr="007822C8">
        <w:rPr>
          <w:rFonts w:ascii="Bookman Old Style" w:eastAsia="Arial Unicode MS" w:hAnsi="Bookman Old Style" w:cs="Arial Unicode MS"/>
          <w:i/>
          <w:sz w:val="24"/>
          <w:szCs w:val="24"/>
        </w:rPr>
        <w:t>”</w:t>
      </w:r>
      <w:r w:rsidR="00B4559B">
        <w:rPr>
          <w:rFonts w:ascii="Bookman Old Style" w:eastAsia="Arial Unicode MS" w:hAnsi="Bookman Old Style" w:cs="Arial Unicode MS"/>
          <w:sz w:val="24"/>
          <w:szCs w:val="24"/>
        </w:rPr>
        <w:t xml:space="preserve"> was developed from the traditional form of privilege by a generalisation that in matters of public interest there can be said to be a professional duty on</w:t>
      </w:r>
      <w:r w:rsidR="007822C8">
        <w:rPr>
          <w:rFonts w:ascii="Bookman Old Style" w:eastAsia="Arial Unicode MS" w:hAnsi="Bookman Old Style" w:cs="Arial Unicode MS"/>
          <w:sz w:val="24"/>
          <w:szCs w:val="24"/>
        </w:rPr>
        <w:t xml:space="preserve"> the part of journalists to impa</w:t>
      </w:r>
      <w:r w:rsidR="00B4559B">
        <w:rPr>
          <w:rFonts w:ascii="Bookman Old Style" w:eastAsia="Arial Unicode MS" w:hAnsi="Bookman Old Style" w:cs="Arial Unicode MS"/>
          <w:sz w:val="24"/>
          <w:szCs w:val="24"/>
        </w:rPr>
        <w:t xml:space="preserve">rt the information and an interest in the public in receiving it. If the publication is </w:t>
      </w:r>
      <w:r w:rsidR="007822C8">
        <w:rPr>
          <w:rFonts w:ascii="Bookman Old Style" w:eastAsia="Arial Unicode MS" w:hAnsi="Bookman Old Style" w:cs="Arial Unicode MS"/>
          <w:sz w:val="24"/>
          <w:szCs w:val="24"/>
        </w:rPr>
        <w:t xml:space="preserve">in </w:t>
      </w:r>
      <w:r w:rsidR="00B4559B">
        <w:rPr>
          <w:rFonts w:ascii="Bookman Old Style" w:eastAsia="Arial Unicode MS" w:hAnsi="Bookman Old Style" w:cs="Arial Unicode MS"/>
          <w:sz w:val="24"/>
          <w:szCs w:val="24"/>
        </w:rPr>
        <w:t>the public interest the duty, and interest are taken to exist.</w:t>
      </w:r>
    </w:p>
    <w:p w:rsidR="00FE2721" w:rsidRDefault="00FE2721" w:rsidP="00153D09">
      <w:pPr>
        <w:spacing w:before="240" w:line="360" w:lineRule="auto"/>
        <w:jc w:val="both"/>
        <w:rPr>
          <w:rFonts w:ascii="Bookman Old Style" w:eastAsia="Arial Unicode MS" w:hAnsi="Bookman Old Style" w:cs="Arial Unicode MS"/>
          <w:sz w:val="24"/>
          <w:szCs w:val="24"/>
        </w:rPr>
      </w:pPr>
    </w:p>
    <w:p w:rsidR="00B773CC" w:rsidRDefault="00FE2721"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If the article as a whole concerned a m</w:t>
      </w:r>
      <w:r w:rsidR="007822C8">
        <w:rPr>
          <w:rFonts w:ascii="Bookman Old Style" w:eastAsia="Arial Unicode MS" w:hAnsi="Bookman Old Style" w:cs="Arial Unicode MS"/>
          <w:sz w:val="24"/>
          <w:szCs w:val="24"/>
        </w:rPr>
        <w:t>atter of public interest, the nex</w:t>
      </w:r>
      <w:r>
        <w:rPr>
          <w:rFonts w:ascii="Bookman Old Style" w:eastAsia="Arial Unicode MS" w:hAnsi="Bookman Old Style" w:cs="Arial Unicode MS"/>
          <w:sz w:val="24"/>
          <w:szCs w:val="24"/>
        </w:rPr>
        <w:t xml:space="preserve">t question is whether the inclusion </w:t>
      </w:r>
      <w:r w:rsidR="007822C8">
        <w:rPr>
          <w:rFonts w:ascii="Bookman Old Style" w:eastAsia="Arial Unicode MS" w:hAnsi="Bookman Old Style" w:cs="Arial Unicode MS"/>
          <w:sz w:val="24"/>
          <w:szCs w:val="24"/>
        </w:rPr>
        <w:t>o</w:t>
      </w:r>
      <w:r>
        <w:rPr>
          <w:rFonts w:ascii="Bookman Old Style" w:eastAsia="Arial Unicode MS" w:hAnsi="Bookman Old Style" w:cs="Arial Unicode MS"/>
          <w:sz w:val="24"/>
          <w:szCs w:val="24"/>
        </w:rPr>
        <w:t>f the defamatory material was justifiable. The fact that the material was of public interest does not allow the publisher to drag in damaging allegations which serve no public purpose. The more ser</w:t>
      </w:r>
      <w:r w:rsidR="007822C8">
        <w:rPr>
          <w:rFonts w:ascii="Bookman Old Style" w:eastAsia="Arial Unicode MS" w:hAnsi="Bookman Old Style" w:cs="Arial Unicode MS"/>
          <w:sz w:val="24"/>
          <w:szCs w:val="24"/>
        </w:rPr>
        <w:t>i</w:t>
      </w:r>
      <w:r>
        <w:rPr>
          <w:rFonts w:ascii="Bookman Old Style" w:eastAsia="Arial Unicode MS" w:hAnsi="Bookman Old Style" w:cs="Arial Unicode MS"/>
          <w:sz w:val="24"/>
          <w:szCs w:val="24"/>
        </w:rPr>
        <w:t>ous the allegation</w:t>
      </w:r>
      <w:r w:rsidR="007822C8">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the more important that it should have a real contribution to the public interest element in the publication. </w:t>
      </w:r>
    </w:p>
    <w:p w:rsidR="00B773CC" w:rsidRDefault="00B773CC"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If the publication including the defamatory statement, passes the public interest test, the inquiry then shifts to whether the steps taken to gather and publish the information were responsible, and fair. As Lord Nicholls said </w:t>
      </w:r>
      <w:r w:rsidR="007822C8">
        <w:rPr>
          <w:rFonts w:ascii="Bookman Old Style" w:eastAsia="Arial Unicode MS" w:hAnsi="Bookman Old Style" w:cs="Arial Unicode MS"/>
          <w:sz w:val="24"/>
          <w:szCs w:val="24"/>
        </w:rPr>
        <w:t xml:space="preserve">eloquently </w:t>
      </w:r>
      <w:r>
        <w:rPr>
          <w:rFonts w:ascii="Bookman Old Style" w:eastAsia="Arial Unicode MS" w:hAnsi="Bookman Old Style" w:cs="Arial Unicode MS"/>
          <w:sz w:val="24"/>
          <w:szCs w:val="24"/>
        </w:rPr>
        <w:t xml:space="preserve">in </w:t>
      </w:r>
      <w:r w:rsidRPr="00B773CC">
        <w:rPr>
          <w:rFonts w:ascii="Bookman Old Style" w:eastAsia="Arial Unicode MS" w:hAnsi="Bookman Old Style" w:cs="Arial Unicode MS"/>
          <w:i/>
          <w:sz w:val="24"/>
          <w:szCs w:val="24"/>
        </w:rPr>
        <w:t>Bonnick v Morris</w:t>
      </w:r>
      <w:r>
        <w:rPr>
          <w:rStyle w:val="FootnoteReference"/>
          <w:rFonts w:ascii="Bookman Old Style" w:eastAsia="Arial Unicode MS" w:hAnsi="Bookman Old Style" w:cs="Arial Unicode MS"/>
          <w:i/>
          <w:sz w:val="24"/>
          <w:szCs w:val="24"/>
        </w:rPr>
        <w:footnoteReference w:id="109"/>
      </w:r>
      <w:r>
        <w:rPr>
          <w:rFonts w:ascii="Bookman Old Style" w:eastAsia="Arial Unicode MS" w:hAnsi="Bookman Old Style" w:cs="Arial Unicode MS"/>
          <w:sz w:val="24"/>
          <w:szCs w:val="24"/>
        </w:rPr>
        <w:t xml:space="preserve"> at page 309:</w:t>
      </w:r>
    </w:p>
    <w:p w:rsidR="00FD1844" w:rsidRDefault="00B773CC" w:rsidP="00FD1844">
      <w:pPr>
        <w:spacing w:before="240" w:line="24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t>
      </w:r>
      <w:r w:rsidRPr="00FD1844">
        <w:rPr>
          <w:rFonts w:ascii="Bookman Old Style" w:eastAsia="Arial Unicode MS" w:hAnsi="Bookman Old Style" w:cs="Arial Unicode MS"/>
          <w:i/>
          <w:sz w:val="24"/>
          <w:szCs w:val="24"/>
        </w:rPr>
        <w:t xml:space="preserve">State shortly the Reynolds privilege is concerned to provide a proper degree of protection for responsible journalism when reporting matter of public concern. Responsible journalism is a point at which a fair balance is held between </w:t>
      </w:r>
      <w:r w:rsidRPr="00FD1844">
        <w:rPr>
          <w:rFonts w:ascii="Bookman Old Style" w:eastAsia="Arial Unicode MS" w:hAnsi="Bookman Old Style" w:cs="Arial Unicode MS"/>
          <w:i/>
          <w:sz w:val="24"/>
          <w:szCs w:val="24"/>
        </w:rPr>
        <w:lastRenderedPageBreak/>
        <w:t>freedom of expression on matters of public concern and the reputation of individuals. Maintenance of this standard is in the public interest, and in the interests of those whose reputations are involved. It can be regarded as the price jour</w:t>
      </w:r>
      <w:r w:rsidR="00FD1844" w:rsidRPr="00FD1844">
        <w:rPr>
          <w:rFonts w:ascii="Bookman Old Style" w:eastAsia="Arial Unicode MS" w:hAnsi="Bookman Old Style" w:cs="Arial Unicode MS"/>
          <w:i/>
          <w:sz w:val="24"/>
          <w:szCs w:val="24"/>
        </w:rPr>
        <w:t>nalists pay in return for the privilege.”</w:t>
      </w:r>
    </w:p>
    <w:p w:rsidR="00FD1844" w:rsidRDefault="00FD1844" w:rsidP="00153D09">
      <w:pPr>
        <w:spacing w:before="240" w:line="360" w:lineRule="auto"/>
        <w:jc w:val="both"/>
        <w:rPr>
          <w:rFonts w:ascii="Bookman Old Style" w:eastAsia="Arial Unicode MS" w:hAnsi="Bookman Old Style" w:cs="Arial Unicode MS"/>
          <w:sz w:val="24"/>
          <w:szCs w:val="24"/>
        </w:rPr>
      </w:pPr>
    </w:p>
    <w:p w:rsidR="00DE1AF9" w:rsidRDefault="00FD1844"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In </w:t>
      </w:r>
      <w:r w:rsidRPr="00FD1844">
        <w:rPr>
          <w:rFonts w:ascii="Bookman Old Style" w:eastAsia="Arial Unicode MS" w:hAnsi="Bookman Old Style" w:cs="Arial Unicode MS"/>
          <w:i/>
          <w:sz w:val="24"/>
          <w:szCs w:val="24"/>
        </w:rPr>
        <w:t>Jemeel v Wall Street Journal Europe</w:t>
      </w:r>
      <w:r>
        <w:rPr>
          <w:rFonts w:ascii="Bookman Old Style" w:eastAsia="Arial Unicode MS" w:hAnsi="Bookman Old Style" w:cs="Arial Unicode MS"/>
          <w:sz w:val="24"/>
          <w:szCs w:val="24"/>
        </w:rPr>
        <w:t>,</w:t>
      </w:r>
      <w:r>
        <w:rPr>
          <w:rStyle w:val="FootnoteReference"/>
          <w:rFonts w:ascii="Bookman Old Style" w:eastAsia="Arial Unicode MS" w:hAnsi="Bookman Old Style" w:cs="Arial Unicode MS"/>
          <w:sz w:val="24"/>
          <w:szCs w:val="24"/>
        </w:rPr>
        <w:footnoteReference w:id="110"/>
      </w:r>
      <w:r>
        <w:rPr>
          <w:rFonts w:ascii="Bookman Old Style" w:eastAsia="Arial Unicode MS" w:hAnsi="Bookman Old Style" w:cs="Arial Unicode MS"/>
          <w:sz w:val="24"/>
          <w:szCs w:val="24"/>
        </w:rPr>
        <w:t xml:space="preserve"> the House of Lords confirmed the public interest defence </w:t>
      </w:r>
      <w:r w:rsidR="007822C8">
        <w:rPr>
          <w:rFonts w:ascii="Bookman Old Style" w:eastAsia="Arial Unicode MS" w:hAnsi="Bookman Old Style" w:cs="Arial Unicode MS"/>
          <w:sz w:val="24"/>
          <w:szCs w:val="24"/>
        </w:rPr>
        <w:t>t</w:t>
      </w:r>
      <w:r>
        <w:rPr>
          <w:rFonts w:ascii="Bookman Old Style" w:eastAsia="Arial Unicode MS" w:hAnsi="Bookman Old Style" w:cs="Arial Unicode MS"/>
          <w:sz w:val="24"/>
          <w:szCs w:val="24"/>
        </w:rPr>
        <w:t xml:space="preserve">hat </w:t>
      </w:r>
      <w:r w:rsidR="007822C8">
        <w:rPr>
          <w:rFonts w:ascii="Bookman Old Style" w:eastAsia="Arial Unicode MS" w:hAnsi="Bookman Old Style" w:cs="Arial Unicode MS"/>
          <w:sz w:val="24"/>
          <w:szCs w:val="24"/>
        </w:rPr>
        <w:t xml:space="preserve">the </w:t>
      </w:r>
      <w:r>
        <w:rPr>
          <w:rFonts w:ascii="Bookman Old Style" w:eastAsia="Arial Unicode MS" w:hAnsi="Bookman Old Style" w:cs="Arial Unicode MS"/>
          <w:sz w:val="24"/>
          <w:szCs w:val="24"/>
        </w:rPr>
        <w:t>Reynold</w:t>
      </w:r>
      <w:r w:rsidR="007822C8">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s </w:t>
      </w:r>
      <w:r w:rsidR="007822C8">
        <w:rPr>
          <w:rFonts w:ascii="Bookman Old Style" w:eastAsia="Arial Unicode MS" w:hAnsi="Bookman Old Style" w:cs="Arial Unicode MS"/>
          <w:sz w:val="24"/>
          <w:szCs w:val="24"/>
        </w:rPr>
        <w:t xml:space="preserve">case </w:t>
      </w:r>
      <w:r>
        <w:rPr>
          <w:rFonts w:ascii="Bookman Old Style" w:eastAsia="Arial Unicode MS" w:hAnsi="Bookman Old Style" w:cs="Arial Unicode MS"/>
          <w:sz w:val="24"/>
          <w:szCs w:val="24"/>
        </w:rPr>
        <w:t>conferred on the media</w:t>
      </w:r>
      <w:r w:rsidR="007822C8">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reminding the lower Court of the flexibility of the defence, and the dangers of using Lord Nicholls 10 factors as a series of hurdles that the defendants must win. The standard of conduct required of journalists must </w:t>
      </w:r>
      <w:r w:rsidR="007822C8">
        <w:rPr>
          <w:rFonts w:ascii="Bookman Old Style" w:eastAsia="Arial Unicode MS" w:hAnsi="Bookman Old Style" w:cs="Arial Unicode MS"/>
          <w:sz w:val="24"/>
          <w:szCs w:val="24"/>
        </w:rPr>
        <w:t xml:space="preserve">therefore </w:t>
      </w:r>
      <w:r>
        <w:rPr>
          <w:rFonts w:ascii="Bookman Old Style" w:eastAsia="Arial Unicode MS" w:hAnsi="Bookman Old Style" w:cs="Arial Unicode MS"/>
          <w:sz w:val="24"/>
          <w:szCs w:val="24"/>
        </w:rPr>
        <w:t xml:space="preserve">be applied in a practical, and flexible manner. I </w:t>
      </w:r>
      <w:r w:rsidR="007822C8">
        <w:rPr>
          <w:rFonts w:ascii="Bookman Old Style" w:eastAsia="Arial Unicode MS" w:hAnsi="Bookman Old Style" w:cs="Arial Unicode MS"/>
          <w:sz w:val="24"/>
          <w:szCs w:val="24"/>
        </w:rPr>
        <w:t>cite</w:t>
      </w:r>
      <w:r>
        <w:rPr>
          <w:rFonts w:ascii="Bookman Old Style" w:eastAsia="Arial Unicode MS" w:hAnsi="Bookman Old Style" w:cs="Arial Unicode MS"/>
          <w:sz w:val="24"/>
          <w:szCs w:val="24"/>
        </w:rPr>
        <w:t xml:space="preserve"> the case of </w:t>
      </w:r>
      <w:r w:rsidRPr="00FD1844">
        <w:rPr>
          <w:rFonts w:ascii="Bookman Old Style" w:eastAsia="Arial Unicode MS" w:hAnsi="Bookman Old Style" w:cs="Arial Unicode MS"/>
          <w:i/>
          <w:sz w:val="24"/>
          <w:szCs w:val="24"/>
        </w:rPr>
        <w:t xml:space="preserve">Reynold </w:t>
      </w:r>
      <w:r>
        <w:rPr>
          <w:rFonts w:ascii="Bookman Old Style" w:eastAsia="Arial Unicode MS" w:hAnsi="Bookman Old Style" w:cs="Arial Unicode MS"/>
          <w:sz w:val="24"/>
          <w:szCs w:val="24"/>
        </w:rPr>
        <w:t xml:space="preserve">with approval.  </w:t>
      </w:r>
      <w:r w:rsidR="00B773CC">
        <w:rPr>
          <w:rFonts w:ascii="Bookman Old Style" w:eastAsia="Arial Unicode MS" w:hAnsi="Bookman Old Style" w:cs="Arial Unicode MS"/>
          <w:sz w:val="24"/>
          <w:szCs w:val="24"/>
        </w:rPr>
        <w:t xml:space="preserve"> </w:t>
      </w:r>
      <w:r w:rsidR="00FE2721">
        <w:rPr>
          <w:rFonts w:ascii="Bookman Old Style" w:eastAsia="Arial Unicode MS" w:hAnsi="Bookman Old Style" w:cs="Arial Unicode MS"/>
          <w:sz w:val="24"/>
          <w:szCs w:val="24"/>
        </w:rPr>
        <w:t xml:space="preserve">  </w:t>
      </w:r>
      <w:r w:rsidR="00B4559B">
        <w:rPr>
          <w:rFonts w:ascii="Bookman Old Style" w:eastAsia="Arial Unicode MS" w:hAnsi="Bookman Old Style" w:cs="Arial Unicode MS"/>
          <w:sz w:val="24"/>
          <w:szCs w:val="24"/>
        </w:rPr>
        <w:t xml:space="preserve">   </w:t>
      </w:r>
      <w:r w:rsidR="005925D4">
        <w:rPr>
          <w:rFonts w:ascii="Bookman Old Style" w:eastAsia="Arial Unicode MS" w:hAnsi="Bookman Old Style" w:cs="Arial Unicode MS"/>
          <w:sz w:val="24"/>
          <w:szCs w:val="24"/>
        </w:rPr>
        <w:t xml:space="preserve"> </w:t>
      </w:r>
      <w:r w:rsidR="003D33EC">
        <w:rPr>
          <w:rFonts w:ascii="Bookman Old Style" w:eastAsia="Arial Unicode MS" w:hAnsi="Bookman Old Style" w:cs="Arial Unicode MS"/>
          <w:sz w:val="24"/>
          <w:szCs w:val="24"/>
        </w:rPr>
        <w:t xml:space="preserve"> </w:t>
      </w:r>
      <w:r w:rsidR="009C714E">
        <w:rPr>
          <w:rFonts w:ascii="Bookman Old Style" w:eastAsia="Arial Unicode MS" w:hAnsi="Bookman Old Style" w:cs="Arial Unicode MS"/>
          <w:sz w:val="24"/>
          <w:szCs w:val="24"/>
        </w:rPr>
        <w:t xml:space="preserve"> </w:t>
      </w:r>
      <w:r w:rsidR="00A854E0">
        <w:rPr>
          <w:rFonts w:ascii="Bookman Old Style" w:eastAsia="Arial Unicode MS" w:hAnsi="Bookman Old Style" w:cs="Arial Unicode MS"/>
          <w:sz w:val="24"/>
          <w:szCs w:val="24"/>
        </w:rPr>
        <w:t xml:space="preserve"> </w:t>
      </w:r>
      <w:r w:rsidR="00DC1941">
        <w:rPr>
          <w:rFonts w:ascii="Bookman Old Style" w:eastAsia="Arial Unicode MS" w:hAnsi="Bookman Old Style" w:cs="Arial Unicode MS"/>
          <w:sz w:val="24"/>
          <w:szCs w:val="24"/>
        </w:rPr>
        <w:t xml:space="preserve"> </w:t>
      </w:r>
      <w:r w:rsidR="007C47D8">
        <w:rPr>
          <w:rFonts w:ascii="Bookman Old Style" w:eastAsia="Arial Unicode MS" w:hAnsi="Bookman Old Style" w:cs="Arial Unicode MS"/>
          <w:sz w:val="24"/>
          <w:szCs w:val="24"/>
        </w:rPr>
        <w:t xml:space="preserve"> </w:t>
      </w:r>
    </w:p>
    <w:p w:rsidR="000B6377" w:rsidRDefault="000B6377" w:rsidP="00153D09">
      <w:pPr>
        <w:spacing w:before="240" w:line="360" w:lineRule="auto"/>
        <w:jc w:val="both"/>
        <w:rPr>
          <w:rFonts w:ascii="Bookman Old Style" w:eastAsia="Arial Unicode MS" w:hAnsi="Bookman Old Style" w:cs="Arial Unicode MS"/>
          <w:sz w:val="24"/>
          <w:szCs w:val="24"/>
        </w:rPr>
      </w:pPr>
    </w:p>
    <w:p w:rsidR="0017740C" w:rsidRPr="00887B4B" w:rsidRDefault="00FF3A09" w:rsidP="00153D09">
      <w:pPr>
        <w:spacing w:before="240" w:line="360" w:lineRule="auto"/>
        <w:jc w:val="both"/>
        <w:rPr>
          <w:rFonts w:ascii="Bookman Old Style" w:eastAsia="Arial Unicode MS" w:hAnsi="Bookman Old Style" w:cs="Arial Unicode MS"/>
          <w:b/>
          <w:sz w:val="24"/>
          <w:szCs w:val="24"/>
        </w:rPr>
      </w:pPr>
      <w:r>
        <w:rPr>
          <w:rFonts w:ascii="Bookman Old Style" w:eastAsia="Arial Unicode MS" w:hAnsi="Bookman Old Style" w:cs="Arial Unicode MS"/>
          <w:b/>
          <w:sz w:val="24"/>
          <w:szCs w:val="24"/>
        </w:rPr>
        <w:t>CONSPIRACY</w:t>
      </w:r>
      <w:r w:rsidR="00887B4B" w:rsidRPr="00887B4B">
        <w:rPr>
          <w:rFonts w:ascii="Bookman Old Style" w:eastAsia="Arial Unicode MS" w:hAnsi="Bookman Old Style" w:cs="Arial Unicode MS"/>
          <w:b/>
          <w:sz w:val="24"/>
          <w:szCs w:val="24"/>
        </w:rPr>
        <w:t xml:space="preserve"> </w:t>
      </w:r>
    </w:p>
    <w:p w:rsidR="000D02CC" w:rsidRDefault="00887B4B"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 will now turn to consider the concept of conspiracy in </w:t>
      </w:r>
      <w:r w:rsidR="00FF3A09">
        <w:rPr>
          <w:rFonts w:ascii="Bookman Old Style" w:eastAsia="Arial Unicode MS" w:hAnsi="Bookman Old Style" w:cs="Arial Unicode MS"/>
          <w:sz w:val="24"/>
          <w:szCs w:val="24"/>
        </w:rPr>
        <w:t>defamation case</w:t>
      </w:r>
      <w:r w:rsidR="005B5465">
        <w:rPr>
          <w:rFonts w:ascii="Bookman Old Style" w:eastAsia="Arial Unicode MS" w:hAnsi="Bookman Old Style" w:cs="Arial Unicode MS"/>
          <w:sz w:val="24"/>
          <w:szCs w:val="24"/>
        </w:rPr>
        <w:t>s</w:t>
      </w:r>
      <w:r w:rsidR="00FF3A09">
        <w:rPr>
          <w:rFonts w:ascii="Bookman Old Style" w:eastAsia="Arial Unicode MS" w:hAnsi="Bookman Old Style" w:cs="Arial Unicode MS"/>
          <w:sz w:val="24"/>
          <w:szCs w:val="24"/>
        </w:rPr>
        <w:t>. T</w:t>
      </w:r>
      <w:r w:rsidR="0017740C">
        <w:rPr>
          <w:rFonts w:ascii="Bookman Old Style" w:eastAsia="Arial Unicode MS" w:hAnsi="Bookman Old Style" w:cs="Arial Unicode MS"/>
          <w:sz w:val="24"/>
          <w:szCs w:val="24"/>
        </w:rPr>
        <w:t>he rule in</w:t>
      </w:r>
      <w:r w:rsidR="00400556">
        <w:rPr>
          <w:rFonts w:ascii="Bookman Old Style" w:eastAsia="Arial Unicode MS" w:hAnsi="Bookman Old Style" w:cs="Arial Unicode MS"/>
          <w:sz w:val="24"/>
          <w:szCs w:val="24"/>
        </w:rPr>
        <w:t xml:space="preserve"> </w:t>
      </w:r>
      <w:r w:rsidR="00400556" w:rsidRPr="000632A8">
        <w:rPr>
          <w:rFonts w:ascii="Bookman Old Style" w:eastAsia="Arial Unicode MS" w:hAnsi="Bookman Old Style" w:cs="Arial Unicode MS"/>
          <w:i/>
          <w:sz w:val="24"/>
          <w:szCs w:val="24"/>
        </w:rPr>
        <w:t>Bonnnard v Perryman</w:t>
      </w:r>
      <w:r w:rsidR="00400556">
        <w:rPr>
          <w:rFonts w:ascii="Bookman Old Style" w:eastAsia="Arial Unicode MS" w:hAnsi="Bookman Old Style" w:cs="Arial Unicode MS"/>
          <w:sz w:val="24"/>
          <w:szCs w:val="24"/>
        </w:rPr>
        <w:t xml:space="preserve"> (supra) was circumvented in </w:t>
      </w:r>
      <w:r w:rsidR="00400556" w:rsidRPr="00887B4B">
        <w:rPr>
          <w:rFonts w:ascii="Bookman Old Style" w:eastAsia="Arial Unicode MS" w:hAnsi="Bookman Old Style" w:cs="Arial Unicode MS"/>
          <w:i/>
          <w:sz w:val="24"/>
          <w:szCs w:val="24"/>
        </w:rPr>
        <w:t>Gulf Oil (Great Britain) Limited v Page</w:t>
      </w:r>
      <w:r w:rsidR="00400556">
        <w:rPr>
          <w:rFonts w:ascii="Bookman Old Style" w:eastAsia="Arial Unicode MS" w:hAnsi="Bookman Old Style" w:cs="Arial Unicode MS"/>
          <w:sz w:val="24"/>
          <w:szCs w:val="24"/>
        </w:rPr>
        <w:t>.</w:t>
      </w:r>
      <w:r w:rsidR="00400556">
        <w:rPr>
          <w:rStyle w:val="FootnoteReference"/>
          <w:rFonts w:ascii="Bookman Old Style" w:eastAsia="Arial Unicode MS" w:hAnsi="Bookman Old Style" w:cs="Arial Unicode MS"/>
          <w:sz w:val="24"/>
          <w:szCs w:val="24"/>
        </w:rPr>
        <w:footnoteReference w:id="111"/>
      </w:r>
      <w:r w:rsidR="00400556">
        <w:rPr>
          <w:rFonts w:ascii="Bookman Old Style" w:eastAsia="Arial Unicode MS" w:hAnsi="Bookman Old Style" w:cs="Arial Unicode MS"/>
          <w:sz w:val="24"/>
          <w:szCs w:val="24"/>
        </w:rPr>
        <w:t xml:space="preserve"> </w:t>
      </w:r>
      <w:r w:rsidR="000632A8">
        <w:rPr>
          <w:rFonts w:ascii="Bookman Old Style" w:eastAsia="Arial Unicode MS" w:hAnsi="Bookman Old Style" w:cs="Arial Unicode MS"/>
          <w:sz w:val="24"/>
          <w:szCs w:val="24"/>
        </w:rPr>
        <w:t>The facts of the case were that the defendants owned a number of petrol filling stations which had been supplied with petrol by the plaintiff under an agreement which had given rise to litigation</w:t>
      </w:r>
      <w:r>
        <w:rPr>
          <w:rFonts w:ascii="Bookman Old Style" w:eastAsia="Arial Unicode MS" w:hAnsi="Bookman Old Style" w:cs="Arial Unicode MS"/>
          <w:sz w:val="24"/>
          <w:szCs w:val="24"/>
        </w:rPr>
        <w:t>. I</w:t>
      </w:r>
      <w:r w:rsidR="000632A8">
        <w:rPr>
          <w:rFonts w:ascii="Bookman Old Style" w:eastAsia="Arial Unicode MS" w:hAnsi="Bookman Old Style" w:cs="Arial Unicode MS"/>
          <w:sz w:val="24"/>
          <w:szCs w:val="24"/>
        </w:rPr>
        <w:t xml:space="preserve">n that litigation the High Court held </w:t>
      </w:r>
      <w:r w:rsidR="000632A8" w:rsidRPr="00887B4B">
        <w:rPr>
          <w:rFonts w:ascii="Bookman Old Style" w:eastAsia="Arial Unicode MS" w:hAnsi="Bookman Old Style" w:cs="Arial Unicode MS"/>
          <w:i/>
          <w:sz w:val="24"/>
          <w:szCs w:val="24"/>
        </w:rPr>
        <w:t>inter alia</w:t>
      </w:r>
      <w:r w:rsidR="005B5465">
        <w:rPr>
          <w:rFonts w:ascii="Bookman Old Style" w:eastAsia="Arial Unicode MS" w:hAnsi="Bookman Old Style" w:cs="Arial Unicode MS"/>
          <w:i/>
          <w:sz w:val="24"/>
          <w:szCs w:val="24"/>
        </w:rPr>
        <w:t>,</w:t>
      </w:r>
      <w:r w:rsidR="000632A8">
        <w:rPr>
          <w:rFonts w:ascii="Bookman Old Style" w:eastAsia="Arial Unicode MS" w:hAnsi="Bookman Old Style" w:cs="Arial Unicode MS"/>
          <w:sz w:val="24"/>
          <w:szCs w:val="24"/>
        </w:rPr>
        <w:t xml:space="preserve"> that the plaintiff had been in fundamental breach of the agreement.</w:t>
      </w:r>
      <w:r w:rsidR="00FF3A09">
        <w:rPr>
          <w:rFonts w:ascii="Bookman Old Style" w:eastAsia="Arial Unicode MS" w:hAnsi="Bookman Old Style" w:cs="Arial Unicode MS"/>
          <w:sz w:val="24"/>
          <w:szCs w:val="24"/>
        </w:rPr>
        <w:t xml:space="preserve"> </w:t>
      </w:r>
      <w:r w:rsidR="00A8291A">
        <w:rPr>
          <w:rFonts w:ascii="Bookman Old Style" w:eastAsia="Arial Unicode MS" w:hAnsi="Bookman Old Style" w:cs="Arial Unicode MS"/>
          <w:sz w:val="24"/>
          <w:szCs w:val="24"/>
        </w:rPr>
        <w:t>During a race mee</w:t>
      </w:r>
      <w:r w:rsidR="004364F8">
        <w:rPr>
          <w:rFonts w:ascii="Bookman Old Style" w:eastAsia="Arial Unicode MS" w:hAnsi="Bookman Old Style" w:cs="Arial Unicode MS"/>
          <w:sz w:val="24"/>
          <w:szCs w:val="24"/>
        </w:rPr>
        <w:t>t</w:t>
      </w:r>
      <w:r w:rsidR="00A8291A">
        <w:rPr>
          <w:rFonts w:ascii="Bookman Old Style" w:eastAsia="Arial Unicode MS" w:hAnsi="Bookman Old Style" w:cs="Arial Unicode MS"/>
          <w:sz w:val="24"/>
          <w:szCs w:val="24"/>
        </w:rPr>
        <w:t>ing at Chalte</w:t>
      </w:r>
      <w:r>
        <w:rPr>
          <w:rFonts w:ascii="Bookman Old Style" w:eastAsia="Arial Unicode MS" w:hAnsi="Bookman Old Style" w:cs="Arial Unicode MS"/>
          <w:sz w:val="24"/>
          <w:szCs w:val="24"/>
        </w:rPr>
        <w:t>n</w:t>
      </w:r>
      <w:r w:rsidR="00A8291A">
        <w:rPr>
          <w:rFonts w:ascii="Bookman Old Style" w:eastAsia="Arial Unicode MS" w:hAnsi="Bookman Old Style" w:cs="Arial Unicode MS"/>
          <w:sz w:val="24"/>
          <w:szCs w:val="24"/>
        </w:rPr>
        <w:t>ham</w:t>
      </w:r>
      <w:r>
        <w:rPr>
          <w:rFonts w:ascii="Bookman Old Style" w:eastAsia="Arial Unicode MS" w:hAnsi="Bookman Old Style" w:cs="Arial Unicode MS"/>
          <w:sz w:val="24"/>
          <w:szCs w:val="24"/>
        </w:rPr>
        <w:t xml:space="preserve"> on the day before the Golf C</w:t>
      </w:r>
      <w:r w:rsidR="004364F8">
        <w:rPr>
          <w:rFonts w:ascii="Bookman Old Style" w:eastAsia="Arial Unicode MS" w:hAnsi="Bookman Old Style" w:cs="Arial Unicode MS"/>
          <w:sz w:val="24"/>
          <w:szCs w:val="24"/>
        </w:rPr>
        <w:t>up, the defendants flew a light aircraft over the race course towing a baner</w:t>
      </w:r>
      <w:r w:rsidR="005B5465">
        <w:rPr>
          <w:rFonts w:ascii="Bookman Old Style" w:eastAsia="Arial Unicode MS" w:hAnsi="Bookman Old Style" w:cs="Arial Unicode MS"/>
          <w:sz w:val="24"/>
          <w:szCs w:val="24"/>
        </w:rPr>
        <w:t>,</w:t>
      </w:r>
      <w:r w:rsidR="004364F8">
        <w:rPr>
          <w:rFonts w:ascii="Bookman Old Style" w:eastAsia="Arial Unicode MS" w:hAnsi="Bookman Old Style" w:cs="Arial Unicode MS"/>
          <w:sz w:val="24"/>
          <w:szCs w:val="24"/>
        </w:rPr>
        <w:t xml:space="preserve"> “</w:t>
      </w:r>
      <w:r w:rsidR="004364F8" w:rsidRPr="004364F8">
        <w:rPr>
          <w:rFonts w:ascii="Bookman Old Style" w:eastAsia="Arial Unicode MS" w:hAnsi="Bookman Old Style" w:cs="Arial Unicode MS"/>
          <w:i/>
          <w:sz w:val="24"/>
          <w:szCs w:val="24"/>
        </w:rPr>
        <w:t>Gulf exposed in fundamental breach.</w:t>
      </w:r>
      <w:r w:rsidR="004364F8">
        <w:rPr>
          <w:rFonts w:ascii="Bookman Old Style" w:eastAsia="Arial Unicode MS" w:hAnsi="Bookman Old Style" w:cs="Arial Unicode MS"/>
          <w:sz w:val="24"/>
          <w:szCs w:val="24"/>
        </w:rPr>
        <w:t>” They intended to do the sam</w:t>
      </w:r>
      <w:r>
        <w:rPr>
          <w:rFonts w:ascii="Bookman Old Style" w:eastAsia="Arial Unicode MS" w:hAnsi="Bookman Old Style" w:cs="Arial Unicode MS"/>
          <w:sz w:val="24"/>
          <w:szCs w:val="24"/>
        </w:rPr>
        <w:t>e the next day during the Golf C</w:t>
      </w:r>
      <w:r w:rsidR="004364F8">
        <w:rPr>
          <w:rFonts w:ascii="Bookman Old Style" w:eastAsia="Arial Unicode MS" w:hAnsi="Bookman Old Style" w:cs="Arial Unicode MS"/>
          <w:sz w:val="24"/>
          <w:szCs w:val="24"/>
        </w:rPr>
        <w:t>up itself.</w:t>
      </w:r>
    </w:p>
    <w:p w:rsidR="009935DC" w:rsidRDefault="009935DC" w:rsidP="00153D09">
      <w:pPr>
        <w:spacing w:before="240" w:line="360" w:lineRule="auto"/>
        <w:jc w:val="both"/>
        <w:rPr>
          <w:rFonts w:ascii="Bookman Old Style" w:eastAsia="Arial Unicode MS" w:hAnsi="Bookman Old Style" w:cs="Arial Unicode MS"/>
          <w:sz w:val="24"/>
          <w:szCs w:val="24"/>
        </w:rPr>
      </w:pPr>
      <w:r w:rsidRPr="00301256">
        <w:rPr>
          <w:rFonts w:ascii="Bookman Old Style" w:eastAsia="Arial Unicode MS" w:hAnsi="Bookman Old Style" w:cs="Arial Unicode MS"/>
          <w:i/>
          <w:sz w:val="24"/>
          <w:szCs w:val="24"/>
        </w:rPr>
        <w:t>Gulf Oil (Great Britain) Limi</w:t>
      </w:r>
      <w:r w:rsidR="00887B4B" w:rsidRPr="00301256">
        <w:rPr>
          <w:rFonts w:ascii="Bookman Old Style" w:eastAsia="Arial Unicode MS" w:hAnsi="Bookman Old Style" w:cs="Arial Unicode MS"/>
          <w:i/>
          <w:sz w:val="24"/>
          <w:szCs w:val="24"/>
        </w:rPr>
        <w:t>ted</w:t>
      </w:r>
      <w:r w:rsidR="00301256">
        <w:rPr>
          <w:rFonts w:ascii="Bookman Old Style" w:eastAsia="Arial Unicode MS" w:hAnsi="Bookman Old Style" w:cs="Arial Unicode MS"/>
          <w:i/>
          <w:sz w:val="24"/>
          <w:szCs w:val="24"/>
        </w:rPr>
        <w:t>,</w:t>
      </w:r>
      <w:r w:rsidR="00887B4B">
        <w:rPr>
          <w:rFonts w:ascii="Bookman Old Style" w:eastAsia="Arial Unicode MS" w:hAnsi="Bookman Old Style" w:cs="Arial Unicode MS"/>
          <w:sz w:val="24"/>
          <w:szCs w:val="24"/>
        </w:rPr>
        <w:t xml:space="preserve"> immediately applied in the C</w:t>
      </w:r>
      <w:r>
        <w:rPr>
          <w:rFonts w:ascii="Bookman Old Style" w:eastAsia="Arial Unicode MS" w:hAnsi="Bookman Old Style" w:cs="Arial Unicode MS"/>
          <w:sz w:val="24"/>
          <w:szCs w:val="24"/>
        </w:rPr>
        <w:t xml:space="preserve">hancery Division for an interim injunction in these terms:  </w:t>
      </w:r>
      <w:r w:rsidRPr="00C304D4">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 xml:space="preserve">                               </w:t>
      </w:r>
    </w:p>
    <w:p w:rsidR="009935DC" w:rsidRPr="009935DC" w:rsidRDefault="000D02CC" w:rsidP="009935DC">
      <w:pPr>
        <w:spacing w:before="240" w:line="240" w:lineRule="auto"/>
        <w:jc w:val="both"/>
        <w:rPr>
          <w:rFonts w:ascii="Bookman Old Style" w:eastAsia="Arial Unicode MS" w:hAnsi="Bookman Old Style" w:cs="Arial Unicode MS"/>
          <w:i/>
          <w:sz w:val="24"/>
          <w:szCs w:val="24"/>
        </w:rPr>
      </w:pPr>
      <w:r w:rsidRPr="009935DC">
        <w:rPr>
          <w:rFonts w:ascii="Bookman Old Style" w:eastAsia="Arial Unicode MS" w:hAnsi="Bookman Old Style" w:cs="Arial Unicode MS"/>
          <w:i/>
          <w:sz w:val="24"/>
          <w:szCs w:val="24"/>
        </w:rPr>
        <w:lastRenderedPageBreak/>
        <w:t xml:space="preserve">“... that </w:t>
      </w:r>
      <w:r w:rsidR="00887B4B">
        <w:rPr>
          <w:rFonts w:ascii="Bookman Old Style" w:eastAsia="Arial Unicode MS" w:hAnsi="Bookman Old Style" w:cs="Arial Unicode MS"/>
          <w:i/>
          <w:sz w:val="24"/>
          <w:szCs w:val="24"/>
        </w:rPr>
        <w:t>until trial or further order in</w:t>
      </w:r>
      <w:r w:rsidRPr="009935DC">
        <w:rPr>
          <w:rFonts w:ascii="Bookman Old Style" w:eastAsia="Arial Unicode MS" w:hAnsi="Bookman Old Style" w:cs="Arial Unicode MS"/>
          <w:i/>
          <w:sz w:val="24"/>
          <w:szCs w:val="24"/>
        </w:rPr>
        <w:t xml:space="preserve"> the meantime the defendants and each of them, in the case of third defendant by its directors and officers and in the case of all defendants by themselves and their </w:t>
      </w:r>
      <w:r w:rsidR="00887B4B">
        <w:rPr>
          <w:rFonts w:ascii="Bookman Old Style" w:eastAsia="Arial Unicode MS" w:hAnsi="Bookman Old Style" w:cs="Arial Unicode MS"/>
          <w:i/>
          <w:sz w:val="24"/>
          <w:szCs w:val="24"/>
        </w:rPr>
        <w:t xml:space="preserve">servants, or agents, or </w:t>
      </w:r>
      <w:r w:rsidRPr="009935DC">
        <w:rPr>
          <w:rFonts w:ascii="Bookman Old Style" w:eastAsia="Arial Unicode MS" w:hAnsi="Bookman Old Style" w:cs="Arial Unicode MS"/>
          <w:i/>
          <w:sz w:val="24"/>
          <w:szCs w:val="24"/>
        </w:rPr>
        <w:t>howsoever be restrained from exhibiting or publishing on airborn</w:t>
      </w:r>
      <w:r w:rsidR="00301256">
        <w:rPr>
          <w:rFonts w:ascii="Bookman Old Style" w:eastAsia="Arial Unicode MS" w:hAnsi="Bookman Old Style" w:cs="Arial Unicode MS"/>
          <w:i/>
          <w:sz w:val="24"/>
          <w:szCs w:val="24"/>
        </w:rPr>
        <w:t>e sign or otherwise the legend “</w:t>
      </w:r>
      <w:r w:rsidRPr="009935DC">
        <w:rPr>
          <w:rFonts w:ascii="Bookman Old Style" w:eastAsia="Arial Unicode MS" w:hAnsi="Bookman Old Style" w:cs="Arial Unicode MS"/>
          <w:i/>
          <w:sz w:val="24"/>
          <w:szCs w:val="24"/>
        </w:rPr>
        <w:t>Gulf exposed in fundamental breach</w:t>
      </w:r>
      <w:r w:rsidR="00301256">
        <w:rPr>
          <w:rFonts w:ascii="Bookman Old Style" w:eastAsia="Arial Unicode MS" w:hAnsi="Bookman Old Style" w:cs="Arial Unicode MS"/>
          <w:i/>
          <w:sz w:val="24"/>
          <w:szCs w:val="24"/>
        </w:rPr>
        <w:t>,”</w:t>
      </w:r>
      <w:r w:rsidRPr="009935DC">
        <w:rPr>
          <w:rFonts w:ascii="Bookman Old Style" w:eastAsia="Arial Unicode MS" w:hAnsi="Bookman Old Style" w:cs="Arial Unicode MS"/>
          <w:i/>
          <w:sz w:val="24"/>
          <w:szCs w:val="24"/>
        </w:rPr>
        <w:t xml:space="preserve"> or any other word to the like or similar effect.”  </w:t>
      </w:r>
    </w:p>
    <w:p w:rsidR="009935DC" w:rsidRDefault="009935DC" w:rsidP="00153D09">
      <w:pPr>
        <w:spacing w:before="240" w:line="360" w:lineRule="auto"/>
        <w:jc w:val="both"/>
        <w:rPr>
          <w:rFonts w:ascii="Bookman Old Style" w:eastAsia="Arial Unicode MS" w:hAnsi="Bookman Old Style" w:cs="Arial Unicode MS"/>
          <w:sz w:val="24"/>
          <w:szCs w:val="24"/>
        </w:rPr>
      </w:pPr>
    </w:p>
    <w:p w:rsidR="00BF15F7" w:rsidRDefault="009935DC"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plaintiff did not seek to challenge the principle that in a libel action if a defendant intends to </w:t>
      </w:r>
      <w:r w:rsidR="00B929B7">
        <w:rPr>
          <w:rFonts w:ascii="Bookman Old Style" w:eastAsia="Arial Unicode MS" w:hAnsi="Bookman Old Style" w:cs="Arial Unicode MS"/>
          <w:sz w:val="24"/>
          <w:szCs w:val="24"/>
        </w:rPr>
        <w:t>justify, interim relief is, as a matter of principle never granted. But they contended that where the writ is also indorsed with a claim for damage for conspiracy</w:t>
      </w:r>
      <w:r w:rsidR="00887B4B">
        <w:rPr>
          <w:rFonts w:ascii="Bookman Old Style" w:eastAsia="Arial Unicode MS" w:hAnsi="Bookman Old Style" w:cs="Arial Unicode MS"/>
          <w:sz w:val="24"/>
          <w:szCs w:val="24"/>
        </w:rPr>
        <w:t>,</w:t>
      </w:r>
      <w:r w:rsidR="00B929B7">
        <w:rPr>
          <w:rFonts w:ascii="Bookman Old Style" w:eastAsia="Arial Unicode MS" w:hAnsi="Bookman Old Style" w:cs="Arial Unicode MS"/>
          <w:sz w:val="24"/>
          <w:szCs w:val="24"/>
        </w:rPr>
        <w:t xml:space="preserve"> and there is clear evidence of conspiracy to injure</w:t>
      </w:r>
      <w:r w:rsidR="005B5465">
        <w:rPr>
          <w:rFonts w:ascii="Bookman Old Style" w:eastAsia="Arial Unicode MS" w:hAnsi="Bookman Old Style" w:cs="Arial Unicode MS"/>
          <w:sz w:val="24"/>
          <w:szCs w:val="24"/>
        </w:rPr>
        <w:t>,</w:t>
      </w:r>
      <w:r w:rsidR="00B929B7">
        <w:rPr>
          <w:rFonts w:ascii="Bookman Old Style" w:eastAsia="Arial Unicode MS" w:hAnsi="Bookman Old Style" w:cs="Arial Unicode MS"/>
          <w:sz w:val="24"/>
          <w:szCs w:val="24"/>
        </w:rPr>
        <w:t xml:space="preserve"> the principle has no application.</w:t>
      </w:r>
      <w:r w:rsidR="00BF15F7">
        <w:rPr>
          <w:rFonts w:ascii="Bookman Old Style" w:eastAsia="Arial Unicode MS" w:hAnsi="Bookman Old Style" w:cs="Arial Unicode MS"/>
          <w:sz w:val="24"/>
          <w:szCs w:val="24"/>
        </w:rPr>
        <w:t xml:space="preserve"> In response, the defendants asserted that if interim relief could be granted in such a case as this</w:t>
      </w:r>
      <w:r w:rsidR="004238BA">
        <w:rPr>
          <w:rFonts w:ascii="Bookman Old Style" w:eastAsia="Arial Unicode MS" w:hAnsi="Bookman Old Style" w:cs="Arial Unicode MS"/>
          <w:sz w:val="24"/>
          <w:szCs w:val="24"/>
        </w:rPr>
        <w:t>,</w:t>
      </w:r>
      <w:r w:rsidR="00BF15F7">
        <w:rPr>
          <w:rFonts w:ascii="Bookman Old Style" w:eastAsia="Arial Unicode MS" w:hAnsi="Bookman Old Style" w:cs="Arial Unicode MS"/>
          <w:sz w:val="24"/>
          <w:szCs w:val="24"/>
        </w:rPr>
        <w:t xml:space="preserve"> it would in effect reverse the long standing principle because it would often be open to a plaintiff in a libel action </w:t>
      </w:r>
      <w:r w:rsidR="004238BA">
        <w:rPr>
          <w:rFonts w:ascii="Bookman Old Style" w:eastAsia="Arial Unicode MS" w:hAnsi="Bookman Old Style" w:cs="Arial Unicode MS"/>
          <w:sz w:val="24"/>
          <w:szCs w:val="24"/>
        </w:rPr>
        <w:t xml:space="preserve">to </w:t>
      </w:r>
      <w:r w:rsidR="00BF15F7">
        <w:rPr>
          <w:rFonts w:ascii="Bookman Old Style" w:eastAsia="Arial Unicode MS" w:hAnsi="Bookman Old Style" w:cs="Arial Unicode MS"/>
          <w:sz w:val="24"/>
          <w:szCs w:val="24"/>
        </w:rPr>
        <w:t xml:space="preserve">claim also in conspiracy against the reporter, editor, printers, and publishers of the libel. </w:t>
      </w:r>
    </w:p>
    <w:p w:rsidR="00BF15F7" w:rsidRDefault="00BF15F7" w:rsidP="00153D09">
      <w:pPr>
        <w:spacing w:before="240" w:line="360" w:lineRule="auto"/>
        <w:jc w:val="both"/>
        <w:rPr>
          <w:rFonts w:ascii="Bookman Old Style" w:eastAsia="Arial Unicode MS" w:hAnsi="Bookman Old Style" w:cs="Arial Unicode MS"/>
          <w:sz w:val="24"/>
          <w:szCs w:val="24"/>
        </w:rPr>
      </w:pPr>
    </w:p>
    <w:p w:rsidR="00BF15F7" w:rsidRDefault="00BF15F7"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injunction was granted by the Court of Appeal.</w:t>
      </w:r>
      <w:r w:rsidR="004238BA">
        <w:rPr>
          <w:rFonts w:ascii="Bookman Old Style" w:eastAsia="Arial Unicode MS" w:hAnsi="Bookman Old Style" w:cs="Arial Unicode MS"/>
          <w:sz w:val="24"/>
          <w:szCs w:val="24"/>
        </w:rPr>
        <w:t xml:space="preserve"> </w:t>
      </w:r>
      <w:r w:rsidR="00FF3A09">
        <w:rPr>
          <w:rFonts w:ascii="Bookman Old Style" w:eastAsia="Arial Unicode MS" w:hAnsi="Bookman Old Style" w:cs="Arial Unicode MS"/>
          <w:sz w:val="24"/>
          <w:szCs w:val="24"/>
        </w:rPr>
        <w:t>In the course of the judgment Pa</w:t>
      </w:r>
      <w:r w:rsidR="004238BA">
        <w:rPr>
          <w:rFonts w:ascii="Bookman Old Style" w:eastAsia="Arial Unicode MS" w:hAnsi="Bookman Old Style" w:cs="Arial Unicode MS"/>
          <w:sz w:val="24"/>
          <w:szCs w:val="24"/>
        </w:rPr>
        <w:t>rker L.J. said at page 3336</w:t>
      </w:r>
      <w:r>
        <w:rPr>
          <w:rFonts w:ascii="Bookman Old Style" w:eastAsia="Arial Unicode MS" w:hAnsi="Bookman Old Style" w:cs="Arial Unicode MS"/>
          <w:sz w:val="24"/>
          <w:szCs w:val="24"/>
        </w:rPr>
        <w:t>___334A:</w:t>
      </w:r>
    </w:p>
    <w:p w:rsidR="00F135F6" w:rsidRPr="004238BA" w:rsidRDefault="00BF15F7" w:rsidP="004238BA">
      <w:pPr>
        <w:spacing w:before="240" w:line="240" w:lineRule="auto"/>
        <w:jc w:val="both"/>
        <w:rPr>
          <w:rFonts w:ascii="Bookman Old Style" w:eastAsia="Arial Unicode MS" w:hAnsi="Bookman Old Style" w:cs="Arial Unicode MS"/>
          <w:i/>
          <w:sz w:val="24"/>
          <w:szCs w:val="24"/>
        </w:rPr>
      </w:pPr>
      <w:r>
        <w:rPr>
          <w:rFonts w:ascii="Bookman Old Style" w:eastAsia="Arial Unicode MS" w:hAnsi="Bookman Old Style" w:cs="Arial Unicode MS"/>
          <w:sz w:val="24"/>
          <w:szCs w:val="24"/>
        </w:rPr>
        <w:t>“</w:t>
      </w:r>
      <w:r w:rsidRPr="004238BA">
        <w:rPr>
          <w:rFonts w:ascii="Bookman Old Style" w:eastAsia="Arial Unicode MS" w:hAnsi="Bookman Old Style" w:cs="Arial Unicode MS"/>
          <w:i/>
          <w:sz w:val="24"/>
          <w:szCs w:val="24"/>
        </w:rPr>
        <w:t xml:space="preserve">It is true that there is no wrong if what is published is true provided that it is not published in pursuance of a combination and even if </w:t>
      </w:r>
      <w:r w:rsidR="004238BA" w:rsidRPr="004238BA">
        <w:rPr>
          <w:rFonts w:ascii="Bookman Old Style" w:eastAsia="Arial Unicode MS" w:hAnsi="Bookman Old Style" w:cs="Arial Unicode MS"/>
          <w:i/>
          <w:sz w:val="24"/>
          <w:szCs w:val="24"/>
        </w:rPr>
        <w:t xml:space="preserve">it </w:t>
      </w:r>
      <w:r w:rsidRPr="004238BA">
        <w:rPr>
          <w:rFonts w:ascii="Bookman Old Style" w:eastAsia="Arial Unicode MS" w:hAnsi="Bookman Old Style" w:cs="Arial Unicode MS"/>
          <w:i/>
          <w:sz w:val="24"/>
          <w:szCs w:val="24"/>
        </w:rPr>
        <w:t>is</w:t>
      </w:r>
      <w:r w:rsidR="00FF3A09">
        <w:rPr>
          <w:rFonts w:ascii="Bookman Old Style" w:eastAsia="Arial Unicode MS" w:hAnsi="Bookman Old Style" w:cs="Arial Unicode MS"/>
          <w:i/>
          <w:sz w:val="24"/>
          <w:szCs w:val="24"/>
        </w:rPr>
        <w:t>,</w:t>
      </w:r>
      <w:r w:rsidRPr="004238BA">
        <w:rPr>
          <w:rFonts w:ascii="Bookman Old Style" w:eastAsia="Arial Unicode MS" w:hAnsi="Bookman Old Style" w:cs="Arial Unicode MS"/>
          <w:i/>
          <w:sz w:val="24"/>
          <w:szCs w:val="24"/>
        </w:rPr>
        <w:t xml:space="preserve"> there is still</w:t>
      </w:r>
      <w:r w:rsidR="00DA6D77" w:rsidRPr="004238BA">
        <w:rPr>
          <w:rFonts w:ascii="Bookman Old Style" w:eastAsia="Arial Unicode MS" w:hAnsi="Bookman Old Style" w:cs="Arial Unicode MS"/>
          <w:i/>
          <w:sz w:val="24"/>
          <w:szCs w:val="24"/>
        </w:rPr>
        <w:t xml:space="preserve"> no wrong unless the sole or dominant purpose of the combination and publication is to injure the plaintiff. If, however, there is both combination and purpose or dominant purpose to injure there is wrong done. When a plaintiff sues in conspiracy there is therefore a potential wrong even if it is admitted, as it is in the present case, that the publication is true and thus there is no question of a cause of action in defamation. In such case the Court can, and in my view should proceed on the same principles as it would in the case of any other tort.</w:t>
      </w:r>
      <w:r w:rsidR="00FF3A09">
        <w:rPr>
          <w:rFonts w:ascii="Bookman Old Style" w:eastAsia="Arial Unicode MS" w:hAnsi="Bookman Old Style" w:cs="Arial Unicode MS"/>
          <w:i/>
          <w:sz w:val="24"/>
          <w:szCs w:val="24"/>
        </w:rPr>
        <w:t xml:space="preserve"> </w:t>
      </w:r>
      <w:r w:rsidR="00DA6D77" w:rsidRPr="004238BA">
        <w:rPr>
          <w:rFonts w:ascii="Bookman Old Style" w:eastAsia="Arial Unicode MS" w:hAnsi="Bookman Old Style" w:cs="Arial Unicode MS"/>
          <w:i/>
          <w:sz w:val="24"/>
          <w:szCs w:val="24"/>
        </w:rPr>
        <w:t>The prospect that this would open the floodgates and r</w:t>
      </w:r>
      <w:r w:rsidR="004238BA" w:rsidRPr="004238BA">
        <w:rPr>
          <w:rFonts w:ascii="Bookman Old Style" w:eastAsia="Arial Unicode MS" w:hAnsi="Bookman Old Style" w:cs="Arial Unicode MS"/>
          <w:i/>
          <w:sz w:val="24"/>
          <w:szCs w:val="24"/>
        </w:rPr>
        <w:t>everse the principle applicable</w:t>
      </w:r>
      <w:r w:rsidR="00DA6D77" w:rsidRPr="004238BA">
        <w:rPr>
          <w:rFonts w:ascii="Bookman Old Style" w:eastAsia="Arial Unicode MS" w:hAnsi="Bookman Old Style" w:cs="Arial Unicode MS"/>
          <w:i/>
          <w:sz w:val="24"/>
          <w:szCs w:val="24"/>
        </w:rPr>
        <w:t xml:space="preserve"> in libel action, is in my view unreal. A plaintiff in an action against the author and publisher of a newspaper article for example, might well establish a combination, but it appears to me that it would only be in the rarest case that purpose to injure could be made out to warrant the grant of interlocutory relief.</w:t>
      </w:r>
      <w:r w:rsidR="004238BA" w:rsidRPr="004238BA">
        <w:rPr>
          <w:rFonts w:ascii="Bookman Old Style" w:eastAsia="Arial Unicode MS" w:hAnsi="Bookman Old Style" w:cs="Arial Unicode MS"/>
          <w:i/>
          <w:sz w:val="24"/>
          <w:szCs w:val="24"/>
        </w:rPr>
        <w:t>”</w:t>
      </w:r>
    </w:p>
    <w:p w:rsidR="00F135F6" w:rsidRDefault="00F135F6" w:rsidP="00153D09">
      <w:pPr>
        <w:spacing w:before="240" w:line="360" w:lineRule="auto"/>
        <w:jc w:val="both"/>
        <w:rPr>
          <w:rFonts w:ascii="Bookman Old Style" w:eastAsia="Arial Unicode MS" w:hAnsi="Bookman Old Style" w:cs="Arial Unicode MS"/>
          <w:sz w:val="24"/>
          <w:szCs w:val="24"/>
        </w:rPr>
      </w:pPr>
    </w:p>
    <w:p w:rsidR="0065347F" w:rsidRDefault="00F135F6"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lastRenderedPageBreak/>
        <w:t xml:space="preserve">Thus in the </w:t>
      </w:r>
      <w:r w:rsidRPr="004238BA">
        <w:rPr>
          <w:rFonts w:ascii="Bookman Old Style" w:eastAsia="Arial Unicode MS" w:hAnsi="Bookman Old Style" w:cs="Arial Unicode MS"/>
          <w:i/>
          <w:sz w:val="24"/>
          <w:szCs w:val="24"/>
        </w:rPr>
        <w:t>Gulf Oil case</w:t>
      </w:r>
      <w:r>
        <w:rPr>
          <w:rFonts w:ascii="Bookman Old Style" w:eastAsia="Arial Unicode MS" w:hAnsi="Bookman Old Style" w:cs="Arial Unicode MS"/>
          <w:sz w:val="24"/>
          <w:szCs w:val="24"/>
        </w:rPr>
        <w:t xml:space="preserve"> the plaintiff obtained an injunction pr</w:t>
      </w:r>
      <w:r w:rsidR="004238BA">
        <w:rPr>
          <w:rFonts w:ascii="Bookman Old Style" w:eastAsia="Arial Unicode MS" w:hAnsi="Bookman Old Style" w:cs="Arial Unicode MS"/>
          <w:sz w:val="24"/>
          <w:szCs w:val="24"/>
        </w:rPr>
        <w:t>ohibiting the defendant from fl</w:t>
      </w:r>
      <w:r>
        <w:rPr>
          <w:rFonts w:ascii="Bookman Old Style" w:eastAsia="Arial Unicode MS" w:hAnsi="Bookman Old Style" w:cs="Arial Unicode MS"/>
          <w:sz w:val="24"/>
          <w:szCs w:val="24"/>
        </w:rPr>
        <w:t>ying</w:t>
      </w:r>
      <w:r w:rsidR="00303518">
        <w:rPr>
          <w:rFonts w:ascii="Bookman Old Style" w:eastAsia="Arial Unicode MS" w:hAnsi="Bookman Old Style" w:cs="Arial Unicode MS"/>
          <w:sz w:val="24"/>
          <w:szCs w:val="24"/>
        </w:rPr>
        <w:t xml:space="preserve"> an</w:t>
      </w:r>
      <w:r w:rsidR="004238BA">
        <w:rPr>
          <w:rFonts w:ascii="Bookman Old Style" w:eastAsia="Arial Unicode MS" w:hAnsi="Bookman Old Style" w:cs="Arial Unicode MS"/>
          <w:sz w:val="24"/>
          <w:szCs w:val="24"/>
        </w:rPr>
        <w:t xml:space="preserve"> aeroplane over the race course. I</w:t>
      </w:r>
      <w:r w:rsidR="00303518">
        <w:rPr>
          <w:rFonts w:ascii="Bookman Old Style" w:eastAsia="Arial Unicode MS" w:hAnsi="Bookman Old Style" w:cs="Arial Unicode MS"/>
          <w:sz w:val="24"/>
          <w:szCs w:val="24"/>
        </w:rPr>
        <w:t xml:space="preserve">t was not disputed that the words were true. The Court said that the principle established in </w:t>
      </w:r>
      <w:r w:rsidR="00303518" w:rsidRPr="00303518">
        <w:rPr>
          <w:rFonts w:ascii="Bookman Old Style" w:eastAsia="Arial Unicode MS" w:hAnsi="Bookman Old Style" w:cs="Arial Unicode MS"/>
          <w:i/>
          <w:sz w:val="24"/>
          <w:szCs w:val="24"/>
        </w:rPr>
        <w:t>Bonnard v Perryman</w:t>
      </w:r>
      <w:r w:rsidR="00303518">
        <w:rPr>
          <w:rFonts w:ascii="Bookman Old Style" w:eastAsia="Arial Unicode MS" w:hAnsi="Bookman Old Style" w:cs="Arial Unicode MS"/>
          <w:sz w:val="24"/>
          <w:szCs w:val="24"/>
        </w:rPr>
        <w:t xml:space="preserve"> was not a complete answer to the claim for in interim injunction, for in conspiracy the wrong arose from the sole or domin</w:t>
      </w:r>
      <w:r w:rsidR="004238BA">
        <w:rPr>
          <w:rFonts w:ascii="Bookman Old Style" w:eastAsia="Arial Unicode MS" w:hAnsi="Bookman Old Style" w:cs="Arial Unicode MS"/>
          <w:sz w:val="24"/>
          <w:szCs w:val="24"/>
        </w:rPr>
        <w:t>ant purpose of the participants</w:t>
      </w:r>
      <w:r w:rsidR="00303518">
        <w:rPr>
          <w:rFonts w:ascii="Bookman Old Style" w:eastAsia="Arial Unicode MS" w:hAnsi="Bookman Old Style" w:cs="Arial Unicode MS"/>
          <w:sz w:val="24"/>
          <w:szCs w:val="24"/>
        </w:rPr>
        <w:t xml:space="preserve"> causing the injury to the plaintiff.</w:t>
      </w:r>
      <w:r w:rsidR="00303518">
        <w:rPr>
          <w:rStyle w:val="FootnoteReference"/>
          <w:rFonts w:ascii="Bookman Old Style" w:eastAsia="Arial Unicode MS" w:hAnsi="Bookman Old Style" w:cs="Arial Unicode MS"/>
          <w:sz w:val="24"/>
          <w:szCs w:val="24"/>
        </w:rPr>
        <w:footnoteReference w:id="112"/>
      </w:r>
      <w:r w:rsidR="00303518">
        <w:rPr>
          <w:rFonts w:ascii="Bookman Old Style" w:eastAsia="Arial Unicode MS" w:hAnsi="Bookman Old Style" w:cs="Arial Unicode MS"/>
          <w:sz w:val="24"/>
          <w:szCs w:val="24"/>
        </w:rPr>
        <w:t xml:space="preserve"> </w:t>
      </w:r>
    </w:p>
    <w:p w:rsidR="0065347F" w:rsidRDefault="0065347F" w:rsidP="00153D09">
      <w:pPr>
        <w:spacing w:before="240" w:line="360" w:lineRule="auto"/>
        <w:jc w:val="both"/>
        <w:rPr>
          <w:rFonts w:ascii="Bookman Old Style" w:eastAsia="Arial Unicode MS" w:hAnsi="Bookman Old Style" w:cs="Arial Unicode MS"/>
          <w:sz w:val="24"/>
          <w:szCs w:val="24"/>
        </w:rPr>
      </w:pPr>
    </w:p>
    <w:p w:rsidR="005733BC" w:rsidRDefault="0065347F"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same route was sought to be followed in </w:t>
      </w:r>
      <w:r w:rsidRPr="004238BA">
        <w:rPr>
          <w:rFonts w:ascii="Bookman Old Style" w:eastAsia="Arial Unicode MS" w:hAnsi="Bookman Old Style" w:cs="Arial Unicode MS"/>
          <w:i/>
          <w:sz w:val="24"/>
          <w:szCs w:val="24"/>
        </w:rPr>
        <w:t>Femis Bank</w:t>
      </w:r>
      <w:r w:rsidR="00303518" w:rsidRPr="004238BA">
        <w:rPr>
          <w:rFonts w:ascii="Bookman Old Style" w:eastAsia="Arial Unicode MS" w:hAnsi="Bookman Old Style" w:cs="Arial Unicode MS"/>
          <w:i/>
          <w:sz w:val="24"/>
          <w:szCs w:val="24"/>
        </w:rPr>
        <w:t xml:space="preserve"> </w:t>
      </w:r>
      <w:r w:rsidRPr="004238BA">
        <w:rPr>
          <w:rFonts w:ascii="Bookman Old Style" w:eastAsia="Arial Unicode MS" w:hAnsi="Bookman Old Style" w:cs="Arial Unicode MS"/>
          <w:i/>
          <w:sz w:val="24"/>
          <w:szCs w:val="24"/>
        </w:rPr>
        <w:t>(Anguill</w:t>
      </w:r>
      <w:r w:rsidR="004238BA" w:rsidRPr="004238BA">
        <w:rPr>
          <w:rFonts w:ascii="Bookman Old Style" w:eastAsia="Arial Unicode MS" w:hAnsi="Bookman Old Style" w:cs="Arial Unicode MS"/>
          <w:i/>
          <w:sz w:val="24"/>
          <w:szCs w:val="24"/>
        </w:rPr>
        <w:t>a</w:t>
      </w:r>
      <w:r w:rsidRPr="004238BA">
        <w:rPr>
          <w:rFonts w:ascii="Bookman Old Style" w:eastAsia="Arial Unicode MS" w:hAnsi="Bookman Old Style" w:cs="Arial Unicode MS"/>
          <w:i/>
          <w:sz w:val="24"/>
          <w:szCs w:val="24"/>
        </w:rPr>
        <w:t>) Limited and Other</w:t>
      </w:r>
      <w:r w:rsidR="004238BA" w:rsidRPr="004238BA">
        <w:rPr>
          <w:rFonts w:ascii="Bookman Old Style" w:eastAsia="Arial Unicode MS" w:hAnsi="Bookman Old Style" w:cs="Arial Unicode MS"/>
          <w:i/>
          <w:sz w:val="24"/>
          <w:szCs w:val="24"/>
        </w:rPr>
        <w:t>s</w:t>
      </w:r>
      <w:r w:rsidRPr="004238BA">
        <w:rPr>
          <w:rFonts w:ascii="Bookman Old Style" w:eastAsia="Arial Unicode MS" w:hAnsi="Bookman Old Style" w:cs="Arial Unicode MS"/>
          <w:i/>
          <w:sz w:val="24"/>
          <w:szCs w:val="24"/>
        </w:rPr>
        <w:t xml:space="preserve"> v Lazar and Another</w:t>
      </w:r>
      <w:r>
        <w:rPr>
          <w:rFonts w:ascii="Bookman Old Style" w:eastAsia="Arial Unicode MS" w:hAnsi="Bookman Old Style" w:cs="Arial Unicode MS"/>
          <w:sz w:val="24"/>
          <w:szCs w:val="24"/>
        </w:rPr>
        <w:t>.</w:t>
      </w:r>
      <w:r w:rsidR="004238BA">
        <w:rPr>
          <w:rStyle w:val="FootnoteReference"/>
          <w:rFonts w:ascii="Bookman Old Style" w:eastAsia="Arial Unicode MS" w:hAnsi="Bookman Old Style" w:cs="Arial Unicode MS"/>
          <w:sz w:val="24"/>
          <w:szCs w:val="24"/>
        </w:rPr>
        <w:footnoteReference w:id="113"/>
      </w:r>
      <w:r w:rsidR="004238BA">
        <w:rPr>
          <w:rFonts w:ascii="Bookman Old Style" w:eastAsia="Arial Unicode MS" w:hAnsi="Bookman Old Style" w:cs="Arial Unicode MS"/>
          <w:sz w:val="24"/>
          <w:szCs w:val="24"/>
        </w:rPr>
        <w:t xml:space="preserve"> In that</w:t>
      </w:r>
      <w:r>
        <w:rPr>
          <w:rFonts w:ascii="Bookman Old Style" w:eastAsia="Arial Unicode MS" w:hAnsi="Bookman Old Style" w:cs="Arial Unicode MS"/>
          <w:sz w:val="24"/>
          <w:szCs w:val="24"/>
        </w:rPr>
        <w:t xml:space="preserve"> case the plaintiff confronted by a series of defamatory allegations published by the defendants claimed a conspiracy to in</w:t>
      </w:r>
      <w:r w:rsidR="004238BA">
        <w:rPr>
          <w:rFonts w:ascii="Bookman Old Style" w:eastAsia="Arial Unicode MS" w:hAnsi="Bookman Old Style" w:cs="Arial Unicode MS"/>
          <w:sz w:val="24"/>
          <w:szCs w:val="24"/>
        </w:rPr>
        <w:t>j</w:t>
      </w:r>
      <w:r>
        <w:rPr>
          <w:rFonts w:ascii="Bookman Old Style" w:eastAsia="Arial Unicode MS" w:hAnsi="Bookman Old Style" w:cs="Arial Unicode MS"/>
          <w:sz w:val="24"/>
          <w:szCs w:val="24"/>
        </w:rPr>
        <w:t>ure and applied for an interim injunction. It was refused on the grounds that freedom of speech was an important factor to be taken into account.</w:t>
      </w:r>
      <w:r w:rsidR="00BD5999">
        <w:rPr>
          <w:rFonts w:ascii="Bookman Old Style" w:eastAsia="Arial Unicode MS" w:hAnsi="Bookman Old Style" w:cs="Arial Unicode MS"/>
          <w:sz w:val="24"/>
          <w:szCs w:val="24"/>
        </w:rPr>
        <w:t xml:space="preserve"> In the course of the judgment </w:t>
      </w:r>
      <w:r w:rsidR="00BD5999" w:rsidRPr="004238BA">
        <w:rPr>
          <w:rFonts w:ascii="Bookman Old Style" w:eastAsia="Arial Unicode MS" w:hAnsi="Bookman Old Style" w:cs="Arial Unicode MS"/>
          <w:i/>
          <w:sz w:val="24"/>
          <w:szCs w:val="24"/>
        </w:rPr>
        <w:t>Sir Nicolas Br</w:t>
      </w:r>
      <w:r w:rsidR="00FF3A09">
        <w:rPr>
          <w:rFonts w:ascii="Bookman Old Style" w:eastAsia="Arial Unicode MS" w:hAnsi="Bookman Old Style" w:cs="Arial Unicode MS"/>
          <w:i/>
          <w:sz w:val="24"/>
          <w:szCs w:val="24"/>
        </w:rPr>
        <w:t>owne Wilk</w:t>
      </w:r>
      <w:r w:rsidR="00270294">
        <w:rPr>
          <w:rFonts w:ascii="Bookman Old Style" w:eastAsia="Arial Unicode MS" w:hAnsi="Bookman Old Style" w:cs="Arial Unicode MS"/>
          <w:i/>
          <w:sz w:val="24"/>
          <w:szCs w:val="24"/>
        </w:rPr>
        <w:t>i</w:t>
      </w:r>
      <w:r w:rsidR="004238BA" w:rsidRPr="004238BA">
        <w:rPr>
          <w:rFonts w:ascii="Bookman Old Style" w:eastAsia="Arial Unicode MS" w:hAnsi="Bookman Old Style" w:cs="Arial Unicode MS"/>
          <w:i/>
          <w:sz w:val="24"/>
          <w:szCs w:val="24"/>
        </w:rPr>
        <w:t>ns</w:t>
      </w:r>
      <w:r w:rsidR="00270294">
        <w:rPr>
          <w:rFonts w:ascii="Bookman Old Style" w:eastAsia="Arial Unicode MS" w:hAnsi="Bookman Old Style" w:cs="Arial Unicode MS"/>
          <w:i/>
          <w:sz w:val="24"/>
          <w:szCs w:val="24"/>
        </w:rPr>
        <w:t xml:space="preserve">on V. C. </w:t>
      </w:r>
      <w:r w:rsidR="00270294" w:rsidRPr="00CF781B">
        <w:rPr>
          <w:rFonts w:ascii="Bookman Old Style" w:eastAsia="Arial Unicode MS" w:hAnsi="Bookman Old Style" w:cs="Arial Unicode MS"/>
          <w:sz w:val="24"/>
          <w:szCs w:val="24"/>
        </w:rPr>
        <w:t>m</w:t>
      </w:r>
      <w:r w:rsidR="005733BC" w:rsidRPr="00CF781B">
        <w:rPr>
          <w:rFonts w:ascii="Bookman Old Style" w:eastAsia="Arial Unicode MS" w:hAnsi="Bookman Old Style" w:cs="Arial Unicode MS"/>
          <w:sz w:val="24"/>
          <w:szCs w:val="24"/>
        </w:rPr>
        <w:t>ade</w:t>
      </w:r>
      <w:r w:rsidR="005733BC">
        <w:rPr>
          <w:rFonts w:ascii="Bookman Old Style" w:eastAsia="Arial Unicode MS" w:hAnsi="Bookman Old Style" w:cs="Arial Unicode MS"/>
          <w:sz w:val="24"/>
          <w:szCs w:val="24"/>
        </w:rPr>
        <w:t xml:space="preserve"> the following observation at page 400:</w:t>
      </w:r>
    </w:p>
    <w:p w:rsidR="005733BC" w:rsidRPr="00CF781B" w:rsidRDefault="005733BC" w:rsidP="00CF781B">
      <w:pPr>
        <w:spacing w:before="240" w:line="240" w:lineRule="auto"/>
        <w:jc w:val="both"/>
        <w:rPr>
          <w:rFonts w:ascii="Bookman Old Style" w:eastAsia="Arial Unicode MS" w:hAnsi="Bookman Old Style" w:cs="Arial Unicode MS"/>
          <w:i/>
          <w:sz w:val="24"/>
          <w:szCs w:val="24"/>
        </w:rPr>
      </w:pPr>
      <w:r w:rsidRPr="00660C2B">
        <w:rPr>
          <w:rFonts w:ascii="Bookman Old Style" w:eastAsia="Arial Unicode MS" w:hAnsi="Bookman Old Style" w:cs="Arial Unicode MS"/>
          <w:i/>
          <w:sz w:val="24"/>
          <w:szCs w:val="24"/>
        </w:rPr>
        <w:t>“Only in the very clearest cases such as existed in the Gulf Oil case would the interference with that public interest be justified in the grant of an injunction.”</w:t>
      </w:r>
      <w:r w:rsidR="0065347F" w:rsidRPr="00660C2B">
        <w:rPr>
          <w:rFonts w:ascii="Bookman Old Style" w:eastAsia="Arial Unicode MS" w:hAnsi="Bookman Old Style" w:cs="Arial Unicode MS"/>
          <w:i/>
          <w:sz w:val="24"/>
          <w:szCs w:val="24"/>
        </w:rPr>
        <w:t xml:space="preserve"> </w:t>
      </w:r>
    </w:p>
    <w:p w:rsidR="005733BC" w:rsidRDefault="005733BC"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It seems unlikely that the Courts will allow the rule in </w:t>
      </w:r>
      <w:r w:rsidRPr="005733BC">
        <w:rPr>
          <w:rFonts w:ascii="Bookman Old Style" w:eastAsia="Arial Unicode MS" w:hAnsi="Bookman Old Style" w:cs="Arial Unicode MS"/>
          <w:i/>
          <w:sz w:val="24"/>
          <w:szCs w:val="24"/>
        </w:rPr>
        <w:t>Bonnard v Perryman</w:t>
      </w:r>
      <w:r>
        <w:rPr>
          <w:rFonts w:ascii="Bookman Old Style" w:eastAsia="Arial Unicode MS" w:hAnsi="Bookman Old Style" w:cs="Arial Unicode MS"/>
          <w:sz w:val="24"/>
          <w:szCs w:val="24"/>
        </w:rPr>
        <w:t xml:space="preserve"> to be regularly avoided by alleging conspiracy to in</w:t>
      </w:r>
      <w:r w:rsidR="004238BA">
        <w:rPr>
          <w:rFonts w:ascii="Bookman Old Style" w:eastAsia="Arial Unicode MS" w:hAnsi="Bookman Old Style" w:cs="Arial Unicode MS"/>
          <w:sz w:val="24"/>
          <w:szCs w:val="24"/>
        </w:rPr>
        <w:t>j</w:t>
      </w:r>
      <w:r>
        <w:rPr>
          <w:rFonts w:ascii="Bookman Old Style" w:eastAsia="Arial Unicode MS" w:hAnsi="Bookman Old Style" w:cs="Arial Unicode MS"/>
          <w:sz w:val="24"/>
          <w:szCs w:val="24"/>
        </w:rPr>
        <w:t>ure.</w:t>
      </w:r>
      <w:r>
        <w:rPr>
          <w:rStyle w:val="FootnoteReference"/>
          <w:rFonts w:ascii="Bookman Old Style" w:eastAsia="Arial Unicode MS" w:hAnsi="Bookman Old Style" w:cs="Arial Unicode MS"/>
          <w:sz w:val="24"/>
          <w:szCs w:val="24"/>
        </w:rPr>
        <w:footnoteReference w:id="114"/>
      </w:r>
      <w:r w:rsidR="00BA2E80">
        <w:rPr>
          <w:rFonts w:ascii="Bookman Old Style" w:eastAsia="Arial Unicode MS" w:hAnsi="Bookman Old Style" w:cs="Arial Unicode MS"/>
          <w:sz w:val="24"/>
          <w:szCs w:val="24"/>
        </w:rPr>
        <w:t xml:space="preserve"> O</w:t>
      </w:r>
      <w:r w:rsidR="009A7B1B">
        <w:rPr>
          <w:rFonts w:ascii="Bookman Old Style" w:eastAsia="Arial Unicode MS" w:hAnsi="Bookman Old Style" w:cs="Arial Unicode MS"/>
          <w:sz w:val="24"/>
          <w:szCs w:val="24"/>
        </w:rPr>
        <w:t>n the facts o</w:t>
      </w:r>
      <w:r w:rsidR="00BA2E80">
        <w:rPr>
          <w:rFonts w:ascii="Bookman Old Style" w:eastAsia="Arial Unicode MS" w:hAnsi="Bookman Old Style" w:cs="Arial Unicode MS"/>
          <w:sz w:val="24"/>
          <w:szCs w:val="24"/>
        </w:rPr>
        <w:t>f this case, the question of conspiracy has not been pleaded</w:t>
      </w:r>
      <w:r w:rsidR="007822C8">
        <w:rPr>
          <w:rFonts w:ascii="Bookman Old Style" w:eastAsia="Arial Unicode MS" w:hAnsi="Bookman Old Style" w:cs="Arial Unicode MS"/>
          <w:sz w:val="24"/>
          <w:szCs w:val="24"/>
        </w:rPr>
        <w:t xml:space="preserve"> by the plaintiff</w:t>
      </w:r>
      <w:r w:rsidR="00BA2E80">
        <w:rPr>
          <w:rFonts w:ascii="Bookman Old Style" w:eastAsia="Arial Unicode MS" w:hAnsi="Bookman Old Style" w:cs="Arial Unicode MS"/>
          <w:sz w:val="24"/>
          <w:szCs w:val="24"/>
        </w:rPr>
        <w:t xml:space="preserve">, and therefore does not </w:t>
      </w:r>
      <w:r w:rsidR="007822C8">
        <w:rPr>
          <w:rFonts w:ascii="Bookman Old Style" w:eastAsia="Arial Unicode MS" w:hAnsi="Bookman Old Style" w:cs="Arial Unicode MS"/>
          <w:sz w:val="24"/>
          <w:szCs w:val="24"/>
        </w:rPr>
        <w:t>a</w:t>
      </w:r>
      <w:r w:rsidR="00BA2E80">
        <w:rPr>
          <w:rFonts w:ascii="Bookman Old Style" w:eastAsia="Arial Unicode MS" w:hAnsi="Bookman Old Style" w:cs="Arial Unicode MS"/>
          <w:sz w:val="24"/>
          <w:szCs w:val="24"/>
        </w:rPr>
        <w:t>rise.</w:t>
      </w:r>
    </w:p>
    <w:p w:rsidR="005733BC" w:rsidRPr="00660C2B" w:rsidRDefault="005733BC" w:rsidP="00153D09">
      <w:pPr>
        <w:spacing w:before="240" w:line="360" w:lineRule="auto"/>
        <w:jc w:val="both"/>
        <w:rPr>
          <w:rFonts w:ascii="Bookman Old Style" w:eastAsia="Arial Unicode MS" w:hAnsi="Bookman Old Style" w:cs="Arial Unicode MS"/>
          <w:b/>
          <w:sz w:val="24"/>
          <w:szCs w:val="24"/>
        </w:rPr>
      </w:pPr>
      <w:r w:rsidRPr="00660C2B">
        <w:rPr>
          <w:rFonts w:ascii="Bookman Old Style" w:eastAsia="Arial Unicode MS" w:hAnsi="Bookman Old Style" w:cs="Arial Unicode MS"/>
          <w:b/>
          <w:sz w:val="24"/>
          <w:szCs w:val="24"/>
        </w:rPr>
        <w:t xml:space="preserve">MALICE </w:t>
      </w:r>
    </w:p>
    <w:p w:rsidR="00660C2B" w:rsidRDefault="00BA5A3C"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Malice or “express” malice as is sometimes called is an important </w:t>
      </w:r>
      <w:r w:rsidR="008D4FB3">
        <w:rPr>
          <w:rFonts w:ascii="Bookman Old Style" w:eastAsia="Arial Unicode MS" w:hAnsi="Bookman Old Style" w:cs="Arial Unicode MS"/>
          <w:sz w:val="24"/>
          <w:szCs w:val="24"/>
        </w:rPr>
        <w:t>concept</w:t>
      </w:r>
      <w:r>
        <w:rPr>
          <w:rFonts w:ascii="Bookman Old Style" w:eastAsia="Arial Unicode MS" w:hAnsi="Bookman Old Style" w:cs="Arial Unicode MS"/>
          <w:sz w:val="24"/>
          <w:szCs w:val="24"/>
        </w:rPr>
        <w:t xml:space="preserve"> in the law of defamation.</w:t>
      </w:r>
      <w:r>
        <w:rPr>
          <w:rStyle w:val="FootnoteReference"/>
          <w:rFonts w:ascii="Bookman Old Style" w:eastAsia="Arial Unicode MS" w:hAnsi="Bookman Old Style" w:cs="Arial Unicode MS"/>
          <w:sz w:val="24"/>
          <w:szCs w:val="24"/>
        </w:rPr>
        <w:footnoteReference w:id="115"/>
      </w:r>
      <w:r>
        <w:rPr>
          <w:rFonts w:ascii="Bookman Old Style" w:eastAsia="Arial Unicode MS" w:hAnsi="Bookman Old Style" w:cs="Arial Unicode MS"/>
          <w:sz w:val="24"/>
          <w:szCs w:val="24"/>
        </w:rPr>
        <w:t xml:space="preserve"> </w:t>
      </w:r>
      <w:r w:rsidR="008D4FB3">
        <w:rPr>
          <w:rFonts w:ascii="Bookman Old Style" w:eastAsia="Arial Unicode MS" w:hAnsi="Bookman Old Style" w:cs="Arial Unicode MS"/>
          <w:sz w:val="24"/>
          <w:szCs w:val="24"/>
        </w:rPr>
        <w:t>It is a technical te</w:t>
      </w:r>
      <w:r w:rsidR="00270294">
        <w:rPr>
          <w:rFonts w:ascii="Bookman Old Style" w:eastAsia="Arial Unicode MS" w:hAnsi="Bookman Old Style" w:cs="Arial Unicode MS"/>
          <w:sz w:val="24"/>
          <w:szCs w:val="24"/>
        </w:rPr>
        <w:t>rm of art which is not necessarily</w:t>
      </w:r>
      <w:r w:rsidR="008D4FB3">
        <w:rPr>
          <w:rFonts w:ascii="Bookman Old Style" w:eastAsia="Arial Unicode MS" w:hAnsi="Bookman Old Style" w:cs="Arial Unicode MS"/>
          <w:sz w:val="24"/>
          <w:szCs w:val="24"/>
        </w:rPr>
        <w:t xml:space="preserve"> to be equated with is popular meaning.</w:t>
      </w:r>
      <w:r w:rsidR="008D4FB3">
        <w:rPr>
          <w:rStyle w:val="FootnoteReference"/>
          <w:rFonts w:ascii="Bookman Old Style" w:eastAsia="Arial Unicode MS" w:hAnsi="Bookman Old Style" w:cs="Arial Unicode MS"/>
          <w:sz w:val="24"/>
          <w:szCs w:val="24"/>
        </w:rPr>
        <w:footnoteReference w:id="116"/>
      </w:r>
      <w:r w:rsidR="008D4FB3">
        <w:rPr>
          <w:rFonts w:ascii="Bookman Old Style" w:eastAsia="Arial Unicode MS" w:hAnsi="Bookman Old Style" w:cs="Arial Unicode MS"/>
          <w:sz w:val="24"/>
          <w:szCs w:val="24"/>
        </w:rPr>
        <w:t xml:space="preserve"> Thus it means one thing in relation to </w:t>
      </w:r>
      <w:r w:rsidR="008D4FB3">
        <w:rPr>
          <w:rFonts w:ascii="Bookman Old Style" w:eastAsia="Arial Unicode MS" w:hAnsi="Bookman Old Style" w:cs="Arial Unicode MS"/>
          <w:sz w:val="24"/>
          <w:szCs w:val="24"/>
        </w:rPr>
        <w:lastRenderedPageBreak/>
        <w:t>murder, and something quite different in libel</w:t>
      </w:r>
      <w:r w:rsidR="00270294">
        <w:rPr>
          <w:rFonts w:ascii="Bookman Old Style" w:eastAsia="Arial Unicode MS" w:hAnsi="Bookman Old Style" w:cs="Arial Unicode MS"/>
          <w:sz w:val="24"/>
          <w:szCs w:val="24"/>
        </w:rPr>
        <w:t>.</w:t>
      </w:r>
      <w:r w:rsidR="008D4FB3">
        <w:rPr>
          <w:rStyle w:val="FootnoteReference"/>
          <w:rFonts w:ascii="Bookman Old Style" w:eastAsia="Arial Unicode MS" w:hAnsi="Bookman Old Style" w:cs="Arial Unicode MS"/>
          <w:sz w:val="24"/>
          <w:szCs w:val="24"/>
        </w:rPr>
        <w:footnoteReference w:id="117"/>
      </w:r>
      <w:r w:rsidR="008D4FB3">
        <w:rPr>
          <w:rFonts w:ascii="Bookman Old Style" w:eastAsia="Arial Unicode MS" w:hAnsi="Bookman Old Style" w:cs="Arial Unicode MS"/>
          <w:sz w:val="24"/>
          <w:szCs w:val="24"/>
        </w:rPr>
        <w:t xml:space="preserve"> </w:t>
      </w:r>
      <w:r w:rsidR="00270294">
        <w:rPr>
          <w:rFonts w:ascii="Bookman Old Style" w:eastAsia="Arial Unicode MS" w:hAnsi="Bookman Old Style" w:cs="Arial Unicode MS"/>
          <w:sz w:val="24"/>
          <w:szCs w:val="24"/>
        </w:rPr>
        <w:t>M</w:t>
      </w:r>
      <w:r w:rsidR="00A040D3">
        <w:rPr>
          <w:rFonts w:ascii="Bookman Old Style" w:eastAsia="Arial Unicode MS" w:hAnsi="Bookman Old Style" w:cs="Arial Unicode MS"/>
          <w:sz w:val="24"/>
          <w:szCs w:val="24"/>
        </w:rPr>
        <w:t>alice for purposes of defamation law is a dominant improper motive for publishing the statement.</w:t>
      </w:r>
      <w:r w:rsidR="00A040D3">
        <w:rPr>
          <w:rStyle w:val="FootnoteReference"/>
          <w:rFonts w:ascii="Bookman Old Style" w:eastAsia="Arial Unicode MS" w:hAnsi="Bookman Old Style" w:cs="Arial Unicode MS"/>
          <w:sz w:val="24"/>
          <w:szCs w:val="24"/>
        </w:rPr>
        <w:footnoteReference w:id="118"/>
      </w:r>
      <w:r w:rsidR="004628EB">
        <w:rPr>
          <w:rFonts w:ascii="Bookman Old Style" w:eastAsia="Arial Unicode MS" w:hAnsi="Bookman Old Style" w:cs="Arial Unicode MS"/>
          <w:sz w:val="24"/>
          <w:szCs w:val="24"/>
        </w:rPr>
        <w:t xml:space="preserve"> For practical purposes it is simpler to recognise that malice generally equates to the defendant knowing that what he is publishing</w:t>
      </w:r>
      <w:r w:rsidR="006969B7">
        <w:rPr>
          <w:rFonts w:ascii="Bookman Old Style" w:eastAsia="Arial Unicode MS" w:hAnsi="Bookman Old Style" w:cs="Arial Unicode MS"/>
          <w:sz w:val="24"/>
          <w:szCs w:val="24"/>
        </w:rPr>
        <w:t xml:space="preserve"> is false</w:t>
      </w:r>
      <w:r w:rsidR="00270294">
        <w:rPr>
          <w:rFonts w:ascii="Bookman Old Style" w:eastAsia="Arial Unicode MS" w:hAnsi="Bookman Old Style" w:cs="Arial Unicode MS"/>
          <w:sz w:val="24"/>
          <w:szCs w:val="24"/>
        </w:rPr>
        <w:t>,</w:t>
      </w:r>
      <w:r w:rsidR="006969B7">
        <w:rPr>
          <w:rFonts w:ascii="Bookman Old Style" w:eastAsia="Arial Unicode MS" w:hAnsi="Bookman Old Style" w:cs="Arial Unicode MS"/>
          <w:sz w:val="24"/>
          <w:szCs w:val="24"/>
        </w:rPr>
        <w:t xml:space="preserve"> or being indifferent as to whether it is true or false.</w:t>
      </w:r>
      <w:r w:rsidR="006969B7">
        <w:rPr>
          <w:rStyle w:val="FootnoteReference"/>
          <w:rFonts w:ascii="Bookman Old Style" w:eastAsia="Arial Unicode MS" w:hAnsi="Bookman Old Style" w:cs="Arial Unicode MS"/>
          <w:sz w:val="24"/>
          <w:szCs w:val="24"/>
        </w:rPr>
        <w:footnoteReference w:id="119"/>
      </w:r>
      <w:r w:rsidR="004628EB">
        <w:rPr>
          <w:rFonts w:ascii="Bookman Old Style" w:eastAsia="Arial Unicode MS" w:hAnsi="Bookman Old Style" w:cs="Arial Unicode MS"/>
          <w:sz w:val="24"/>
          <w:szCs w:val="24"/>
        </w:rPr>
        <w:t xml:space="preserve"> </w:t>
      </w:r>
      <w:r w:rsidR="006969B7">
        <w:rPr>
          <w:rFonts w:ascii="Bookman Old Style" w:eastAsia="Arial Unicode MS" w:hAnsi="Bookman Old Style" w:cs="Arial Unicode MS"/>
          <w:sz w:val="24"/>
          <w:szCs w:val="24"/>
        </w:rPr>
        <w:t>It is often referred to as “</w:t>
      </w:r>
      <w:r w:rsidR="006969B7" w:rsidRPr="006969B7">
        <w:rPr>
          <w:rFonts w:ascii="Bookman Old Style" w:eastAsia="Arial Unicode MS" w:hAnsi="Bookman Old Style" w:cs="Arial Unicode MS"/>
          <w:i/>
          <w:sz w:val="24"/>
          <w:szCs w:val="24"/>
        </w:rPr>
        <w:t>absence of honest belief</w:t>
      </w:r>
      <w:r w:rsidR="006969B7">
        <w:rPr>
          <w:rFonts w:ascii="Bookman Old Style" w:eastAsia="Arial Unicode MS" w:hAnsi="Bookman Old Style" w:cs="Arial Unicode MS"/>
          <w:sz w:val="24"/>
          <w:szCs w:val="24"/>
        </w:rPr>
        <w:t>.”</w:t>
      </w:r>
      <w:r w:rsidR="006969B7">
        <w:rPr>
          <w:rStyle w:val="FootnoteReference"/>
          <w:rFonts w:ascii="Bookman Old Style" w:eastAsia="Arial Unicode MS" w:hAnsi="Bookman Old Style" w:cs="Arial Unicode MS"/>
          <w:sz w:val="24"/>
          <w:szCs w:val="24"/>
        </w:rPr>
        <w:footnoteReference w:id="120"/>
      </w:r>
      <w:r w:rsidR="004628EB">
        <w:rPr>
          <w:rFonts w:ascii="Bookman Old Style" w:eastAsia="Arial Unicode MS" w:hAnsi="Bookman Old Style" w:cs="Arial Unicode MS"/>
          <w:sz w:val="24"/>
          <w:szCs w:val="24"/>
        </w:rPr>
        <w:t xml:space="preserve"> </w:t>
      </w:r>
      <w:r w:rsidR="006969B7">
        <w:rPr>
          <w:rFonts w:ascii="Bookman Old Style" w:eastAsia="Arial Unicode MS" w:hAnsi="Bookman Old Style" w:cs="Arial Unicode MS"/>
          <w:sz w:val="24"/>
          <w:szCs w:val="24"/>
        </w:rPr>
        <w:t>Malice is a subjective matter, and is entirely dependent on what is going through the defendant’s mind at the date of publication.</w:t>
      </w:r>
      <w:r w:rsidR="006969B7">
        <w:rPr>
          <w:rStyle w:val="FootnoteReference"/>
          <w:rFonts w:ascii="Bookman Old Style" w:eastAsia="Arial Unicode MS" w:hAnsi="Bookman Old Style" w:cs="Arial Unicode MS"/>
          <w:sz w:val="24"/>
          <w:szCs w:val="24"/>
        </w:rPr>
        <w:footnoteReference w:id="121"/>
      </w:r>
      <w:r w:rsidR="004628EB">
        <w:rPr>
          <w:rFonts w:ascii="Bookman Old Style" w:eastAsia="Arial Unicode MS" w:hAnsi="Bookman Old Style" w:cs="Arial Unicode MS"/>
          <w:sz w:val="24"/>
          <w:szCs w:val="24"/>
        </w:rPr>
        <w:t xml:space="preserve"> </w:t>
      </w:r>
      <w:r w:rsidR="006969B7">
        <w:rPr>
          <w:rFonts w:ascii="Bookman Old Style" w:eastAsia="Arial Unicode MS" w:hAnsi="Bookman Old Style" w:cs="Arial Unicode MS"/>
          <w:sz w:val="24"/>
          <w:szCs w:val="24"/>
        </w:rPr>
        <w:t xml:space="preserve">How then can a claimant prove the defendant’s state of mind at the date of publication. Bowen L.J. observed in </w:t>
      </w:r>
      <w:r w:rsidR="006969B7" w:rsidRPr="006969B7">
        <w:rPr>
          <w:rFonts w:ascii="Bookman Old Style" w:eastAsia="Arial Unicode MS" w:hAnsi="Bookman Old Style" w:cs="Arial Unicode MS"/>
          <w:i/>
          <w:sz w:val="24"/>
          <w:szCs w:val="24"/>
        </w:rPr>
        <w:t>Edginton v Fitzmaurice</w:t>
      </w:r>
      <w:r w:rsidR="006969B7">
        <w:rPr>
          <w:rStyle w:val="FootnoteReference"/>
          <w:rFonts w:ascii="Bookman Old Style" w:eastAsia="Arial Unicode MS" w:hAnsi="Bookman Old Style" w:cs="Arial Unicode MS"/>
          <w:sz w:val="24"/>
          <w:szCs w:val="24"/>
        </w:rPr>
        <w:footnoteReference w:id="122"/>
      </w:r>
      <w:r w:rsidR="006969B7">
        <w:rPr>
          <w:rFonts w:ascii="Bookman Old Style" w:eastAsia="Arial Unicode MS" w:hAnsi="Bookman Old Style" w:cs="Arial Unicode MS"/>
          <w:sz w:val="24"/>
          <w:szCs w:val="24"/>
        </w:rPr>
        <w:t xml:space="preserve"> that:</w:t>
      </w:r>
    </w:p>
    <w:p w:rsidR="006969B7" w:rsidRPr="006861B0" w:rsidRDefault="006969B7" w:rsidP="00153D09">
      <w:pPr>
        <w:spacing w:before="240" w:line="360" w:lineRule="auto"/>
        <w:jc w:val="both"/>
        <w:rPr>
          <w:rFonts w:ascii="Bookman Old Style" w:eastAsia="Arial Unicode MS" w:hAnsi="Bookman Old Style" w:cs="Arial Unicode MS"/>
          <w:i/>
          <w:sz w:val="24"/>
          <w:szCs w:val="24"/>
        </w:rPr>
      </w:pPr>
      <w:r w:rsidRPr="006861B0">
        <w:rPr>
          <w:rFonts w:ascii="Bookman Old Style" w:eastAsia="Arial Unicode MS" w:hAnsi="Bookman Old Style" w:cs="Arial Unicode MS"/>
          <w:i/>
          <w:sz w:val="24"/>
          <w:szCs w:val="24"/>
        </w:rPr>
        <w:t>“The state of a man’s mind is much a fact as the state of his digestion.”</w:t>
      </w:r>
    </w:p>
    <w:p w:rsidR="006969B7" w:rsidRDefault="006969B7"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Malice is notoriously difficult to prove. The usual way to prove malice is by drawing inferences from the conduct, and the information available to a plaintiff.</w:t>
      </w:r>
      <w:r w:rsidR="003F2A95">
        <w:rPr>
          <w:rFonts w:ascii="Bookman Old Style" w:eastAsia="Arial Unicode MS" w:hAnsi="Bookman Old Style" w:cs="Arial Unicode MS"/>
          <w:sz w:val="24"/>
          <w:szCs w:val="24"/>
        </w:rPr>
        <w:t xml:space="preserve"> It</w:t>
      </w:r>
      <w:r w:rsidR="006861B0">
        <w:rPr>
          <w:rFonts w:ascii="Bookman Old Style" w:eastAsia="Arial Unicode MS" w:hAnsi="Bookman Old Style" w:cs="Arial Unicode MS"/>
          <w:sz w:val="24"/>
          <w:szCs w:val="24"/>
        </w:rPr>
        <w:t xml:space="preserve"> may be wondered why malice is important in the law of defamation. Malice is important because:</w:t>
      </w:r>
      <w:r w:rsidR="006861B0">
        <w:rPr>
          <w:rStyle w:val="FootnoteReference"/>
          <w:rFonts w:ascii="Bookman Old Style" w:eastAsia="Arial Unicode MS" w:hAnsi="Bookman Old Style" w:cs="Arial Unicode MS"/>
          <w:sz w:val="24"/>
          <w:szCs w:val="24"/>
        </w:rPr>
        <w:footnoteReference w:id="123"/>
      </w:r>
      <w:r>
        <w:rPr>
          <w:rFonts w:ascii="Bookman Old Style" w:eastAsia="Arial Unicode MS" w:hAnsi="Bookman Old Style" w:cs="Arial Unicode MS"/>
          <w:sz w:val="24"/>
          <w:szCs w:val="24"/>
        </w:rPr>
        <w:t xml:space="preserve"> </w:t>
      </w:r>
    </w:p>
    <w:p w:rsidR="00A040D3" w:rsidRDefault="006861B0" w:rsidP="006861B0">
      <w:pPr>
        <w:pStyle w:val="ListParagraph"/>
        <w:numPr>
          <w:ilvl w:val="0"/>
          <w:numId w:val="23"/>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It defeats a def</w:t>
      </w:r>
      <w:r w:rsidR="00C56B82">
        <w:rPr>
          <w:rFonts w:ascii="Bookman Old Style" w:eastAsia="Arial Unicode MS" w:hAnsi="Bookman Old Style" w:cs="Arial Unicode MS"/>
          <w:sz w:val="24"/>
          <w:szCs w:val="24"/>
        </w:rPr>
        <w:t xml:space="preserve">ence of qualified privilege. Malice is most commonly alleged to defeat a duty, and interest based qualified privilege; </w:t>
      </w:r>
    </w:p>
    <w:p w:rsidR="00C56B82" w:rsidRDefault="00270294" w:rsidP="006861B0">
      <w:pPr>
        <w:pStyle w:val="ListParagraph"/>
        <w:numPr>
          <w:ilvl w:val="0"/>
          <w:numId w:val="23"/>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It defea</w:t>
      </w:r>
      <w:r w:rsidR="00C56B82">
        <w:rPr>
          <w:rFonts w:ascii="Bookman Old Style" w:eastAsia="Arial Unicode MS" w:hAnsi="Bookman Old Style" w:cs="Arial Unicode MS"/>
          <w:sz w:val="24"/>
          <w:szCs w:val="24"/>
        </w:rPr>
        <w:t>ts a defence of fair comment. This is much more less common and more difficult to establish. Improper m</w:t>
      </w:r>
      <w:r>
        <w:rPr>
          <w:rFonts w:ascii="Bookman Old Style" w:eastAsia="Arial Unicode MS" w:hAnsi="Bookman Old Style" w:cs="Arial Unicode MS"/>
          <w:sz w:val="24"/>
          <w:szCs w:val="24"/>
        </w:rPr>
        <w:t>otivation alone will not suffice</w:t>
      </w:r>
      <w:r w:rsidR="00C56B82">
        <w:rPr>
          <w:rFonts w:ascii="Bookman Old Style" w:eastAsia="Arial Unicode MS" w:hAnsi="Bookman Old Style" w:cs="Arial Unicode MS"/>
          <w:sz w:val="24"/>
          <w:szCs w:val="24"/>
        </w:rPr>
        <w:t xml:space="preserve">; </w:t>
      </w:r>
    </w:p>
    <w:p w:rsidR="00C56B82" w:rsidRDefault="00270294" w:rsidP="006861B0">
      <w:pPr>
        <w:pStyle w:val="ListParagraph"/>
        <w:numPr>
          <w:ilvl w:val="0"/>
          <w:numId w:val="23"/>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It defea</w:t>
      </w:r>
      <w:r w:rsidR="00C56B82">
        <w:rPr>
          <w:rFonts w:ascii="Bookman Old Style" w:eastAsia="Arial Unicode MS" w:hAnsi="Bookman Old Style" w:cs="Arial Unicode MS"/>
          <w:sz w:val="24"/>
          <w:szCs w:val="24"/>
        </w:rPr>
        <w:t xml:space="preserve">ts a defence of offer of amends; </w:t>
      </w:r>
    </w:p>
    <w:p w:rsidR="00C56B82" w:rsidRDefault="00C56B82" w:rsidP="006861B0">
      <w:pPr>
        <w:pStyle w:val="ListParagraph"/>
        <w:numPr>
          <w:ilvl w:val="0"/>
          <w:numId w:val="23"/>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defendant cannot rely on justification where he maliciously refers to a </w:t>
      </w:r>
      <w:r w:rsidR="00270294">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spent</w:t>
      </w:r>
      <w:r w:rsidR="00270294">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conviction;</w:t>
      </w:r>
    </w:p>
    <w:p w:rsidR="00C56B82" w:rsidRDefault="00270294" w:rsidP="006861B0">
      <w:pPr>
        <w:pStyle w:val="ListParagraph"/>
        <w:numPr>
          <w:ilvl w:val="0"/>
          <w:numId w:val="23"/>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It is a necessary element of</w:t>
      </w:r>
      <w:r w:rsidR="00C56B82">
        <w:rPr>
          <w:rFonts w:ascii="Bookman Old Style" w:eastAsia="Arial Unicode MS" w:hAnsi="Bookman Old Style" w:cs="Arial Unicode MS"/>
          <w:sz w:val="24"/>
          <w:szCs w:val="24"/>
        </w:rPr>
        <w:t xml:space="preserve"> malicious falsehood; and </w:t>
      </w:r>
    </w:p>
    <w:p w:rsidR="00C56B82" w:rsidRDefault="00270294" w:rsidP="006861B0">
      <w:pPr>
        <w:pStyle w:val="ListParagraph"/>
        <w:numPr>
          <w:ilvl w:val="0"/>
          <w:numId w:val="23"/>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It aggravates the damages, and is a </w:t>
      </w:r>
      <w:r w:rsidR="003F2A95">
        <w:rPr>
          <w:rFonts w:ascii="Bookman Old Style" w:eastAsia="Arial Unicode MS" w:hAnsi="Bookman Old Style" w:cs="Arial Unicode MS"/>
          <w:sz w:val="24"/>
          <w:szCs w:val="24"/>
        </w:rPr>
        <w:t>necessary element in a claim fo</w:t>
      </w:r>
      <w:r>
        <w:rPr>
          <w:rFonts w:ascii="Bookman Old Style" w:eastAsia="Arial Unicode MS" w:hAnsi="Bookman Old Style" w:cs="Arial Unicode MS"/>
          <w:sz w:val="24"/>
          <w:szCs w:val="24"/>
        </w:rPr>
        <w:t xml:space="preserve">r </w:t>
      </w:r>
      <w:r w:rsidR="00C56B82">
        <w:rPr>
          <w:rFonts w:ascii="Bookman Old Style" w:eastAsia="Arial Unicode MS" w:hAnsi="Bookman Old Style" w:cs="Arial Unicode MS"/>
          <w:sz w:val="24"/>
          <w:szCs w:val="24"/>
        </w:rPr>
        <w:t>exemplary damages.</w:t>
      </w:r>
    </w:p>
    <w:p w:rsidR="00C56B82" w:rsidRDefault="00C56B82" w:rsidP="00C56B82">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lastRenderedPageBreak/>
        <w:t>How then can malice be inferred? The sources of malice can be placed in fo</w:t>
      </w:r>
      <w:r w:rsidR="003F2A95">
        <w:rPr>
          <w:rFonts w:ascii="Bookman Old Style" w:eastAsia="Arial Unicode MS" w:hAnsi="Bookman Old Style" w:cs="Arial Unicode MS"/>
          <w:sz w:val="24"/>
          <w:szCs w:val="24"/>
        </w:rPr>
        <w:t>u</w:t>
      </w:r>
      <w:r>
        <w:rPr>
          <w:rFonts w:ascii="Bookman Old Style" w:eastAsia="Arial Unicode MS" w:hAnsi="Bookman Old Style" w:cs="Arial Unicode MS"/>
          <w:sz w:val="24"/>
          <w:szCs w:val="24"/>
        </w:rPr>
        <w:t>r categories:</w:t>
      </w:r>
      <w:r>
        <w:rPr>
          <w:rStyle w:val="FootnoteReference"/>
          <w:rFonts w:ascii="Bookman Old Style" w:eastAsia="Arial Unicode MS" w:hAnsi="Bookman Old Style" w:cs="Arial Unicode MS"/>
          <w:sz w:val="24"/>
          <w:szCs w:val="24"/>
        </w:rPr>
        <w:footnoteReference w:id="124"/>
      </w:r>
      <w:r>
        <w:rPr>
          <w:rFonts w:ascii="Bookman Old Style" w:eastAsia="Arial Unicode MS" w:hAnsi="Bookman Old Style" w:cs="Arial Unicode MS"/>
          <w:sz w:val="24"/>
          <w:szCs w:val="24"/>
        </w:rPr>
        <w:t xml:space="preserve"> </w:t>
      </w:r>
    </w:p>
    <w:p w:rsidR="00C56B82" w:rsidRDefault="00C56B82" w:rsidP="00C56B82">
      <w:pPr>
        <w:pStyle w:val="ListParagraph"/>
        <w:numPr>
          <w:ilvl w:val="0"/>
          <w:numId w:val="24"/>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Extrinsic evidence; that is to say something outside the libellous statement itself;</w:t>
      </w:r>
    </w:p>
    <w:p w:rsidR="00E77811" w:rsidRDefault="00C56B82" w:rsidP="00C56B82">
      <w:pPr>
        <w:pStyle w:val="ListParagraph"/>
        <w:numPr>
          <w:ilvl w:val="0"/>
          <w:numId w:val="24"/>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Intrinsic evidence, that is to say, something contained in the libellous statement itself</w:t>
      </w:r>
      <w:r w:rsidR="00E77811">
        <w:rPr>
          <w:rFonts w:ascii="Bookman Old Style" w:eastAsia="Arial Unicode MS" w:hAnsi="Bookman Old Style" w:cs="Arial Unicode MS"/>
          <w:sz w:val="24"/>
          <w:szCs w:val="24"/>
        </w:rPr>
        <w:t>;</w:t>
      </w:r>
    </w:p>
    <w:p w:rsidR="00E77811" w:rsidRDefault="00E77811" w:rsidP="00C56B82">
      <w:pPr>
        <w:pStyle w:val="ListParagraph"/>
        <w:numPr>
          <w:ilvl w:val="0"/>
          <w:numId w:val="24"/>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circumstances of the publication; and </w:t>
      </w:r>
    </w:p>
    <w:p w:rsidR="00E77811" w:rsidRDefault="00E77811" w:rsidP="00C56B82">
      <w:pPr>
        <w:pStyle w:val="ListParagraph"/>
        <w:numPr>
          <w:ilvl w:val="0"/>
          <w:numId w:val="24"/>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conduct of the defendant in the course of the litigation; and </w:t>
      </w:r>
      <w:r w:rsidR="00270294">
        <w:rPr>
          <w:rFonts w:ascii="Bookman Old Style" w:eastAsia="Arial Unicode MS" w:hAnsi="Bookman Old Style" w:cs="Arial Unicode MS"/>
          <w:sz w:val="24"/>
          <w:szCs w:val="24"/>
        </w:rPr>
        <w:t xml:space="preserve">at </w:t>
      </w:r>
      <w:r>
        <w:rPr>
          <w:rFonts w:ascii="Bookman Old Style" w:eastAsia="Arial Unicode MS" w:hAnsi="Bookman Old Style" w:cs="Arial Unicode MS"/>
          <w:sz w:val="24"/>
          <w:szCs w:val="24"/>
        </w:rPr>
        <w:t xml:space="preserve">trial. </w:t>
      </w:r>
    </w:p>
    <w:p w:rsidR="00F81961" w:rsidRDefault="00E77811" w:rsidP="00E77811">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It is noteworthy that</w:t>
      </w:r>
      <w:r w:rsidR="00270294">
        <w:rPr>
          <w:rFonts w:ascii="Bookman Old Style" w:eastAsia="Arial Unicode MS" w:hAnsi="Bookman Old Style" w:cs="Arial Unicode MS"/>
          <w:sz w:val="24"/>
          <w:szCs w:val="24"/>
        </w:rPr>
        <w:t xml:space="preserve"> according to Cockburn C.J. in </w:t>
      </w:r>
      <w:r w:rsidR="00270294" w:rsidRPr="00270294">
        <w:rPr>
          <w:rFonts w:ascii="Bookman Old Style" w:eastAsia="Arial Unicode MS" w:hAnsi="Bookman Old Style" w:cs="Arial Unicode MS"/>
          <w:i/>
          <w:sz w:val="24"/>
          <w:szCs w:val="24"/>
        </w:rPr>
        <w:t>S</w:t>
      </w:r>
      <w:r w:rsidRPr="00270294">
        <w:rPr>
          <w:rFonts w:ascii="Bookman Old Style" w:eastAsia="Arial Unicode MS" w:hAnsi="Bookman Old Style" w:cs="Arial Unicode MS"/>
          <w:i/>
          <w:sz w:val="24"/>
          <w:szCs w:val="24"/>
        </w:rPr>
        <w:t>pill v Maule</w:t>
      </w:r>
      <w:r w:rsidR="00CF781B">
        <w:rPr>
          <w:rFonts w:ascii="Bookman Old Style" w:eastAsia="Arial Unicode MS" w:hAnsi="Bookman Old Style" w:cs="Arial Unicode MS"/>
          <w:i/>
          <w:sz w:val="24"/>
          <w:szCs w:val="24"/>
        </w:rPr>
        <w:t>,</w:t>
      </w:r>
      <w:r>
        <w:rPr>
          <w:rStyle w:val="FootnoteReference"/>
          <w:rFonts w:ascii="Bookman Old Style" w:eastAsia="Arial Unicode MS" w:hAnsi="Bookman Old Style" w:cs="Arial Unicode MS"/>
          <w:sz w:val="24"/>
          <w:szCs w:val="24"/>
        </w:rPr>
        <w:footnoteReference w:id="125"/>
      </w:r>
      <w:r w:rsidR="00185B24">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 xml:space="preserve">malice may be </w:t>
      </w:r>
      <w:r w:rsidR="00F81961">
        <w:rPr>
          <w:rFonts w:ascii="Bookman Old Style" w:eastAsia="Arial Unicode MS" w:hAnsi="Bookman Old Style" w:cs="Arial Unicode MS"/>
          <w:sz w:val="24"/>
          <w:szCs w:val="24"/>
        </w:rPr>
        <w:t>inferred in the following circumstances:</w:t>
      </w:r>
    </w:p>
    <w:p w:rsidR="00F81961" w:rsidRPr="00270294" w:rsidRDefault="00F81961" w:rsidP="00270294">
      <w:pPr>
        <w:spacing w:before="240" w:line="240" w:lineRule="auto"/>
        <w:jc w:val="both"/>
        <w:rPr>
          <w:rFonts w:ascii="Bookman Old Style" w:eastAsia="Arial Unicode MS" w:hAnsi="Bookman Old Style" w:cs="Arial Unicode MS"/>
          <w:i/>
          <w:sz w:val="24"/>
          <w:szCs w:val="24"/>
        </w:rPr>
      </w:pPr>
      <w:r w:rsidRPr="001425B3">
        <w:rPr>
          <w:rFonts w:ascii="Bookman Old Style" w:eastAsia="Arial Unicode MS" w:hAnsi="Bookman Old Style" w:cs="Arial Unicode MS"/>
          <w:i/>
          <w:sz w:val="24"/>
          <w:szCs w:val="24"/>
        </w:rPr>
        <w:t>“It may be that the language used in a libel though under other circumstances justifiable may be so much to</w:t>
      </w:r>
      <w:r w:rsidR="00270294">
        <w:rPr>
          <w:rFonts w:ascii="Bookman Old Style" w:eastAsia="Arial Unicode MS" w:hAnsi="Bookman Old Style" w:cs="Arial Unicode MS"/>
          <w:i/>
          <w:sz w:val="24"/>
          <w:szCs w:val="24"/>
        </w:rPr>
        <w:t>o</w:t>
      </w:r>
      <w:r w:rsidRPr="001425B3">
        <w:rPr>
          <w:rFonts w:ascii="Bookman Old Style" w:eastAsia="Arial Unicode MS" w:hAnsi="Bookman Old Style" w:cs="Arial Unicode MS"/>
          <w:i/>
          <w:sz w:val="24"/>
          <w:szCs w:val="24"/>
        </w:rPr>
        <w:t xml:space="preserve"> violent for the occasion and circumstances.... as to form strong evidence of malice.... and that an inference of actual malice may be drawn from its use.”</w:t>
      </w:r>
    </w:p>
    <w:p w:rsidR="00F81961" w:rsidRDefault="00F81961" w:rsidP="00E77811">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Sir Donold Nicholls expressed the point under discussion in </w:t>
      </w:r>
      <w:r w:rsidRPr="00F81961">
        <w:rPr>
          <w:rFonts w:ascii="Bookman Old Style" w:eastAsia="Arial Unicode MS" w:hAnsi="Bookman Old Style" w:cs="Arial Unicode MS"/>
          <w:i/>
          <w:sz w:val="24"/>
          <w:szCs w:val="24"/>
        </w:rPr>
        <w:t>Joyce v Senguta</w:t>
      </w:r>
      <w:r w:rsidR="00565963">
        <w:rPr>
          <w:rStyle w:val="FootnoteReference"/>
          <w:rFonts w:ascii="Bookman Old Style" w:eastAsia="Arial Unicode MS" w:hAnsi="Bookman Old Style" w:cs="Arial Unicode MS"/>
          <w:i/>
          <w:sz w:val="24"/>
          <w:szCs w:val="24"/>
        </w:rPr>
        <w:footnoteReference w:id="126"/>
      </w:r>
      <w:r>
        <w:rPr>
          <w:rFonts w:ascii="Bookman Old Style" w:eastAsia="Arial Unicode MS" w:hAnsi="Bookman Old Style" w:cs="Arial Unicode MS"/>
          <w:sz w:val="24"/>
          <w:szCs w:val="24"/>
        </w:rPr>
        <w:t xml:space="preserve"> in the following terms:</w:t>
      </w:r>
    </w:p>
    <w:p w:rsidR="00A06108" w:rsidRPr="00A06108" w:rsidRDefault="00F81961" w:rsidP="00A06108">
      <w:pPr>
        <w:spacing w:before="240" w:line="240" w:lineRule="auto"/>
        <w:jc w:val="both"/>
        <w:rPr>
          <w:rFonts w:ascii="Bookman Old Style" w:eastAsia="Arial Unicode MS" w:hAnsi="Bookman Old Style" w:cs="Arial Unicode MS"/>
          <w:i/>
          <w:sz w:val="24"/>
          <w:szCs w:val="24"/>
        </w:rPr>
      </w:pPr>
      <w:r w:rsidRPr="00A06108">
        <w:rPr>
          <w:rFonts w:ascii="Bookman Old Style" w:eastAsia="Arial Unicode MS" w:hAnsi="Bookman Old Style" w:cs="Arial Unicode MS"/>
          <w:i/>
          <w:sz w:val="24"/>
          <w:szCs w:val="24"/>
        </w:rPr>
        <w:t>“Malice is to be inferred from the grossness and falsity of the assertions and the cavalier way in which they were expressed.”</w:t>
      </w:r>
      <w:r w:rsidR="00DB7D91" w:rsidRPr="00A06108">
        <w:rPr>
          <w:rFonts w:ascii="Bookman Old Style" w:eastAsia="Arial Unicode MS" w:hAnsi="Bookman Old Style" w:cs="Arial Unicode MS"/>
          <w:i/>
          <w:sz w:val="24"/>
          <w:szCs w:val="24"/>
        </w:rPr>
        <w:t xml:space="preserve"> </w:t>
      </w:r>
    </w:p>
    <w:p w:rsidR="00542518" w:rsidRDefault="00DB7D91" w:rsidP="00E77811">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It must be noticed that there is n</w:t>
      </w:r>
      <w:r w:rsidR="00270294">
        <w:rPr>
          <w:rFonts w:ascii="Bookman Old Style" w:eastAsia="Arial Unicode MS" w:hAnsi="Bookman Old Style" w:cs="Arial Unicode MS"/>
          <w:sz w:val="24"/>
          <w:szCs w:val="24"/>
        </w:rPr>
        <w:t>o</w:t>
      </w:r>
      <w:r>
        <w:rPr>
          <w:rFonts w:ascii="Bookman Old Style" w:eastAsia="Arial Unicode MS" w:hAnsi="Bookman Old Style" w:cs="Arial Unicode MS"/>
          <w:sz w:val="24"/>
          <w:szCs w:val="24"/>
        </w:rPr>
        <w:t xml:space="preserve"> need for the claimant to prove malice in order to establish a cause of action in defamation.</w:t>
      </w:r>
      <w:r>
        <w:rPr>
          <w:rStyle w:val="FootnoteReference"/>
          <w:rFonts w:ascii="Bookman Old Style" w:eastAsia="Arial Unicode MS" w:hAnsi="Bookman Old Style" w:cs="Arial Unicode MS"/>
          <w:sz w:val="24"/>
          <w:szCs w:val="24"/>
        </w:rPr>
        <w:footnoteReference w:id="127"/>
      </w:r>
      <w:r>
        <w:rPr>
          <w:rFonts w:ascii="Bookman Old Style" w:eastAsia="Arial Unicode MS" w:hAnsi="Bookman Old Style" w:cs="Arial Unicode MS"/>
          <w:sz w:val="24"/>
          <w:szCs w:val="24"/>
        </w:rPr>
        <w:t xml:space="preserve"> </w:t>
      </w:r>
      <w:r w:rsidR="00A06108">
        <w:rPr>
          <w:rFonts w:ascii="Bookman Old Style" w:eastAsia="Arial Unicode MS" w:hAnsi="Bookman Old Style" w:cs="Arial Unicode MS"/>
          <w:sz w:val="24"/>
          <w:szCs w:val="24"/>
        </w:rPr>
        <w:t>The most common application of malice is to defeat a defence of qualified privilege based on the corresponding duties and interest.</w:t>
      </w:r>
      <w:r w:rsidR="00DC31EB">
        <w:rPr>
          <w:rStyle w:val="FootnoteReference"/>
          <w:rFonts w:ascii="Bookman Old Style" w:eastAsia="Arial Unicode MS" w:hAnsi="Bookman Old Style" w:cs="Arial Unicode MS"/>
          <w:sz w:val="24"/>
          <w:szCs w:val="24"/>
        </w:rPr>
        <w:footnoteReference w:id="128"/>
      </w:r>
      <w:r w:rsidR="00F81961">
        <w:rPr>
          <w:rFonts w:ascii="Bookman Old Style" w:eastAsia="Arial Unicode MS" w:hAnsi="Bookman Old Style" w:cs="Arial Unicode MS"/>
          <w:sz w:val="24"/>
          <w:szCs w:val="24"/>
        </w:rPr>
        <w:t xml:space="preserve"> </w:t>
      </w:r>
      <w:r w:rsidR="001345D2">
        <w:rPr>
          <w:rFonts w:ascii="Bookman Old Style" w:eastAsia="Arial Unicode MS" w:hAnsi="Bookman Old Style" w:cs="Arial Unicode MS"/>
          <w:sz w:val="24"/>
          <w:szCs w:val="24"/>
        </w:rPr>
        <w:t xml:space="preserve">The leading case </w:t>
      </w:r>
      <w:r w:rsidR="005759F0">
        <w:rPr>
          <w:rFonts w:ascii="Bookman Old Style" w:eastAsia="Arial Unicode MS" w:hAnsi="Bookman Old Style" w:cs="Arial Unicode MS"/>
          <w:sz w:val="24"/>
          <w:szCs w:val="24"/>
        </w:rPr>
        <w:t xml:space="preserve">on </w:t>
      </w:r>
      <w:r w:rsidR="00270294">
        <w:rPr>
          <w:rFonts w:ascii="Bookman Old Style" w:eastAsia="Arial Unicode MS" w:hAnsi="Bookman Old Style" w:cs="Arial Unicode MS"/>
          <w:sz w:val="24"/>
          <w:szCs w:val="24"/>
        </w:rPr>
        <w:t>malice</w:t>
      </w:r>
      <w:r w:rsidR="001345D2">
        <w:rPr>
          <w:rFonts w:ascii="Bookman Old Style" w:eastAsia="Arial Unicode MS" w:hAnsi="Bookman Old Style" w:cs="Arial Unicode MS"/>
          <w:sz w:val="24"/>
          <w:szCs w:val="24"/>
        </w:rPr>
        <w:t xml:space="preserve"> is </w:t>
      </w:r>
      <w:r w:rsidR="001345D2" w:rsidRPr="001345D2">
        <w:rPr>
          <w:rFonts w:ascii="Bookman Old Style" w:eastAsia="Arial Unicode MS" w:hAnsi="Bookman Old Style" w:cs="Arial Unicode MS"/>
          <w:i/>
          <w:sz w:val="24"/>
          <w:szCs w:val="24"/>
        </w:rPr>
        <w:t>Harrocks v Lo</w:t>
      </w:r>
      <w:r w:rsidR="001345D2">
        <w:rPr>
          <w:rFonts w:ascii="Bookman Old Style" w:eastAsia="Arial Unicode MS" w:hAnsi="Bookman Old Style" w:cs="Arial Unicode MS"/>
          <w:i/>
          <w:sz w:val="24"/>
          <w:szCs w:val="24"/>
        </w:rPr>
        <w:t>w</w:t>
      </w:r>
      <w:r w:rsidR="001345D2" w:rsidRPr="001345D2">
        <w:rPr>
          <w:rFonts w:ascii="Bookman Old Style" w:eastAsia="Arial Unicode MS" w:hAnsi="Bookman Old Style" w:cs="Arial Unicode MS"/>
          <w:i/>
          <w:sz w:val="24"/>
          <w:szCs w:val="24"/>
        </w:rPr>
        <w:t>e</w:t>
      </w:r>
      <w:r w:rsidR="001345D2">
        <w:rPr>
          <w:rFonts w:ascii="Bookman Old Style" w:eastAsia="Arial Unicode MS" w:hAnsi="Bookman Old Style" w:cs="Arial Unicode MS"/>
          <w:sz w:val="24"/>
          <w:szCs w:val="24"/>
        </w:rPr>
        <w:t>.</w:t>
      </w:r>
      <w:r w:rsidR="001345D2">
        <w:rPr>
          <w:rStyle w:val="FootnoteReference"/>
          <w:rFonts w:ascii="Bookman Old Style" w:eastAsia="Arial Unicode MS" w:hAnsi="Bookman Old Style" w:cs="Arial Unicode MS"/>
          <w:sz w:val="24"/>
          <w:szCs w:val="24"/>
        </w:rPr>
        <w:footnoteReference w:id="129"/>
      </w:r>
      <w:r w:rsidR="001345D2">
        <w:rPr>
          <w:rFonts w:ascii="Bookman Old Style" w:eastAsia="Arial Unicode MS" w:hAnsi="Bookman Old Style" w:cs="Arial Unicode MS"/>
          <w:sz w:val="24"/>
          <w:szCs w:val="24"/>
        </w:rPr>
        <w:t xml:space="preserve"> The facts of the case were that the defendant a la</w:t>
      </w:r>
      <w:r w:rsidR="00514A1E">
        <w:rPr>
          <w:rFonts w:ascii="Bookman Old Style" w:eastAsia="Arial Unicode MS" w:hAnsi="Bookman Old Style" w:cs="Arial Unicode MS"/>
          <w:sz w:val="24"/>
          <w:szCs w:val="24"/>
        </w:rPr>
        <w:t>bour councillor in Bolton accused the plaintiff a conservative councillor in relation to dealings between his companies, and the conservative controlled authority.</w:t>
      </w:r>
      <w:r w:rsidR="00270294">
        <w:rPr>
          <w:rFonts w:ascii="Bookman Old Style" w:eastAsia="Arial Unicode MS" w:hAnsi="Bookman Old Style" w:cs="Arial Unicode MS"/>
          <w:sz w:val="24"/>
          <w:szCs w:val="24"/>
        </w:rPr>
        <w:t xml:space="preserve"> </w:t>
      </w:r>
      <w:r w:rsidR="004801E6">
        <w:rPr>
          <w:rFonts w:ascii="Bookman Old Style" w:eastAsia="Arial Unicode MS" w:hAnsi="Bookman Old Style" w:cs="Arial Unicode MS"/>
          <w:sz w:val="24"/>
          <w:szCs w:val="24"/>
        </w:rPr>
        <w:t xml:space="preserve">The </w:t>
      </w:r>
      <w:r w:rsidR="004801E6">
        <w:rPr>
          <w:rFonts w:ascii="Bookman Old Style" w:eastAsia="Arial Unicode MS" w:hAnsi="Bookman Old Style" w:cs="Arial Unicode MS"/>
          <w:sz w:val="24"/>
          <w:szCs w:val="24"/>
        </w:rPr>
        <w:lastRenderedPageBreak/>
        <w:t>al</w:t>
      </w:r>
      <w:r w:rsidR="00270294">
        <w:rPr>
          <w:rFonts w:ascii="Bookman Old Style" w:eastAsia="Arial Unicode MS" w:hAnsi="Bookman Old Style" w:cs="Arial Unicode MS"/>
          <w:sz w:val="24"/>
          <w:szCs w:val="24"/>
        </w:rPr>
        <w:t>legations turned out to be fals</w:t>
      </w:r>
      <w:r w:rsidR="004801E6">
        <w:rPr>
          <w:rFonts w:ascii="Bookman Old Style" w:eastAsia="Arial Unicode MS" w:hAnsi="Bookman Old Style" w:cs="Arial Unicode MS"/>
          <w:sz w:val="24"/>
          <w:szCs w:val="24"/>
        </w:rPr>
        <w:t>e but were made d</w:t>
      </w:r>
      <w:r w:rsidR="00270294">
        <w:rPr>
          <w:rFonts w:ascii="Bookman Old Style" w:eastAsia="Arial Unicode MS" w:hAnsi="Bookman Old Style" w:cs="Arial Unicode MS"/>
          <w:sz w:val="24"/>
          <w:szCs w:val="24"/>
        </w:rPr>
        <w:t>uring a meeting of the C</w:t>
      </w:r>
      <w:r w:rsidR="004801E6">
        <w:rPr>
          <w:rFonts w:ascii="Bookman Old Style" w:eastAsia="Arial Unicode MS" w:hAnsi="Bookman Old Style" w:cs="Arial Unicode MS"/>
          <w:sz w:val="24"/>
          <w:szCs w:val="24"/>
        </w:rPr>
        <w:t>ouncil, and were therefore published on an occasion of qualified privilege.</w:t>
      </w:r>
    </w:p>
    <w:p w:rsidR="00542518" w:rsidRDefault="00542518" w:rsidP="00E77811">
      <w:pPr>
        <w:spacing w:before="240" w:line="360" w:lineRule="auto"/>
        <w:jc w:val="both"/>
        <w:rPr>
          <w:rFonts w:ascii="Bookman Old Style" w:eastAsia="Arial Unicode MS" w:hAnsi="Bookman Old Style" w:cs="Arial Unicode MS"/>
          <w:sz w:val="24"/>
          <w:szCs w:val="24"/>
        </w:rPr>
      </w:pPr>
    </w:p>
    <w:p w:rsidR="00B33696" w:rsidRDefault="0086753A" w:rsidP="00E77811">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case was t</w:t>
      </w:r>
      <w:r w:rsidR="00542518">
        <w:rPr>
          <w:rFonts w:ascii="Bookman Old Style" w:eastAsia="Arial Unicode MS" w:hAnsi="Bookman Old Style" w:cs="Arial Unicode MS"/>
          <w:sz w:val="24"/>
          <w:szCs w:val="24"/>
        </w:rPr>
        <w:t>r</w:t>
      </w:r>
      <w:r>
        <w:rPr>
          <w:rFonts w:ascii="Bookman Old Style" w:eastAsia="Arial Unicode MS" w:hAnsi="Bookman Old Style" w:cs="Arial Unicode MS"/>
          <w:sz w:val="24"/>
          <w:szCs w:val="24"/>
        </w:rPr>
        <w:t>ied by judge al</w:t>
      </w:r>
      <w:r w:rsidR="00542518">
        <w:rPr>
          <w:rFonts w:ascii="Bookman Old Style" w:eastAsia="Arial Unicode MS" w:hAnsi="Bookman Old Style" w:cs="Arial Unicode MS"/>
          <w:sz w:val="24"/>
          <w:szCs w:val="24"/>
        </w:rPr>
        <w:t xml:space="preserve">one who held that while the defendant believed that what he said was true, he disliked the defendant, and his state of mind was one of </w:t>
      </w:r>
      <w:r w:rsidR="00542518" w:rsidRPr="000B2792">
        <w:rPr>
          <w:rFonts w:ascii="Bookman Old Style" w:eastAsia="Arial Unicode MS" w:hAnsi="Bookman Old Style" w:cs="Arial Unicode MS"/>
          <w:i/>
          <w:sz w:val="24"/>
          <w:szCs w:val="24"/>
        </w:rPr>
        <w:t>“gross and unreasoning prejudice.”</w:t>
      </w:r>
      <w:r w:rsidR="00542518">
        <w:rPr>
          <w:rFonts w:ascii="Bookman Old Style" w:eastAsia="Arial Unicode MS" w:hAnsi="Bookman Old Style" w:cs="Arial Unicode MS"/>
          <w:sz w:val="24"/>
          <w:szCs w:val="24"/>
        </w:rPr>
        <w:t xml:space="preserve"> </w:t>
      </w:r>
      <w:r w:rsidR="000B2792">
        <w:rPr>
          <w:rFonts w:ascii="Bookman Old Style" w:eastAsia="Arial Unicode MS" w:hAnsi="Bookman Old Style" w:cs="Arial Unicode MS"/>
          <w:sz w:val="24"/>
          <w:szCs w:val="24"/>
        </w:rPr>
        <w:t xml:space="preserve">He held that </w:t>
      </w:r>
      <w:r>
        <w:rPr>
          <w:rFonts w:ascii="Bookman Old Style" w:eastAsia="Arial Unicode MS" w:hAnsi="Bookman Old Style" w:cs="Arial Unicode MS"/>
          <w:sz w:val="24"/>
          <w:szCs w:val="24"/>
        </w:rPr>
        <w:t>t</w:t>
      </w:r>
      <w:r w:rsidR="000B2792">
        <w:rPr>
          <w:rFonts w:ascii="Bookman Old Style" w:eastAsia="Arial Unicode MS" w:hAnsi="Bookman Old Style" w:cs="Arial Unicode MS"/>
          <w:sz w:val="24"/>
          <w:szCs w:val="24"/>
        </w:rPr>
        <w:t>his amounted to malice. The Court of Appeal allowed the defendant</w:t>
      </w:r>
      <w:r>
        <w:rPr>
          <w:rFonts w:ascii="Bookman Old Style" w:eastAsia="Arial Unicode MS" w:hAnsi="Bookman Old Style" w:cs="Arial Unicode MS"/>
          <w:sz w:val="24"/>
          <w:szCs w:val="24"/>
        </w:rPr>
        <w:t>’</w:t>
      </w:r>
      <w:r w:rsidR="000B2792">
        <w:rPr>
          <w:rFonts w:ascii="Bookman Old Style" w:eastAsia="Arial Unicode MS" w:hAnsi="Bookman Old Style" w:cs="Arial Unicode MS"/>
          <w:sz w:val="24"/>
          <w:szCs w:val="24"/>
        </w:rPr>
        <w:t>s appeal, and the House of Lord</w:t>
      </w:r>
      <w:r>
        <w:rPr>
          <w:rFonts w:ascii="Bookman Old Style" w:eastAsia="Arial Unicode MS" w:hAnsi="Bookman Old Style" w:cs="Arial Unicode MS"/>
          <w:sz w:val="24"/>
          <w:szCs w:val="24"/>
        </w:rPr>
        <w:t>s dismissed the plaintiff’s fur</w:t>
      </w:r>
      <w:r w:rsidR="000B2792">
        <w:rPr>
          <w:rFonts w:ascii="Bookman Old Style" w:eastAsia="Arial Unicode MS" w:hAnsi="Bookman Old Style" w:cs="Arial Unicode MS"/>
          <w:sz w:val="24"/>
          <w:szCs w:val="24"/>
        </w:rPr>
        <w:t>the</w:t>
      </w:r>
      <w:r>
        <w:rPr>
          <w:rFonts w:ascii="Bookman Old Style" w:eastAsia="Arial Unicode MS" w:hAnsi="Bookman Old Style" w:cs="Arial Unicode MS"/>
          <w:sz w:val="24"/>
          <w:szCs w:val="24"/>
        </w:rPr>
        <w:t>r</w:t>
      </w:r>
      <w:r w:rsidR="000B2792">
        <w:rPr>
          <w:rFonts w:ascii="Bookman Old Style" w:eastAsia="Arial Unicode MS" w:hAnsi="Bookman Old Style" w:cs="Arial Unicode MS"/>
          <w:sz w:val="24"/>
          <w:szCs w:val="24"/>
        </w:rPr>
        <w:t xml:space="preserve"> appeal. The speech of Lord Diplock is generally recognised as the classic exposition, on malice.</w:t>
      </w:r>
    </w:p>
    <w:p w:rsidR="00B33696" w:rsidRDefault="00B33696" w:rsidP="00E77811">
      <w:pPr>
        <w:spacing w:before="240" w:line="360" w:lineRule="auto"/>
        <w:jc w:val="both"/>
        <w:rPr>
          <w:rFonts w:ascii="Bookman Old Style" w:eastAsia="Arial Unicode MS" w:hAnsi="Bookman Old Style" w:cs="Arial Unicode MS"/>
          <w:sz w:val="24"/>
          <w:szCs w:val="24"/>
        </w:rPr>
      </w:pPr>
    </w:p>
    <w:p w:rsidR="00B33696" w:rsidRDefault="00B33696" w:rsidP="00E77811">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following points summarise the position.</w:t>
      </w:r>
      <w:r>
        <w:rPr>
          <w:rStyle w:val="FootnoteReference"/>
          <w:rFonts w:ascii="Bookman Old Style" w:eastAsia="Arial Unicode MS" w:hAnsi="Bookman Old Style" w:cs="Arial Unicode MS"/>
          <w:sz w:val="24"/>
          <w:szCs w:val="24"/>
        </w:rPr>
        <w:footnoteReference w:id="130"/>
      </w:r>
      <w:r w:rsidR="000B2792">
        <w:rPr>
          <w:rFonts w:ascii="Bookman Old Style" w:eastAsia="Arial Unicode MS" w:hAnsi="Bookman Old Style" w:cs="Arial Unicode MS"/>
          <w:sz w:val="24"/>
          <w:szCs w:val="24"/>
        </w:rPr>
        <w:t xml:space="preserve"> </w:t>
      </w:r>
    </w:p>
    <w:p w:rsidR="00B33696" w:rsidRDefault="00B33696" w:rsidP="00B33696">
      <w:pPr>
        <w:pStyle w:val="ListParagraph"/>
        <w:numPr>
          <w:ilvl w:val="0"/>
          <w:numId w:val="25"/>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Malice is an improper motive on the part of the defendant which is the dominant motive for making a defamatory statement. In cases of qualified privilege based on duty or interest,</w:t>
      </w:r>
      <w:r w:rsidR="0086753A">
        <w:rPr>
          <w:rFonts w:ascii="Bookman Old Style" w:eastAsia="Arial Unicode MS" w:hAnsi="Bookman Old Style" w:cs="Arial Unicode MS"/>
          <w:sz w:val="24"/>
          <w:szCs w:val="24"/>
        </w:rPr>
        <w:t xml:space="preserve"> it is any motive other than furthering the relevant interest,</w:t>
      </w:r>
      <w:r>
        <w:rPr>
          <w:rFonts w:ascii="Bookman Old Style" w:eastAsia="Arial Unicode MS" w:hAnsi="Bookman Old Style" w:cs="Arial Unicode MS"/>
          <w:sz w:val="24"/>
          <w:szCs w:val="24"/>
        </w:rPr>
        <w:t xml:space="preserve"> o</w:t>
      </w:r>
      <w:r w:rsidR="0086753A">
        <w:rPr>
          <w:rFonts w:ascii="Bookman Old Style" w:eastAsia="Arial Unicode MS" w:hAnsi="Bookman Old Style" w:cs="Arial Unicode MS"/>
          <w:sz w:val="24"/>
          <w:szCs w:val="24"/>
        </w:rPr>
        <w:t>r discharging the relevant duty;</w:t>
      </w:r>
      <w:r w:rsidR="004801E6" w:rsidRPr="00B33696">
        <w:rPr>
          <w:rFonts w:ascii="Bookman Old Style" w:eastAsia="Arial Unicode MS" w:hAnsi="Bookman Old Style" w:cs="Arial Unicode MS"/>
          <w:sz w:val="24"/>
          <w:szCs w:val="24"/>
        </w:rPr>
        <w:t xml:space="preserve"> </w:t>
      </w:r>
    </w:p>
    <w:p w:rsidR="00463AC4" w:rsidRDefault="00B33696" w:rsidP="00B33696">
      <w:pPr>
        <w:pStyle w:val="ListParagraph"/>
        <w:numPr>
          <w:ilvl w:val="0"/>
          <w:numId w:val="25"/>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motive with which a person makes a defamatory statement can only be inferred f</w:t>
      </w:r>
      <w:r w:rsidR="0086753A">
        <w:rPr>
          <w:rFonts w:ascii="Bookman Old Style" w:eastAsia="Arial Unicode MS" w:hAnsi="Bookman Old Style" w:cs="Arial Unicode MS"/>
          <w:sz w:val="24"/>
          <w:szCs w:val="24"/>
        </w:rPr>
        <w:t>rom what he did or said or knew;</w:t>
      </w:r>
    </w:p>
    <w:p w:rsidR="00463AC4" w:rsidRDefault="00463AC4" w:rsidP="00B33696">
      <w:pPr>
        <w:pStyle w:val="ListParagraph"/>
        <w:numPr>
          <w:ilvl w:val="0"/>
          <w:numId w:val="25"/>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Where the defendant knew that what was published was false it will generally be conclusive evidence of a dominant improper motive, although there may be occasions where a person is under a duty or interest to repeat mat</w:t>
      </w:r>
      <w:r w:rsidR="0086753A">
        <w:rPr>
          <w:rFonts w:ascii="Bookman Old Style" w:eastAsia="Arial Unicode MS" w:hAnsi="Bookman Old Style" w:cs="Arial Unicode MS"/>
          <w:sz w:val="24"/>
          <w:szCs w:val="24"/>
        </w:rPr>
        <w:t>ters which he knows to be false;</w:t>
      </w:r>
      <w:r>
        <w:rPr>
          <w:rFonts w:ascii="Bookman Old Style" w:eastAsia="Arial Unicode MS" w:hAnsi="Bookman Old Style" w:cs="Arial Unicode MS"/>
          <w:sz w:val="24"/>
          <w:szCs w:val="24"/>
        </w:rPr>
        <w:t xml:space="preserve"> </w:t>
      </w:r>
    </w:p>
    <w:p w:rsidR="00E130CB" w:rsidRDefault="00463AC4" w:rsidP="00B33696">
      <w:pPr>
        <w:pStyle w:val="ListParagraph"/>
        <w:numPr>
          <w:ilvl w:val="0"/>
          <w:numId w:val="25"/>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A defendant who is indifferent to the truth, i.e. does not care whether the sta</w:t>
      </w:r>
      <w:r w:rsidR="0086753A">
        <w:rPr>
          <w:rFonts w:ascii="Bookman Old Style" w:eastAsia="Arial Unicode MS" w:hAnsi="Bookman Old Style" w:cs="Arial Unicode MS"/>
          <w:sz w:val="24"/>
          <w:szCs w:val="24"/>
        </w:rPr>
        <w:t>te</w:t>
      </w:r>
      <w:r>
        <w:rPr>
          <w:rFonts w:ascii="Bookman Old Style" w:eastAsia="Arial Unicode MS" w:hAnsi="Bookman Old Style" w:cs="Arial Unicode MS"/>
          <w:sz w:val="24"/>
          <w:szCs w:val="24"/>
        </w:rPr>
        <w:t>men</w:t>
      </w:r>
      <w:r w:rsidR="0086753A">
        <w:rPr>
          <w:rFonts w:ascii="Bookman Old Style" w:eastAsia="Arial Unicode MS" w:hAnsi="Bookman Old Style" w:cs="Arial Unicode MS"/>
          <w:sz w:val="24"/>
          <w:szCs w:val="24"/>
        </w:rPr>
        <w:t>t</w:t>
      </w:r>
      <w:r>
        <w:rPr>
          <w:rFonts w:ascii="Bookman Old Style" w:eastAsia="Arial Unicode MS" w:hAnsi="Bookman Old Style" w:cs="Arial Unicode MS"/>
          <w:sz w:val="24"/>
          <w:szCs w:val="24"/>
        </w:rPr>
        <w:t xml:space="preserve"> is true, or false is treated as if he knew it to be false in such a case the defendant is said to be reckless. Recklessness is more commonly alleged </w:t>
      </w:r>
      <w:r w:rsidR="00A45DCF">
        <w:rPr>
          <w:rFonts w:ascii="Bookman Old Style" w:eastAsia="Arial Unicode MS" w:hAnsi="Bookman Old Style" w:cs="Arial Unicode MS"/>
          <w:sz w:val="24"/>
          <w:szCs w:val="24"/>
        </w:rPr>
        <w:t xml:space="preserve">than actual knowledge because it is a lower </w:t>
      </w:r>
      <w:r w:rsidR="0086753A">
        <w:rPr>
          <w:rFonts w:ascii="Bookman Old Style" w:eastAsia="Arial Unicode MS" w:hAnsi="Bookman Old Style" w:cs="Arial Unicode MS"/>
          <w:sz w:val="24"/>
          <w:szCs w:val="24"/>
        </w:rPr>
        <w:t>evidential hurdle to overcome;</w:t>
      </w:r>
      <w:r w:rsidR="00A45DCF">
        <w:rPr>
          <w:rFonts w:ascii="Bookman Old Style" w:eastAsia="Arial Unicode MS" w:hAnsi="Bookman Old Style" w:cs="Arial Unicode MS"/>
          <w:sz w:val="24"/>
          <w:szCs w:val="24"/>
        </w:rPr>
        <w:t xml:space="preserve"> </w:t>
      </w:r>
    </w:p>
    <w:p w:rsidR="007A3AA9" w:rsidRDefault="00E130CB" w:rsidP="00B33696">
      <w:pPr>
        <w:pStyle w:val="ListParagraph"/>
        <w:numPr>
          <w:ilvl w:val="0"/>
          <w:numId w:val="25"/>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lastRenderedPageBreak/>
        <w:t xml:space="preserve">However, indifference to truth is not to be equated with carelessness, impulsiveness, or irrationality. It is in the public interest that the defence of qualified privilege is available to all persons </w:t>
      </w:r>
      <w:r w:rsidR="00185B24">
        <w:rPr>
          <w:rFonts w:ascii="Bookman Old Style" w:eastAsia="Arial Unicode MS" w:hAnsi="Bookman Old Style" w:cs="Arial Unicode MS"/>
          <w:sz w:val="24"/>
          <w:szCs w:val="24"/>
        </w:rPr>
        <w:t>not just those who act sensibly; and</w:t>
      </w:r>
    </w:p>
    <w:p w:rsidR="001425B3" w:rsidRDefault="007A3AA9" w:rsidP="00B33696">
      <w:pPr>
        <w:pStyle w:val="ListParagraph"/>
        <w:numPr>
          <w:ilvl w:val="0"/>
          <w:numId w:val="25"/>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It is possible that a defendant who believes what he says is true may nevertheless have an improper motive for saying it. However, this will be very rare, and judges, and juries should be very slow to draw such an inference.</w:t>
      </w:r>
    </w:p>
    <w:p w:rsidR="00571E6C" w:rsidRDefault="001425B3" w:rsidP="001425B3">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improper motive is genera</w:t>
      </w:r>
      <w:r w:rsidR="005218F5">
        <w:rPr>
          <w:rFonts w:ascii="Bookman Old Style" w:eastAsia="Arial Unicode MS" w:hAnsi="Bookman Old Style" w:cs="Arial Unicode MS"/>
          <w:sz w:val="24"/>
          <w:szCs w:val="24"/>
        </w:rPr>
        <w:t>lly said to be the desire to inj</w:t>
      </w:r>
      <w:r>
        <w:rPr>
          <w:rFonts w:ascii="Bookman Old Style" w:eastAsia="Arial Unicode MS" w:hAnsi="Bookman Old Style" w:cs="Arial Unicode MS"/>
          <w:sz w:val="24"/>
          <w:szCs w:val="24"/>
        </w:rPr>
        <w:t>ure the claimant or to advance the interests of the defendant by improper means.</w:t>
      </w:r>
      <w:r w:rsidR="00571E6C">
        <w:rPr>
          <w:rStyle w:val="FootnoteReference"/>
          <w:rFonts w:ascii="Bookman Old Style" w:eastAsia="Arial Unicode MS" w:hAnsi="Bookman Old Style" w:cs="Arial Unicode MS"/>
          <w:sz w:val="24"/>
          <w:szCs w:val="24"/>
        </w:rPr>
        <w:footnoteReference w:id="131"/>
      </w:r>
      <w:r w:rsidR="007A3AA9" w:rsidRPr="001425B3">
        <w:rPr>
          <w:rFonts w:ascii="Bookman Old Style" w:eastAsia="Arial Unicode MS" w:hAnsi="Bookman Old Style" w:cs="Arial Unicode MS"/>
          <w:sz w:val="24"/>
          <w:szCs w:val="24"/>
        </w:rPr>
        <w:t xml:space="preserve"> </w:t>
      </w:r>
      <w:r w:rsidR="00571E6C">
        <w:rPr>
          <w:rFonts w:ascii="Bookman Old Style" w:eastAsia="Arial Unicode MS" w:hAnsi="Bookman Old Style" w:cs="Arial Unicode MS"/>
          <w:sz w:val="24"/>
          <w:szCs w:val="24"/>
        </w:rPr>
        <w:t>In order to establish malice it is necessary that the improper motive is the sole or dominant motive for publishing the defamatory statement.</w:t>
      </w:r>
      <w:r w:rsidR="00571E6C">
        <w:rPr>
          <w:rStyle w:val="FootnoteReference"/>
          <w:rFonts w:ascii="Bookman Old Style" w:eastAsia="Arial Unicode MS" w:hAnsi="Bookman Old Style" w:cs="Arial Unicode MS"/>
          <w:sz w:val="24"/>
          <w:szCs w:val="24"/>
        </w:rPr>
        <w:footnoteReference w:id="132"/>
      </w:r>
      <w:r w:rsidR="00E130CB" w:rsidRPr="001425B3">
        <w:rPr>
          <w:rFonts w:ascii="Bookman Old Style" w:eastAsia="Arial Unicode MS" w:hAnsi="Bookman Old Style" w:cs="Arial Unicode MS"/>
          <w:sz w:val="24"/>
          <w:szCs w:val="24"/>
        </w:rPr>
        <w:t xml:space="preserve"> </w:t>
      </w:r>
      <w:r w:rsidR="00571E6C">
        <w:rPr>
          <w:rFonts w:ascii="Bookman Old Style" w:eastAsia="Arial Unicode MS" w:hAnsi="Bookman Old Style" w:cs="Arial Unicode MS"/>
          <w:sz w:val="24"/>
          <w:szCs w:val="24"/>
        </w:rPr>
        <w:t>In most cases, the key to establishing whether the dominant motive is improper is the question of whether or not the defendant believed the statement to be true.</w:t>
      </w:r>
      <w:r w:rsidR="00571E6C">
        <w:rPr>
          <w:rStyle w:val="FootnoteReference"/>
          <w:rFonts w:ascii="Bookman Old Style" w:eastAsia="Arial Unicode MS" w:hAnsi="Bookman Old Style" w:cs="Arial Unicode MS"/>
          <w:sz w:val="24"/>
          <w:szCs w:val="24"/>
        </w:rPr>
        <w:footnoteReference w:id="133"/>
      </w:r>
      <w:r w:rsidR="00571E6C">
        <w:rPr>
          <w:rFonts w:ascii="Bookman Old Style" w:eastAsia="Arial Unicode MS" w:hAnsi="Bookman Old Style" w:cs="Arial Unicode MS"/>
          <w:sz w:val="24"/>
          <w:szCs w:val="24"/>
        </w:rPr>
        <w:t xml:space="preserve"> </w:t>
      </w:r>
    </w:p>
    <w:p w:rsidR="00571E6C" w:rsidRDefault="00571E6C" w:rsidP="001425B3">
      <w:pPr>
        <w:spacing w:before="240" w:line="360" w:lineRule="auto"/>
        <w:jc w:val="both"/>
        <w:rPr>
          <w:rFonts w:ascii="Bookman Old Style" w:eastAsia="Arial Unicode MS" w:hAnsi="Bookman Old Style" w:cs="Arial Unicode MS"/>
          <w:sz w:val="24"/>
          <w:szCs w:val="24"/>
        </w:rPr>
      </w:pPr>
    </w:p>
    <w:p w:rsidR="00571E6C" w:rsidRDefault="00571E6C" w:rsidP="00153D0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burden of proving and pleading malice lies on the cla</w:t>
      </w:r>
      <w:r w:rsidR="005218F5">
        <w:rPr>
          <w:rFonts w:ascii="Bookman Old Style" w:eastAsia="Arial Unicode MS" w:hAnsi="Bookman Old Style" w:cs="Arial Unicode MS"/>
          <w:sz w:val="24"/>
          <w:szCs w:val="24"/>
        </w:rPr>
        <w:t>i</w:t>
      </w:r>
      <w:r>
        <w:rPr>
          <w:rFonts w:ascii="Bookman Old Style" w:eastAsia="Arial Unicode MS" w:hAnsi="Bookman Old Style" w:cs="Arial Unicode MS"/>
          <w:sz w:val="24"/>
          <w:szCs w:val="24"/>
        </w:rPr>
        <w:t xml:space="preserve">mant. In sum, it is instructive to notice the observation of Lord Diplock in </w:t>
      </w:r>
      <w:r w:rsidRPr="005218F5">
        <w:rPr>
          <w:rFonts w:ascii="Bookman Old Style" w:eastAsia="Arial Unicode MS" w:hAnsi="Bookman Old Style" w:cs="Arial Unicode MS"/>
          <w:i/>
          <w:sz w:val="24"/>
          <w:szCs w:val="24"/>
        </w:rPr>
        <w:t xml:space="preserve">Harrocks </w:t>
      </w:r>
      <w:r w:rsidR="005218F5" w:rsidRPr="005218F5">
        <w:rPr>
          <w:rFonts w:ascii="Bookman Old Style" w:eastAsia="Arial Unicode MS" w:hAnsi="Bookman Old Style" w:cs="Arial Unicode MS"/>
          <w:i/>
          <w:sz w:val="24"/>
          <w:szCs w:val="24"/>
        </w:rPr>
        <w:t xml:space="preserve">v </w:t>
      </w:r>
      <w:r w:rsidRPr="005218F5">
        <w:rPr>
          <w:rFonts w:ascii="Bookman Old Style" w:eastAsia="Arial Unicode MS" w:hAnsi="Bookman Old Style" w:cs="Arial Unicode MS"/>
          <w:i/>
          <w:sz w:val="24"/>
          <w:szCs w:val="24"/>
        </w:rPr>
        <w:t>Lowe</w:t>
      </w:r>
      <w:r>
        <w:rPr>
          <w:rFonts w:ascii="Bookman Old Style" w:eastAsia="Arial Unicode MS" w:hAnsi="Bookman Old Style" w:cs="Arial Unicode MS"/>
          <w:sz w:val="24"/>
          <w:szCs w:val="24"/>
        </w:rPr>
        <w:t xml:space="preserve"> (supra)</w:t>
      </w:r>
      <w:r w:rsidR="005218F5">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 xml:space="preserve">that judges should be careful not to draw inferences of malice where none can be found. The rationale behind this observation </w:t>
      </w:r>
      <w:r w:rsidR="005218F5">
        <w:rPr>
          <w:rFonts w:ascii="Bookman Old Style" w:eastAsia="Arial Unicode MS" w:hAnsi="Bookman Old Style" w:cs="Arial Unicode MS"/>
          <w:sz w:val="24"/>
          <w:szCs w:val="24"/>
        </w:rPr>
        <w:t>is that the defences of fair comment</w:t>
      </w:r>
      <w:r w:rsidR="00185B24">
        <w:rPr>
          <w:rFonts w:ascii="Bookman Old Style" w:eastAsia="Arial Unicode MS" w:hAnsi="Bookman Old Style" w:cs="Arial Unicode MS"/>
          <w:sz w:val="24"/>
          <w:szCs w:val="24"/>
        </w:rPr>
        <w:t>,</w:t>
      </w:r>
      <w:r w:rsidR="005218F5">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qualified privilege</w:t>
      </w:r>
      <w:r w:rsidR="005218F5">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and now offer of amends</w:t>
      </w:r>
      <w:r w:rsidR="00185B24">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become illusory if malice is not kept under control.</w:t>
      </w:r>
      <w:r>
        <w:rPr>
          <w:rStyle w:val="FootnoteReference"/>
          <w:rFonts w:ascii="Bookman Old Style" w:eastAsia="Arial Unicode MS" w:hAnsi="Bookman Old Style" w:cs="Arial Unicode MS"/>
          <w:sz w:val="24"/>
          <w:szCs w:val="24"/>
        </w:rPr>
        <w:footnoteReference w:id="134"/>
      </w:r>
      <w:r>
        <w:rPr>
          <w:rFonts w:ascii="Bookman Old Style" w:eastAsia="Arial Unicode MS" w:hAnsi="Bookman Old Style" w:cs="Arial Unicode MS"/>
          <w:sz w:val="24"/>
          <w:szCs w:val="24"/>
        </w:rPr>
        <w:t xml:space="preserve"> Individuals will be constrained from their minds in privileged situations for fear of being accused of acting maliciously.</w:t>
      </w:r>
      <w:r>
        <w:rPr>
          <w:rStyle w:val="FootnoteReference"/>
          <w:rFonts w:ascii="Bookman Old Style" w:eastAsia="Arial Unicode MS" w:hAnsi="Bookman Old Style" w:cs="Arial Unicode MS"/>
          <w:sz w:val="24"/>
          <w:szCs w:val="24"/>
        </w:rPr>
        <w:footnoteReference w:id="135"/>
      </w:r>
      <w:r w:rsidR="00C56B82" w:rsidRPr="001425B3">
        <w:rPr>
          <w:rFonts w:ascii="Bookman Old Style" w:eastAsia="Arial Unicode MS" w:hAnsi="Bookman Old Style" w:cs="Arial Unicode MS"/>
          <w:sz w:val="24"/>
          <w:szCs w:val="24"/>
        </w:rPr>
        <w:t xml:space="preserve">    </w:t>
      </w:r>
    </w:p>
    <w:p w:rsidR="005218F5" w:rsidRDefault="005218F5" w:rsidP="00B045F9">
      <w:pPr>
        <w:spacing w:before="240" w:line="360" w:lineRule="auto"/>
        <w:jc w:val="both"/>
        <w:rPr>
          <w:rFonts w:ascii="Bookman Old Style" w:eastAsia="Arial Unicode MS" w:hAnsi="Bookman Old Style" w:cs="Arial Unicode MS"/>
          <w:sz w:val="24"/>
          <w:szCs w:val="24"/>
        </w:rPr>
      </w:pPr>
    </w:p>
    <w:p w:rsidR="005759F0" w:rsidRDefault="005759F0" w:rsidP="00B045F9">
      <w:pPr>
        <w:spacing w:before="240" w:line="360" w:lineRule="auto"/>
        <w:jc w:val="both"/>
        <w:rPr>
          <w:rFonts w:ascii="Bookman Old Style" w:eastAsia="Arial Unicode MS" w:hAnsi="Bookman Old Style" w:cs="Arial Unicode MS"/>
          <w:sz w:val="24"/>
          <w:szCs w:val="24"/>
        </w:rPr>
      </w:pPr>
    </w:p>
    <w:p w:rsidR="005218F5" w:rsidRPr="005218F5" w:rsidRDefault="005218F5" w:rsidP="00B045F9">
      <w:pPr>
        <w:spacing w:before="240" w:line="360" w:lineRule="auto"/>
        <w:jc w:val="both"/>
        <w:rPr>
          <w:rFonts w:ascii="Bookman Old Style" w:eastAsia="Arial Unicode MS" w:hAnsi="Bookman Old Style" w:cs="Arial Unicode MS"/>
          <w:b/>
          <w:sz w:val="24"/>
          <w:szCs w:val="24"/>
        </w:rPr>
      </w:pPr>
      <w:r w:rsidRPr="005218F5">
        <w:rPr>
          <w:rFonts w:ascii="Bookman Old Style" w:eastAsia="Arial Unicode MS" w:hAnsi="Bookman Old Style" w:cs="Arial Unicode MS"/>
          <w:b/>
          <w:sz w:val="24"/>
          <w:szCs w:val="24"/>
        </w:rPr>
        <w:lastRenderedPageBreak/>
        <w:t xml:space="preserve">FREEDOM OF EXPRESSION VERSUS REPUTATION. </w:t>
      </w:r>
    </w:p>
    <w:p w:rsidR="00A82A40" w:rsidRDefault="00B045F9" w:rsidP="00B045F9">
      <w:pPr>
        <w:spacing w:before="240" w:line="360" w:lineRule="auto"/>
        <w:jc w:val="both"/>
        <w:rPr>
          <w:rFonts w:ascii="Bookman Old Style" w:eastAsia="Arial Unicode MS" w:hAnsi="Bookman Old Style" w:cs="Arial Unicode MS"/>
          <w:sz w:val="24"/>
          <w:szCs w:val="24"/>
        </w:rPr>
      </w:pPr>
      <w:r w:rsidRPr="00B045F9">
        <w:rPr>
          <w:rFonts w:ascii="Bookman Old Style" w:eastAsia="Arial Unicode MS" w:hAnsi="Bookman Old Style" w:cs="Arial Unicode MS"/>
          <w:sz w:val="24"/>
          <w:szCs w:val="24"/>
        </w:rPr>
        <w:t xml:space="preserve">This </w:t>
      </w:r>
      <w:r>
        <w:rPr>
          <w:rFonts w:ascii="Bookman Old Style" w:eastAsia="Arial Unicode MS" w:hAnsi="Bookman Old Style" w:cs="Arial Unicode MS"/>
          <w:sz w:val="24"/>
          <w:szCs w:val="24"/>
        </w:rPr>
        <w:t>case</w:t>
      </w:r>
      <w:r w:rsidR="005218F5">
        <w:rPr>
          <w:rFonts w:ascii="Bookman Old Style" w:eastAsia="Arial Unicode MS" w:hAnsi="Bookman Old Style" w:cs="Arial Unicode MS"/>
          <w:sz w:val="24"/>
          <w:szCs w:val="24"/>
        </w:rPr>
        <w:t xml:space="preserve"> primarily</w:t>
      </w:r>
      <w:r>
        <w:rPr>
          <w:rFonts w:ascii="Bookman Old Style" w:eastAsia="Arial Unicode MS" w:hAnsi="Bookman Old Style" w:cs="Arial Unicode MS"/>
          <w:sz w:val="24"/>
          <w:szCs w:val="24"/>
        </w:rPr>
        <w:t xml:space="preserve"> concerns the interaction between two fu</w:t>
      </w:r>
      <w:r w:rsidR="005218F5">
        <w:rPr>
          <w:rFonts w:ascii="Bookman Old Style" w:eastAsia="Arial Unicode MS" w:hAnsi="Bookman Old Style" w:cs="Arial Unicode MS"/>
          <w:sz w:val="24"/>
          <w:szCs w:val="24"/>
        </w:rPr>
        <w:t xml:space="preserve">ndamental human rights: freedom </w:t>
      </w:r>
      <w:r>
        <w:rPr>
          <w:rFonts w:ascii="Bookman Old Style" w:eastAsia="Arial Unicode MS" w:hAnsi="Bookman Old Style" w:cs="Arial Unicode MS"/>
          <w:sz w:val="24"/>
          <w:szCs w:val="24"/>
        </w:rPr>
        <w:t>of expression, and protection of reputation. The hi</w:t>
      </w:r>
      <w:r w:rsidR="00E76D73">
        <w:rPr>
          <w:rFonts w:ascii="Bookman Old Style" w:eastAsia="Arial Unicode MS" w:hAnsi="Bookman Old Style" w:cs="Arial Unicode MS"/>
          <w:sz w:val="24"/>
          <w:szCs w:val="24"/>
        </w:rPr>
        <w:t>gh importance of freedom to impa</w:t>
      </w:r>
      <w:r>
        <w:rPr>
          <w:rFonts w:ascii="Bookman Old Style" w:eastAsia="Arial Unicode MS" w:hAnsi="Bookman Old Style" w:cs="Arial Unicode MS"/>
          <w:sz w:val="24"/>
          <w:szCs w:val="24"/>
        </w:rPr>
        <w:t>rt and receive information and ideas has been stated so often and so eloquently that this point calls for n</w:t>
      </w:r>
      <w:r w:rsidR="00E76D73">
        <w:rPr>
          <w:rFonts w:ascii="Bookman Old Style" w:eastAsia="Arial Unicode MS" w:hAnsi="Bookman Old Style" w:cs="Arial Unicode MS"/>
          <w:sz w:val="24"/>
          <w:szCs w:val="24"/>
        </w:rPr>
        <w:t>o</w:t>
      </w:r>
      <w:r>
        <w:rPr>
          <w:rFonts w:ascii="Bookman Old Style" w:eastAsia="Arial Unicode MS" w:hAnsi="Bookman Old Style" w:cs="Arial Unicode MS"/>
          <w:sz w:val="24"/>
          <w:szCs w:val="24"/>
        </w:rPr>
        <w:t xml:space="preserve"> elaboration in this case.</w:t>
      </w:r>
      <w:r>
        <w:rPr>
          <w:rStyle w:val="FootnoteReference"/>
          <w:rFonts w:ascii="Bookman Old Style" w:eastAsia="Arial Unicode MS" w:hAnsi="Bookman Old Style" w:cs="Arial Unicode MS"/>
          <w:sz w:val="24"/>
          <w:szCs w:val="24"/>
        </w:rPr>
        <w:footnoteReference w:id="136"/>
      </w:r>
      <w:r>
        <w:rPr>
          <w:rFonts w:ascii="Bookman Old Style" w:eastAsia="Arial Unicode MS" w:hAnsi="Bookman Old Style" w:cs="Arial Unicode MS"/>
          <w:sz w:val="24"/>
          <w:szCs w:val="24"/>
        </w:rPr>
        <w:t xml:space="preserve"> It is of fundamental importance to a free society that </w:t>
      </w:r>
      <w:r w:rsidR="00E76D73">
        <w:rPr>
          <w:rFonts w:ascii="Bookman Old Style" w:eastAsia="Arial Unicode MS" w:hAnsi="Bookman Old Style" w:cs="Arial Unicode MS"/>
          <w:sz w:val="24"/>
          <w:szCs w:val="24"/>
        </w:rPr>
        <w:t>t</w:t>
      </w:r>
      <w:r>
        <w:rPr>
          <w:rFonts w:ascii="Bookman Old Style" w:eastAsia="Arial Unicode MS" w:hAnsi="Bookman Old Style" w:cs="Arial Unicode MS"/>
          <w:sz w:val="24"/>
          <w:szCs w:val="24"/>
        </w:rPr>
        <w:t>his liberty is recognised, and protected by the law. The liberty to communicate (and receive) information occupies a central position in a free society.</w:t>
      </w:r>
      <w:r w:rsidR="00E76D73">
        <w:rPr>
          <w:rFonts w:ascii="Bookman Old Style" w:eastAsia="Arial Unicode MS" w:hAnsi="Bookman Old Style" w:cs="Arial Unicode MS"/>
          <w:sz w:val="24"/>
          <w:szCs w:val="24"/>
        </w:rPr>
        <w:t xml:space="preserve"> </w:t>
      </w:r>
      <w:r w:rsidR="0093164D">
        <w:rPr>
          <w:rFonts w:ascii="Bookman Old Style" w:eastAsia="Arial Unicode MS" w:hAnsi="Bookman Old Style" w:cs="Arial Unicode MS"/>
          <w:sz w:val="24"/>
          <w:szCs w:val="24"/>
        </w:rPr>
        <w:t>At a pragmatic level freedom to disseminate, and receive information on political matters is essential to the proper functioning of any democracy. This freedom</w:t>
      </w:r>
      <w:r w:rsidR="00C07CD0">
        <w:rPr>
          <w:rFonts w:ascii="Bookman Old Style" w:eastAsia="Arial Unicode MS" w:hAnsi="Bookman Old Style" w:cs="Arial Unicode MS"/>
          <w:sz w:val="24"/>
          <w:szCs w:val="24"/>
        </w:rPr>
        <w:t xml:space="preserve"> </w:t>
      </w:r>
      <w:r w:rsidR="0093164D">
        <w:rPr>
          <w:rFonts w:ascii="Bookman Old Style" w:eastAsia="Arial Unicode MS" w:hAnsi="Bookman Old Style" w:cs="Arial Unicode MS"/>
          <w:sz w:val="24"/>
          <w:szCs w:val="24"/>
        </w:rPr>
        <w:t>enable</w:t>
      </w:r>
      <w:r w:rsidR="005218F5">
        <w:rPr>
          <w:rFonts w:ascii="Bookman Old Style" w:eastAsia="Arial Unicode MS" w:hAnsi="Bookman Old Style" w:cs="Arial Unicode MS"/>
          <w:sz w:val="24"/>
          <w:szCs w:val="24"/>
        </w:rPr>
        <w:t>s</w:t>
      </w:r>
      <w:r w:rsidR="0093164D">
        <w:rPr>
          <w:rFonts w:ascii="Bookman Old Style" w:eastAsia="Arial Unicode MS" w:hAnsi="Bookman Old Style" w:cs="Arial Unicode MS"/>
          <w:sz w:val="24"/>
          <w:szCs w:val="24"/>
        </w:rPr>
        <w:t xml:space="preserve"> those who elect political representative</w:t>
      </w:r>
      <w:r w:rsidR="00E76D73">
        <w:rPr>
          <w:rFonts w:ascii="Bookman Old Style" w:eastAsia="Arial Unicode MS" w:hAnsi="Bookman Old Style" w:cs="Arial Unicode MS"/>
          <w:sz w:val="24"/>
          <w:szCs w:val="24"/>
        </w:rPr>
        <w:t>s at</w:t>
      </w:r>
      <w:r w:rsidR="0093164D">
        <w:rPr>
          <w:rFonts w:ascii="Bookman Old Style" w:eastAsia="Arial Unicode MS" w:hAnsi="Bookman Old Style" w:cs="Arial Unicode MS"/>
          <w:sz w:val="24"/>
          <w:szCs w:val="24"/>
        </w:rPr>
        <w:t xml:space="preserve"> various levels to make informed choices. </w:t>
      </w:r>
      <w:r w:rsidR="00165C1A">
        <w:rPr>
          <w:rFonts w:ascii="Bookman Old Style" w:eastAsia="Arial Unicode MS" w:hAnsi="Bookman Old Style" w:cs="Arial Unicode MS"/>
          <w:sz w:val="24"/>
          <w:szCs w:val="24"/>
        </w:rPr>
        <w:t>This freedom also enables those elected to make informed decisions.</w:t>
      </w:r>
      <w:r w:rsidR="00185B24">
        <w:rPr>
          <w:rFonts w:ascii="Bookman Old Style" w:eastAsia="Arial Unicode MS" w:hAnsi="Bookman Old Style" w:cs="Arial Unicode MS"/>
          <w:sz w:val="24"/>
          <w:szCs w:val="24"/>
        </w:rPr>
        <w:t xml:space="preserve"> </w:t>
      </w:r>
      <w:r w:rsidR="00165C1A">
        <w:rPr>
          <w:rFonts w:ascii="Bookman Old Style" w:eastAsia="Arial Unicode MS" w:hAnsi="Bookman Old Style" w:cs="Arial Unicode MS"/>
          <w:sz w:val="24"/>
          <w:szCs w:val="24"/>
        </w:rPr>
        <w:t>Similarly</w:t>
      </w:r>
      <w:r w:rsidR="00E76D73">
        <w:rPr>
          <w:rFonts w:ascii="Bookman Old Style" w:eastAsia="Arial Unicode MS" w:hAnsi="Bookman Old Style" w:cs="Arial Unicode MS"/>
          <w:sz w:val="24"/>
          <w:szCs w:val="24"/>
        </w:rPr>
        <w:t>,</w:t>
      </w:r>
      <w:r w:rsidR="00165C1A">
        <w:rPr>
          <w:rFonts w:ascii="Bookman Old Style" w:eastAsia="Arial Unicode MS" w:hAnsi="Bookman Old Style" w:cs="Arial Unicode MS"/>
          <w:sz w:val="24"/>
          <w:szCs w:val="24"/>
        </w:rPr>
        <w:t xml:space="preserve"> there is no need to elaborate the important role played by the media in the expression and comment on political matters. It is through mass media that most people today obtain their information on political matter</w:t>
      </w:r>
      <w:r w:rsidR="005218F5">
        <w:rPr>
          <w:rFonts w:ascii="Bookman Old Style" w:eastAsia="Arial Unicode MS" w:hAnsi="Bookman Old Style" w:cs="Arial Unicode MS"/>
          <w:sz w:val="24"/>
          <w:szCs w:val="24"/>
        </w:rPr>
        <w:t>s</w:t>
      </w:r>
      <w:r w:rsidR="00165C1A">
        <w:rPr>
          <w:rFonts w:ascii="Bookman Old Style" w:eastAsia="Arial Unicode MS" w:hAnsi="Bookman Old Style" w:cs="Arial Unicode MS"/>
          <w:sz w:val="24"/>
          <w:szCs w:val="24"/>
        </w:rPr>
        <w:t>.</w:t>
      </w:r>
      <w:r w:rsidR="00165C1A">
        <w:rPr>
          <w:rStyle w:val="FootnoteReference"/>
          <w:rFonts w:ascii="Bookman Old Style" w:eastAsia="Arial Unicode MS" w:hAnsi="Bookman Old Style" w:cs="Arial Unicode MS"/>
          <w:sz w:val="24"/>
          <w:szCs w:val="24"/>
        </w:rPr>
        <w:footnoteReference w:id="137"/>
      </w:r>
      <w:r w:rsidR="00A82A40">
        <w:rPr>
          <w:rFonts w:ascii="Bookman Old Style" w:eastAsia="Arial Unicode MS" w:hAnsi="Bookman Old Style" w:cs="Arial Unicode MS"/>
          <w:sz w:val="24"/>
          <w:szCs w:val="24"/>
        </w:rPr>
        <w:t xml:space="preserve"> </w:t>
      </w:r>
    </w:p>
    <w:p w:rsidR="00A82A40" w:rsidRDefault="00A82A40" w:rsidP="00B045F9">
      <w:pPr>
        <w:spacing w:before="240" w:line="360" w:lineRule="auto"/>
        <w:jc w:val="both"/>
        <w:rPr>
          <w:rFonts w:ascii="Bookman Old Style" w:eastAsia="Arial Unicode MS" w:hAnsi="Bookman Old Style" w:cs="Arial Unicode MS"/>
          <w:sz w:val="24"/>
          <w:szCs w:val="24"/>
        </w:rPr>
      </w:pPr>
    </w:p>
    <w:p w:rsidR="000C11F4" w:rsidRDefault="00A82A40" w:rsidP="00B045F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 the same vein</w:t>
      </w:r>
      <w:r w:rsidR="00185B24">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reputation is an integral part of the dignity of the individual. It also forms the basis of m</w:t>
      </w:r>
      <w:r w:rsidR="00E76D73">
        <w:rPr>
          <w:rFonts w:ascii="Bookman Old Style" w:eastAsia="Arial Unicode MS" w:hAnsi="Bookman Old Style" w:cs="Arial Unicode MS"/>
          <w:sz w:val="24"/>
          <w:szCs w:val="24"/>
        </w:rPr>
        <w:t>an</w:t>
      </w:r>
      <w:r>
        <w:rPr>
          <w:rFonts w:ascii="Bookman Old Style" w:eastAsia="Arial Unicode MS" w:hAnsi="Bookman Old Style" w:cs="Arial Unicode MS"/>
          <w:sz w:val="24"/>
          <w:szCs w:val="24"/>
        </w:rPr>
        <w:t>y decision</w:t>
      </w:r>
      <w:r w:rsidR="005759F0">
        <w:rPr>
          <w:rFonts w:ascii="Bookman Old Style" w:eastAsia="Arial Unicode MS" w:hAnsi="Bookman Old Style" w:cs="Arial Unicode MS"/>
          <w:sz w:val="24"/>
          <w:szCs w:val="24"/>
        </w:rPr>
        <w:t>s</w:t>
      </w:r>
      <w:r>
        <w:rPr>
          <w:rFonts w:ascii="Bookman Old Style" w:eastAsia="Arial Unicode MS" w:hAnsi="Bookman Old Style" w:cs="Arial Unicode MS"/>
          <w:sz w:val="24"/>
          <w:szCs w:val="24"/>
        </w:rPr>
        <w:t xml:space="preserve"> in a democratic society which are fundamental to its well be</w:t>
      </w:r>
      <w:r w:rsidR="005218F5">
        <w:rPr>
          <w:rFonts w:ascii="Bookman Old Style" w:eastAsia="Arial Unicode MS" w:hAnsi="Bookman Old Style" w:cs="Arial Unicode MS"/>
          <w:sz w:val="24"/>
          <w:szCs w:val="24"/>
        </w:rPr>
        <w:t>ing: whom to employ or work for; whom to promote; whom to do business with;</w:t>
      </w:r>
      <w:r>
        <w:rPr>
          <w:rFonts w:ascii="Bookman Old Style" w:eastAsia="Arial Unicode MS" w:hAnsi="Bookman Old Style" w:cs="Arial Unicode MS"/>
          <w:sz w:val="24"/>
          <w:szCs w:val="24"/>
        </w:rPr>
        <w:t xml:space="preserve"> or to vote for.</w:t>
      </w:r>
      <w:r>
        <w:rPr>
          <w:rStyle w:val="FootnoteReference"/>
          <w:rFonts w:ascii="Bookman Old Style" w:eastAsia="Arial Unicode MS" w:hAnsi="Bookman Old Style" w:cs="Arial Unicode MS"/>
          <w:sz w:val="24"/>
          <w:szCs w:val="24"/>
        </w:rPr>
        <w:footnoteReference w:id="138"/>
      </w:r>
      <w:r>
        <w:rPr>
          <w:rFonts w:ascii="Bookman Old Style" w:eastAsia="Arial Unicode MS" w:hAnsi="Bookman Old Style" w:cs="Arial Unicode MS"/>
          <w:sz w:val="24"/>
          <w:szCs w:val="24"/>
        </w:rPr>
        <w:t xml:space="preserve"> On</w:t>
      </w:r>
      <w:r w:rsidR="00E76D73">
        <w:rPr>
          <w:rFonts w:ascii="Bookman Old Style" w:eastAsia="Arial Unicode MS" w:hAnsi="Bookman Old Style" w:cs="Arial Unicode MS"/>
          <w:sz w:val="24"/>
          <w:szCs w:val="24"/>
        </w:rPr>
        <w:t>c</w:t>
      </w:r>
      <w:r>
        <w:rPr>
          <w:rFonts w:ascii="Bookman Old Style" w:eastAsia="Arial Unicode MS" w:hAnsi="Bookman Old Style" w:cs="Arial Unicode MS"/>
          <w:sz w:val="24"/>
          <w:szCs w:val="24"/>
        </w:rPr>
        <w:t>e besmirched by an unfounded allegation</w:t>
      </w:r>
      <w:r w:rsidR="00E76D73">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 reputation can be damaged forever, especially if there is no opportunity to vindicate one’s reputation.</w:t>
      </w:r>
      <w:r>
        <w:rPr>
          <w:rStyle w:val="FootnoteReference"/>
          <w:rFonts w:ascii="Bookman Old Style" w:eastAsia="Arial Unicode MS" w:hAnsi="Bookman Old Style" w:cs="Arial Unicode MS"/>
          <w:sz w:val="24"/>
          <w:szCs w:val="24"/>
        </w:rPr>
        <w:footnoteReference w:id="139"/>
      </w:r>
      <w:r>
        <w:rPr>
          <w:rFonts w:ascii="Bookman Old Style" w:eastAsia="Arial Unicode MS" w:hAnsi="Bookman Old Style" w:cs="Arial Unicode MS"/>
          <w:sz w:val="24"/>
          <w:szCs w:val="24"/>
        </w:rPr>
        <w:t xml:space="preserve"> When this happen society as well as the individual is the loser.</w:t>
      </w:r>
      <w:r>
        <w:rPr>
          <w:rStyle w:val="FootnoteReference"/>
          <w:rFonts w:ascii="Bookman Old Style" w:eastAsia="Arial Unicode MS" w:hAnsi="Bookman Old Style" w:cs="Arial Unicode MS"/>
          <w:sz w:val="24"/>
          <w:szCs w:val="24"/>
        </w:rPr>
        <w:footnoteReference w:id="140"/>
      </w:r>
      <w:r w:rsidR="00BB5738">
        <w:rPr>
          <w:rFonts w:ascii="Bookman Old Style" w:eastAsia="Arial Unicode MS" w:hAnsi="Bookman Old Style" w:cs="Arial Unicode MS"/>
          <w:sz w:val="24"/>
          <w:szCs w:val="24"/>
        </w:rPr>
        <w:t xml:space="preserve"> For it should not be supposed that the protection of reputation is a matter of importance only to the affected individual, and family</w:t>
      </w:r>
      <w:r w:rsidR="005218F5">
        <w:rPr>
          <w:rFonts w:ascii="Bookman Old Style" w:eastAsia="Arial Unicode MS" w:hAnsi="Bookman Old Style" w:cs="Arial Unicode MS"/>
          <w:sz w:val="24"/>
          <w:szCs w:val="24"/>
        </w:rPr>
        <w:t>. Protection of reputation is c</w:t>
      </w:r>
      <w:r w:rsidR="00BB5738">
        <w:rPr>
          <w:rFonts w:ascii="Bookman Old Style" w:eastAsia="Arial Unicode MS" w:hAnsi="Bookman Old Style" w:cs="Arial Unicode MS"/>
          <w:sz w:val="24"/>
          <w:szCs w:val="24"/>
        </w:rPr>
        <w:t xml:space="preserve">onducive to the public </w:t>
      </w:r>
      <w:r w:rsidR="00BB5738">
        <w:rPr>
          <w:rFonts w:ascii="Bookman Old Style" w:eastAsia="Arial Unicode MS" w:hAnsi="Bookman Old Style" w:cs="Arial Unicode MS"/>
          <w:sz w:val="24"/>
          <w:szCs w:val="24"/>
        </w:rPr>
        <w:lastRenderedPageBreak/>
        <w:t>good.</w:t>
      </w:r>
      <w:r w:rsidR="00BB5738">
        <w:rPr>
          <w:rStyle w:val="FootnoteReference"/>
          <w:rFonts w:ascii="Bookman Old Style" w:eastAsia="Arial Unicode MS" w:hAnsi="Bookman Old Style" w:cs="Arial Unicode MS"/>
          <w:sz w:val="24"/>
          <w:szCs w:val="24"/>
        </w:rPr>
        <w:footnoteReference w:id="141"/>
      </w:r>
      <w:r w:rsidR="00BB5738">
        <w:rPr>
          <w:rFonts w:ascii="Bookman Old Style" w:eastAsia="Arial Unicode MS" w:hAnsi="Bookman Old Style" w:cs="Arial Unicode MS"/>
          <w:sz w:val="24"/>
          <w:szCs w:val="24"/>
        </w:rPr>
        <w:t xml:space="preserve"> It is in the public interest</w:t>
      </w:r>
      <w:r w:rsidR="000C11F4">
        <w:rPr>
          <w:rFonts w:ascii="Bookman Old Style" w:eastAsia="Arial Unicode MS" w:hAnsi="Bookman Old Style" w:cs="Arial Unicode MS"/>
          <w:sz w:val="24"/>
          <w:szCs w:val="24"/>
        </w:rPr>
        <w:t xml:space="preserve"> that the reputation of public figures should not be debased falsely.</w:t>
      </w:r>
      <w:r w:rsidR="000C11F4">
        <w:rPr>
          <w:rStyle w:val="FootnoteReference"/>
          <w:rFonts w:ascii="Bookman Old Style" w:eastAsia="Arial Unicode MS" w:hAnsi="Bookman Old Style" w:cs="Arial Unicode MS"/>
          <w:sz w:val="24"/>
          <w:szCs w:val="24"/>
        </w:rPr>
        <w:footnoteReference w:id="142"/>
      </w:r>
      <w:r w:rsidR="00BB5738">
        <w:rPr>
          <w:rFonts w:ascii="Bookman Old Style" w:eastAsia="Arial Unicode MS" w:hAnsi="Bookman Old Style" w:cs="Arial Unicode MS"/>
          <w:sz w:val="24"/>
          <w:szCs w:val="24"/>
        </w:rPr>
        <w:t xml:space="preserve"> </w:t>
      </w:r>
      <w:r w:rsidR="000C11F4">
        <w:rPr>
          <w:rFonts w:ascii="Bookman Old Style" w:eastAsia="Arial Unicode MS" w:hAnsi="Bookman Old Style" w:cs="Arial Unicode MS"/>
          <w:sz w:val="24"/>
          <w:szCs w:val="24"/>
        </w:rPr>
        <w:t>In the political field, in order to make an informed choice the electorate needs to be able to identify the good as well as the bad.</w:t>
      </w:r>
      <w:r w:rsidR="000C11F4">
        <w:rPr>
          <w:rStyle w:val="FootnoteReference"/>
          <w:rFonts w:ascii="Bookman Old Style" w:eastAsia="Arial Unicode MS" w:hAnsi="Bookman Old Style" w:cs="Arial Unicode MS"/>
          <w:sz w:val="24"/>
          <w:szCs w:val="24"/>
        </w:rPr>
        <w:footnoteReference w:id="143"/>
      </w:r>
      <w:r w:rsidR="000C11F4">
        <w:rPr>
          <w:rFonts w:ascii="Bookman Old Style" w:eastAsia="Arial Unicode MS" w:hAnsi="Bookman Old Style" w:cs="Arial Unicode MS"/>
          <w:sz w:val="24"/>
          <w:szCs w:val="24"/>
        </w:rPr>
        <w:t xml:space="preserve"> Consistently with thes</w:t>
      </w:r>
      <w:r w:rsidR="005218F5">
        <w:rPr>
          <w:rFonts w:ascii="Bookman Old Style" w:eastAsia="Arial Unicode MS" w:hAnsi="Bookman Old Style" w:cs="Arial Unicode MS"/>
          <w:sz w:val="24"/>
          <w:szCs w:val="24"/>
        </w:rPr>
        <w:t>e considerations, human rights c</w:t>
      </w:r>
      <w:r w:rsidR="000C11F4">
        <w:rPr>
          <w:rFonts w:ascii="Bookman Old Style" w:eastAsia="Arial Unicode MS" w:hAnsi="Bookman Old Style" w:cs="Arial Unicode MS"/>
          <w:sz w:val="24"/>
          <w:szCs w:val="24"/>
        </w:rPr>
        <w:t xml:space="preserve">onventions </w:t>
      </w:r>
      <w:r w:rsidR="00E76D73">
        <w:rPr>
          <w:rFonts w:ascii="Bookman Old Style" w:eastAsia="Arial Unicode MS" w:hAnsi="Bookman Old Style" w:cs="Arial Unicode MS"/>
          <w:sz w:val="24"/>
          <w:szCs w:val="24"/>
        </w:rPr>
        <w:t>recognise that</w:t>
      </w:r>
      <w:r w:rsidR="000C11F4">
        <w:rPr>
          <w:rFonts w:ascii="Bookman Old Style" w:eastAsia="Arial Unicode MS" w:hAnsi="Bookman Old Style" w:cs="Arial Unicode MS"/>
          <w:sz w:val="24"/>
          <w:szCs w:val="24"/>
        </w:rPr>
        <w:t xml:space="preserve"> freedom of expression is not </w:t>
      </w:r>
      <w:r w:rsidR="00E76D73">
        <w:rPr>
          <w:rFonts w:ascii="Bookman Old Style" w:eastAsia="Arial Unicode MS" w:hAnsi="Bookman Old Style" w:cs="Arial Unicode MS"/>
          <w:sz w:val="24"/>
          <w:szCs w:val="24"/>
        </w:rPr>
        <w:t xml:space="preserve">an </w:t>
      </w:r>
      <w:r w:rsidR="000C11F4">
        <w:rPr>
          <w:rFonts w:ascii="Bookman Old Style" w:eastAsia="Arial Unicode MS" w:hAnsi="Bookman Old Style" w:cs="Arial Unicode MS"/>
          <w:sz w:val="24"/>
          <w:szCs w:val="24"/>
        </w:rPr>
        <w:t>absolute right.</w:t>
      </w:r>
      <w:r w:rsidR="000C11F4">
        <w:rPr>
          <w:rStyle w:val="FootnoteReference"/>
          <w:rFonts w:ascii="Bookman Old Style" w:eastAsia="Arial Unicode MS" w:hAnsi="Bookman Old Style" w:cs="Arial Unicode MS"/>
          <w:sz w:val="24"/>
          <w:szCs w:val="24"/>
        </w:rPr>
        <w:footnoteReference w:id="144"/>
      </w:r>
      <w:r w:rsidR="000C11F4">
        <w:rPr>
          <w:rFonts w:ascii="Bookman Old Style" w:eastAsia="Arial Unicode MS" w:hAnsi="Bookman Old Style" w:cs="Arial Unicode MS"/>
          <w:sz w:val="24"/>
          <w:szCs w:val="24"/>
        </w:rPr>
        <w:t xml:space="preserve"> Its exercise may be subject to such restrictions as are prescribed by law, and are necessary in a democratic society for the protection of others.</w:t>
      </w:r>
      <w:r w:rsidR="000C11F4">
        <w:rPr>
          <w:rStyle w:val="FootnoteReference"/>
          <w:rFonts w:ascii="Bookman Old Style" w:eastAsia="Arial Unicode MS" w:hAnsi="Bookman Old Style" w:cs="Arial Unicode MS"/>
          <w:sz w:val="24"/>
          <w:szCs w:val="24"/>
        </w:rPr>
        <w:footnoteReference w:id="145"/>
      </w:r>
    </w:p>
    <w:p w:rsidR="00E76D73" w:rsidRDefault="000C11F4" w:rsidP="00B045F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It is therefore clear that an application for an interim injunction in defamation cases presents, and represents a tension between the rights to expression, and the need to protect in app</w:t>
      </w:r>
      <w:r w:rsidR="00E76D73">
        <w:rPr>
          <w:rFonts w:ascii="Bookman Old Style" w:eastAsia="Arial Unicode MS" w:hAnsi="Bookman Old Style" w:cs="Arial Unicode MS"/>
          <w:sz w:val="24"/>
          <w:szCs w:val="24"/>
        </w:rPr>
        <w:t>ropriate cases, reputation. How</w:t>
      </w:r>
      <w:r>
        <w:rPr>
          <w:rFonts w:ascii="Bookman Old Style" w:eastAsia="Arial Unicode MS" w:hAnsi="Bookman Old Style" w:cs="Arial Unicode MS"/>
          <w:sz w:val="24"/>
          <w:szCs w:val="24"/>
        </w:rPr>
        <w:t xml:space="preserve"> then is this tension to be </w:t>
      </w:r>
      <w:r w:rsidR="005759F0">
        <w:rPr>
          <w:rFonts w:ascii="Bookman Old Style" w:eastAsia="Arial Unicode MS" w:hAnsi="Bookman Old Style" w:cs="Arial Unicode MS"/>
          <w:sz w:val="24"/>
          <w:szCs w:val="24"/>
        </w:rPr>
        <w:t>resolved?</w:t>
      </w:r>
      <w:r>
        <w:rPr>
          <w:rFonts w:ascii="Bookman Old Style" w:eastAsia="Arial Unicode MS" w:hAnsi="Bookman Old Style" w:cs="Arial Unicode MS"/>
          <w:sz w:val="24"/>
          <w:szCs w:val="24"/>
        </w:rPr>
        <w:t xml:space="preserve"> The answer </w:t>
      </w:r>
      <w:r w:rsidR="00E76D73">
        <w:rPr>
          <w:rFonts w:ascii="Bookman Old Style" w:eastAsia="Arial Unicode MS" w:hAnsi="Bookman Old Style" w:cs="Arial Unicode MS"/>
          <w:sz w:val="24"/>
          <w:szCs w:val="24"/>
        </w:rPr>
        <w:t xml:space="preserve">in my opinion </w:t>
      </w:r>
      <w:r>
        <w:rPr>
          <w:rFonts w:ascii="Bookman Old Style" w:eastAsia="Arial Unicode MS" w:hAnsi="Bookman Old Style" w:cs="Arial Unicode MS"/>
          <w:sz w:val="24"/>
          <w:szCs w:val="24"/>
        </w:rPr>
        <w:t xml:space="preserve">is to be found in the case of </w:t>
      </w:r>
      <w:r w:rsidRPr="00585ECC">
        <w:rPr>
          <w:rFonts w:ascii="Bookman Old Style" w:eastAsia="Arial Unicode MS" w:hAnsi="Bookman Old Style" w:cs="Arial Unicode MS"/>
          <w:i/>
          <w:sz w:val="24"/>
          <w:szCs w:val="24"/>
        </w:rPr>
        <w:t>Sata v Post Newspapers Limited and Another</w:t>
      </w:r>
      <w:r>
        <w:rPr>
          <w:rFonts w:ascii="Bookman Old Style" w:eastAsia="Arial Unicode MS" w:hAnsi="Bookman Old Style" w:cs="Arial Unicode MS"/>
          <w:sz w:val="24"/>
          <w:szCs w:val="24"/>
        </w:rPr>
        <w:t>.</w:t>
      </w:r>
      <w:r>
        <w:rPr>
          <w:rStyle w:val="FootnoteReference"/>
          <w:rFonts w:ascii="Bookman Old Style" w:eastAsia="Arial Unicode MS" w:hAnsi="Bookman Old Style" w:cs="Arial Unicode MS"/>
          <w:sz w:val="24"/>
          <w:szCs w:val="24"/>
        </w:rPr>
        <w:footnoteReference w:id="146"/>
      </w:r>
      <w:r>
        <w:rPr>
          <w:rFonts w:ascii="Bookman Old Style" w:eastAsia="Arial Unicode MS" w:hAnsi="Bookman Old Style" w:cs="Arial Unicode MS"/>
          <w:sz w:val="24"/>
          <w:szCs w:val="24"/>
        </w:rPr>
        <w:t xml:space="preserve"> </w:t>
      </w:r>
      <w:r w:rsidR="00585ECC">
        <w:rPr>
          <w:rFonts w:ascii="Bookman Old Style" w:eastAsia="Arial Unicode MS" w:hAnsi="Bookman Old Style" w:cs="Arial Unicode MS"/>
          <w:sz w:val="24"/>
          <w:szCs w:val="24"/>
        </w:rPr>
        <w:t xml:space="preserve">The erstwhile </w:t>
      </w:r>
      <w:r w:rsidR="00E76D73">
        <w:rPr>
          <w:rFonts w:ascii="Bookman Old Style" w:eastAsia="Arial Unicode MS" w:hAnsi="Bookman Old Style" w:cs="Arial Unicode MS"/>
          <w:sz w:val="24"/>
          <w:szCs w:val="24"/>
        </w:rPr>
        <w:t xml:space="preserve">Chief Justice </w:t>
      </w:r>
      <w:r w:rsidR="00585ECC">
        <w:rPr>
          <w:rFonts w:ascii="Bookman Old Style" w:eastAsia="Arial Unicode MS" w:hAnsi="Bookman Old Style" w:cs="Arial Unicode MS"/>
          <w:sz w:val="24"/>
          <w:szCs w:val="24"/>
        </w:rPr>
        <w:t xml:space="preserve">Ngulube sitting in the High Court had </w:t>
      </w:r>
      <w:r w:rsidR="00E76D73">
        <w:rPr>
          <w:rFonts w:ascii="Bookman Old Style" w:eastAsia="Arial Unicode MS" w:hAnsi="Bookman Old Style" w:cs="Arial Unicode MS"/>
          <w:sz w:val="24"/>
          <w:szCs w:val="24"/>
        </w:rPr>
        <w:t>occasion to consider</w:t>
      </w:r>
      <w:r w:rsidR="00585ECC">
        <w:rPr>
          <w:rFonts w:ascii="Bookman Old Style" w:eastAsia="Arial Unicode MS" w:hAnsi="Bookman Old Style" w:cs="Arial Unicode MS"/>
          <w:sz w:val="24"/>
          <w:szCs w:val="24"/>
        </w:rPr>
        <w:t xml:space="preserve"> the question whether or not the law of defamation derogates from, </w:t>
      </w:r>
      <w:r w:rsidR="00585ECC" w:rsidRPr="00E76D73">
        <w:rPr>
          <w:rFonts w:ascii="Bookman Old Style" w:eastAsia="Arial Unicode MS" w:hAnsi="Bookman Old Style" w:cs="Arial Unicode MS"/>
          <w:i/>
          <w:sz w:val="24"/>
          <w:szCs w:val="24"/>
        </w:rPr>
        <w:t>inter alia</w:t>
      </w:r>
      <w:r w:rsidR="00585ECC">
        <w:rPr>
          <w:rFonts w:ascii="Bookman Old Style" w:eastAsia="Arial Unicode MS" w:hAnsi="Bookman Old Style" w:cs="Arial Unicode MS"/>
          <w:sz w:val="24"/>
          <w:szCs w:val="24"/>
        </w:rPr>
        <w:t>, pres</w:t>
      </w:r>
      <w:r w:rsidR="005218F5">
        <w:rPr>
          <w:rFonts w:ascii="Bookman Old Style" w:eastAsia="Arial Unicode MS" w:hAnsi="Bookman Old Style" w:cs="Arial Unicode MS"/>
          <w:sz w:val="24"/>
          <w:szCs w:val="24"/>
        </w:rPr>
        <w:t>s freedom as guaranteed by the C</w:t>
      </w:r>
      <w:r w:rsidR="00585ECC">
        <w:rPr>
          <w:rFonts w:ascii="Bookman Old Style" w:eastAsia="Arial Unicode MS" w:hAnsi="Bookman Old Style" w:cs="Arial Unicode MS"/>
          <w:sz w:val="24"/>
          <w:szCs w:val="24"/>
        </w:rPr>
        <w:t>onstitution.</w:t>
      </w:r>
      <w:r w:rsidR="00585ECC">
        <w:rPr>
          <w:rStyle w:val="FootnoteReference"/>
          <w:rFonts w:ascii="Bookman Old Style" w:eastAsia="Arial Unicode MS" w:hAnsi="Bookman Old Style" w:cs="Arial Unicode MS"/>
          <w:sz w:val="24"/>
          <w:szCs w:val="24"/>
        </w:rPr>
        <w:footnoteReference w:id="147"/>
      </w:r>
      <w:r w:rsidR="00585ECC">
        <w:rPr>
          <w:rFonts w:ascii="Bookman Old Style" w:eastAsia="Arial Unicode MS" w:hAnsi="Bookman Old Style" w:cs="Arial Unicode MS"/>
          <w:sz w:val="24"/>
          <w:szCs w:val="24"/>
        </w:rPr>
        <w:t xml:space="preserve"> </w:t>
      </w:r>
      <w:r w:rsidR="0087120A">
        <w:rPr>
          <w:rFonts w:ascii="Bookman Old Style" w:eastAsia="Arial Unicode MS" w:hAnsi="Bookman Old Style" w:cs="Arial Unicode MS"/>
          <w:sz w:val="24"/>
          <w:szCs w:val="24"/>
        </w:rPr>
        <w:t xml:space="preserve">And if so, what modification would reasonably be required to be imported or imposed in order to give </w:t>
      </w:r>
      <w:r w:rsidR="00E76D73">
        <w:rPr>
          <w:rFonts w:ascii="Bookman Old Style" w:eastAsia="Arial Unicode MS" w:hAnsi="Bookman Old Style" w:cs="Arial Unicode MS"/>
          <w:sz w:val="24"/>
          <w:szCs w:val="24"/>
        </w:rPr>
        <w:t>effect to the intention of the C</w:t>
      </w:r>
      <w:r w:rsidR="0087120A">
        <w:rPr>
          <w:rFonts w:ascii="Bookman Old Style" w:eastAsia="Arial Unicode MS" w:hAnsi="Bookman Old Style" w:cs="Arial Unicode MS"/>
          <w:sz w:val="24"/>
          <w:szCs w:val="24"/>
        </w:rPr>
        <w:t xml:space="preserve">onstitution. </w:t>
      </w:r>
    </w:p>
    <w:p w:rsidR="00FF309F" w:rsidRDefault="00B06991" w:rsidP="00B045F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facts in the </w:t>
      </w:r>
      <w:r w:rsidRPr="005759F0">
        <w:rPr>
          <w:rFonts w:ascii="Bookman Old Style" w:eastAsia="Arial Unicode MS" w:hAnsi="Bookman Old Style" w:cs="Arial Unicode MS"/>
          <w:i/>
          <w:sz w:val="24"/>
          <w:szCs w:val="24"/>
        </w:rPr>
        <w:t>Sata case</w:t>
      </w:r>
      <w:r>
        <w:rPr>
          <w:rFonts w:ascii="Bookman Old Style" w:eastAsia="Arial Unicode MS" w:hAnsi="Bookman Old Style" w:cs="Arial Unicode MS"/>
          <w:sz w:val="24"/>
          <w:szCs w:val="24"/>
        </w:rPr>
        <w:t xml:space="preserve"> were </w:t>
      </w:r>
      <w:r w:rsidR="005218F5">
        <w:rPr>
          <w:rFonts w:ascii="Bookman Old Style" w:eastAsia="Arial Unicode MS" w:hAnsi="Bookman Old Style" w:cs="Arial Unicode MS"/>
          <w:sz w:val="24"/>
          <w:szCs w:val="24"/>
        </w:rPr>
        <w:t>t</w:t>
      </w:r>
      <w:r>
        <w:rPr>
          <w:rFonts w:ascii="Bookman Old Style" w:eastAsia="Arial Unicode MS" w:hAnsi="Bookman Old Style" w:cs="Arial Unicode MS"/>
          <w:sz w:val="24"/>
          <w:szCs w:val="24"/>
        </w:rPr>
        <w:t>hat the plaintiff, (the same</w:t>
      </w:r>
      <w:r w:rsidR="005218F5">
        <w:rPr>
          <w:rFonts w:ascii="Bookman Old Style" w:eastAsia="Arial Unicode MS" w:hAnsi="Bookman Old Style" w:cs="Arial Unicode MS"/>
          <w:sz w:val="24"/>
          <w:szCs w:val="24"/>
        </w:rPr>
        <w:t xml:space="preserve"> plaintiff</w:t>
      </w:r>
      <w:r>
        <w:rPr>
          <w:rFonts w:ascii="Bookman Old Style" w:eastAsia="Arial Unicode MS" w:hAnsi="Bookman Old Style" w:cs="Arial Unicode MS"/>
          <w:sz w:val="24"/>
          <w:szCs w:val="24"/>
        </w:rPr>
        <w:t xml:space="preserve"> in this action), a politician, a public figure, and official holding a ministerial appointment at the material time, commenced three separate suits for defamation against the defendants, for publishing in their newspaper </w:t>
      </w:r>
      <w:r w:rsidRPr="00E76D73">
        <w:rPr>
          <w:rFonts w:ascii="Bookman Old Style" w:eastAsia="Arial Unicode MS" w:hAnsi="Bookman Old Style" w:cs="Arial Unicode MS"/>
          <w:i/>
          <w:sz w:val="24"/>
          <w:szCs w:val="24"/>
        </w:rPr>
        <w:t>The Post</w:t>
      </w:r>
      <w:r>
        <w:rPr>
          <w:rFonts w:ascii="Bookman Old Style" w:eastAsia="Arial Unicode MS" w:hAnsi="Bookman Old Style" w:cs="Arial Unicode MS"/>
          <w:sz w:val="24"/>
          <w:szCs w:val="24"/>
        </w:rPr>
        <w:t>, various articles, and a cartoon alleged to be defamatory of the plaintiff.</w:t>
      </w:r>
    </w:p>
    <w:p w:rsidR="00FF309F" w:rsidRDefault="00FF309F" w:rsidP="00B045F9">
      <w:pPr>
        <w:spacing w:before="240" w:line="360" w:lineRule="auto"/>
        <w:jc w:val="both"/>
        <w:rPr>
          <w:rFonts w:ascii="Bookman Old Style" w:eastAsia="Arial Unicode MS" w:hAnsi="Bookman Old Style" w:cs="Arial Unicode MS"/>
          <w:sz w:val="24"/>
          <w:szCs w:val="24"/>
        </w:rPr>
      </w:pPr>
    </w:p>
    <w:p w:rsidR="006C2E5D" w:rsidRDefault="00FF309F" w:rsidP="00B045F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lastRenderedPageBreak/>
        <w:t xml:space="preserve">In response to the suit, the defendant pleaded justification, and fair comment on a matter of public interest. The three actions were consolidated. The defendants argued in </w:t>
      </w:r>
      <w:r w:rsidR="00E76D73">
        <w:rPr>
          <w:rFonts w:ascii="Bookman Old Style" w:eastAsia="Arial Unicode MS" w:hAnsi="Bookman Old Style" w:cs="Arial Unicode MS"/>
          <w:sz w:val="24"/>
          <w:szCs w:val="24"/>
        </w:rPr>
        <w:t>their defence that because the C</w:t>
      </w:r>
      <w:r>
        <w:rPr>
          <w:rFonts w:ascii="Bookman Old Style" w:eastAsia="Arial Unicode MS" w:hAnsi="Bookman Old Style" w:cs="Arial Unicode MS"/>
          <w:sz w:val="24"/>
          <w:szCs w:val="24"/>
        </w:rPr>
        <w:t>onstitution specifically recognises freedom of the press, it was necessary to modify the common law principles of defamation, and thereby give the press sufficient latit</w:t>
      </w:r>
      <w:r w:rsidR="00E76D73">
        <w:rPr>
          <w:rFonts w:ascii="Bookman Old Style" w:eastAsia="Arial Unicode MS" w:hAnsi="Bookman Old Style" w:cs="Arial Unicode MS"/>
          <w:sz w:val="24"/>
          <w:szCs w:val="24"/>
        </w:rPr>
        <w:t>ude to criticise, and scrutinise public officials.</w:t>
      </w:r>
      <w:r>
        <w:rPr>
          <w:rFonts w:ascii="Bookman Old Style" w:eastAsia="Arial Unicode MS" w:hAnsi="Bookman Old Style" w:cs="Arial Unicode MS"/>
          <w:sz w:val="24"/>
          <w:szCs w:val="24"/>
        </w:rPr>
        <w:t xml:space="preserve"> </w:t>
      </w:r>
      <w:r w:rsidR="00E76D73">
        <w:rPr>
          <w:rFonts w:ascii="Bookman Old Style" w:eastAsia="Arial Unicode MS" w:hAnsi="Bookman Old Style" w:cs="Arial Unicode MS"/>
          <w:sz w:val="24"/>
          <w:szCs w:val="24"/>
        </w:rPr>
        <w:t>It</w:t>
      </w:r>
      <w:r>
        <w:rPr>
          <w:rFonts w:ascii="Bookman Old Style" w:eastAsia="Arial Unicode MS" w:hAnsi="Bookman Old Style" w:cs="Arial Unicode MS"/>
          <w:sz w:val="24"/>
          <w:szCs w:val="24"/>
        </w:rPr>
        <w:t xml:space="preserve"> was</w:t>
      </w:r>
      <w:r w:rsidR="0026250E">
        <w:rPr>
          <w:rFonts w:ascii="Bookman Old Style" w:eastAsia="Arial Unicode MS" w:hAnsi="Bookman Old Style" w:cs="Arial Unicode MS"/>
          <w:sz w:val="24"/>
          <w:szCs w:val="24"/>
        </w:rPr>
        <w:t xml:space="preserve"> further argued that since there is similarity between the provisions in the Zambia</w:t>
      </w:r>
      <w:r w:rsidR="00BB7839">
        <w:rPr>
          <w:rFonts w:ascii="Bookman Old Style" w:eastAsia="Arial Unicode MS" w:hAnsi="Bookman Old Style" w:cs="Arial Unicode MS"/>
          <w:sz w:val="24"/>
          <w:szCs w:val="24"/>
        </w:rPr>
        <w:t>n C</w:t>
      </w:r>
      <w:r w:rsidR="0026250E">
        <w:rPr>
          <w:rFonts w:ascii="Bookman Old Style" w:eastAsia="Arial Unicode MS" w:hAnsi="Bookman Old Style" w:cs="Arial Unicode MS"/>
          <w:sz w:val="24"/>
          <w:szCs w:val="24"/>
        </w:rPr>
        <w:t xml:space="preserve">onstitution, and that </w:t>
      </w:r>
      <w:r w:rsidR="00BB7839">
        <w:rPr>
          <w:rFonts w:ascii="Bookman Old Style" w:eastAsia="Arial Unicode MS" w:hAnsi="Bookman Old Style" w:cs="Arial Unicode MS"/>
          <w:sz w:val="24"/>
          <w:szCs w:val="24"/>
        </w:rPr>
        <w:t xml:space="preserve">of </w:t>
      </w:r>
      <w:r w:rsidR="0026250E">
        <w:rPr>
          <w:rFonts w:ascii="Bookman Old Style" w:eastAsia="Arial Unicode MS" w:hAnsi="Bookman Old Style" w:cs="Arial Unicode MS"/>
          <w:sz w:val="24"/>
          <w:szCs w:val="24"/>
        </w:rPr>
        <w:t>the United States of America</w:t>
      </w:r>
      <w:r w:rsidR="00BB7839">
        <w:rPr>
          <w:rFonts w:ascii="Bookman Old Style" w:eastAsia="Arial Unicode MS" w:hAnsi="Bookman Old Style" w:cs="Arial Unicode MS"/>
          <w:sz w:val="24"/>
          <w:szCs w:val="24"/>
        </w:rPr>
        <w:t>,</w:t>
      </w:r>
      <w:r w:rsidR="0026250E">
        <w:rPr>
          <w:rFonts w:ascii="Bookman Old Style" w:eastAsia="Arial Unicode MS" w:hAnsi="Bookman Old Style" w:cs="Arial Unicode MS"/>
          <w:sz w:val="24"/>
          <w:szCs w:val="24"/>
        </w:rPr>
        <w:t xml:space="preserve"> the High Court should follow the approach adopted by the American Courts</w:t>
      </w:r>
      <w:r w:rsidR="00BB7839">
        <w:rPr>
          <w:rFonts w:ascii="Bookman Old Style" w:eastAsia="Arial Unicode MS" w:hAnsi="Bookman Old Style" w:cs="Arial Unicode MS"/>
          <w:sz w:val="24"/>
          <w:szCs w:val="24"/>
        </w:rPr>
        <w:t>,</w:t>
      </w:r>
      <w:r w:rsidR="0026250E">
        <w:rPr>
          <w:rFonts w:ascii="Bookman Old Style" w:eastAsia="Arial Unicode MS" w:hAnsi="Bookman Old Style" w:cs="Arial Unicode MS"/>
          <w:sz w:val="24"/>
          <w:szCs w:val="24"/>
        </w:rPr>
        <w:t xml:space="preserve"> as opposed to the Courts in England. Specifically, it was suggested that the Court should</w:t>
      </w:r>
      <w:r w:rsidR="006C2E5D">
        <w:rPr>
          <w:rFonts w:ascii="Bookman Old Style" w:eastAsia="Arial Unicode MS" w:hAnsi="Bookman Old Style" w:cs="Arial Unicode MS"/>
          <w:sz w:val="24"/>
          <w:szCs w:val="24"/>
        </w:rPr>
        <w:t xml:space="preserve"> follow the decision in </w:t>
      </w:r>
      <w:r w:rsidR="006C2E5D" w:rsidRPr="006C2E5D">
        <w:rPr>
          <w:rFonts w:ascii="Bookman Old Style" w:eastAsia="Arial Unicode MS" w:hAnsi="Bookman Old Style" w:cs="Arial Unicode MS"/>
          <w:i/>
          <w:sz w:val="24"/>
          <w:szCs w:val="24"/>
        </w:rPr>
        <w:t>Newyork Times v Sullivan</w:t>
      </w:r>
      <w:r w:rsidR="00BB7839">
        <w:rPr>
          <w:rFonts w:ascii="Bookman Old Style" w:eastAsia="Arial Unicode MS" w:hAnsi="Bookman Old Style" w:cs="Arial Unicode MS"/>
          <w:sz w:val="24"/>
          <w:szCs w:val="24"/>
        </w:rPr>
        <w:t>,</w:t>
      </w:r>
      <w:r w:rsidR="006C2E5D">
        <w:rPr>
          <w:rStyle w:val="FootnoteReference"/>
          <w:rFonts w:ascii="Bookman Old Style" w:eastAsia="Arial Unicode MS" w:hAnsi="Bookman Old Style" w:cs="Arial Unicode MS"/>
          <w:sz w:val="24"/>
          <w:szCs w:val="24"/>
        </w:rPr>
        <w:footnoteReference w:id="148"/>
      </w:r>
      <w:r w:rsidR="00BB7839">
        <w:rPr>
          <w:rFonts w:ascii="Bookman Old Style" w:eastAsia="Arial Unicode MS" w:hAnsi="Bookman Old Style" w:cs="Arial Unicode MS"/>
          <w:sz w:val="24"/>
          <w:szCs w:val="24"/>
        </w:rPr>
        <w:t xml:space="preserve"> i</w:t>
      </w:r>
      <w:r w:rsidR="006C2E5D">
        <w:rPr>
          <w:rFonts w:ascii="Bookman Old Style" w:eastAsia="Arial Unicode MS" w:hAnsi="Bookman Old Style" w:cs="Arial Unicode MS"/>
          <w:sz w:val="24"/>
          <w:szCs w:val="24"/>
        </w:rPr>
        <w:t xml:space="preserve">n which the Supreme Court of the United </w:t>
      </w:r>
      <w:r w:rsidR="00024E0E">
        <w:rPr>
          <w:rFonts w:ascii="Bookman Old Style" w:eastAsia="Arial Unicode MS" w:hAnsi="Bookman Old Style" w:cs="Arial Unicode MS"/>
          <w:sz w:val="24"/>
          <w:szCs w:val="24"/>
        </w:rPr>
        <w:t>States</w:t>
      </w:r>
      <w:r w:rsidR="006C2E5D">
        <w:rPr>
          <w:rFonts w:ascii="Bookman Old Style" w:eastAsia="Arial Unicode MS" w:hAnsi="Bookman Old Style" w:cs="Arial Unicode MS"/>
          <w:sz w:val="24"/>
          <w:szCs w:val="24"/>
        </w:rPr>
        <w:t xml:space="preserve"> of America laid down s</w:t>
      </w:r>
      <w:r w:rsidR="00BB7839">
        <w:rPr>
          <w:rFonts w:ascii="Bookman Old Style" w:eastAsia="Arial Unicode MS" w:hAnsi="Bookman Old Style" w:cs="Arial Unicode MS"/>
          <w:sz w:val="24"/>
          <w:szCs w:val="24"/>
        </w:rPr>
        <w:t>ome principles grounded in the First, and F</w:t>
      </w:r>
      <w:r w:rsidR="005759F0">
        <w:rPr>
          <w:rFonts w:ascii="Bookman Old Style" w:eastAsia="Arial Unicode MS" w:hAnsi="Bookman Old Style" w:cs="Arial Unicode MS"/>
          <w:sz w:val="24"/>
          <w:szCs w:val="24"/>
        </w:rPr>
        <w:t>ourteenth A</w:t>
      </w:r>
      <w:r w:rsidR="006C2E5D">
        <w:rPr>
          <w:rFonts w:ascii="Bookman Old Style" w:eastAsia="Arial Unicode MS" w:hAnsi="Bookman Old Style" w:cs="Arial Unicode MS"/>
          <w:sz w:val="24"/>
          <w:szCs w:val="24"/>
        </w:rPr>
        <w:t xml:space="preserve">mendments to settle libel actions by public officials in order to advance the goals of freedom of press, and free speech. </w:t>
      </w:r>
    </w:p>
    <w:p w:rsidR="006C2E5D" w:rsidRDefault="006C2E5D" w:rsidP="00B045F9">
      <w:pPr>
        <w:spacing w:before="240" w:line="360" w:lineRule="auto"/>
        <w:jc w:val="both"/>
        <w:rPr>
          <w:rFonts w:ascii="Bookman Old Style" w:eastAsia="Arial Unicode MS" w:hAnsi="Bookman Old Style" w:cs="Arial Unicode MS"/>
          <w:sz w:val="24"/>
          <w:szCs w:val="24"/>
        </w:rPr>
      </w:pPr>
    </w:p>
    <w:p w:rsidR="00024E0E" w:rsidRDefault="006C2E5D" w:rsidP="00B045F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It mu</w:t>
      </w:r>
      <w:r w:rsidR="00BB7839">
        <w:rPr>
          <w:rFonts w:ascii="Bookman Old Style" w:eastAsia="Arial Unicode MS" w:hAnsi="Bookman Old Style" w:cs="Arial Unicode MS"/>
          <w:sz w:val="24"/>
          <w:szCs w:val="24"/>
        </w:rPr>
        <w:t xml:space="preserve">st be noticed that the </w:t>
      </w:r>
      <w:r w:rsidR="005759F0">
        <w:rPr>
          <w:rFonts w:ascii="Bookman Old Style" w:eastAsia="Arial Unicode MS" w:hAnsi="Bookman Old Style" w:cs="Arial Unicode MS"/>
          <w:sz w:val="24"/>
          <w:szCs w:val="24"/>
        </w:rPr>
        <w:t xml:space="preserve">First Amendment </w:t>
      </w:r>
      <w:r>
        <w:rPr>
          <w:rFonts w:ascii="Bookman Old Style" w:eastAsia="Arial Unicode MS" w:hAnsi="Bookman Old Style" w:cs="Arial Unicode MS"/>
          <w:sz w:val="24"/>
          <w:szCs w:val="24"/>
        </w:rPr>
        <w:t>protects false, and defamatory speech critical of official conduct, unless the plaintiff can prove that the defendant knew the statement was false</w:t>
      </w:r>
      <w:r w:rsidR="00BB7839">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or acted with reckless disregard of its truth, or falsity.</w:t>
      </w:r>
      <w:r w:rsidR="00024E0E">
        <w:rPr>
          <w:rFonts w:ascii="Bookman Old Style" w:eastAsia="Arial Unicode MS" w:hAnsi="Bookman Old Style" w:cs="Arial Unicode MS"/>
          <w:sz w:val="24"/>
          <w:szCs w:val="24"/>
        </w:rPr>
        <w:t xml:space="preserve"> In the </w:t>
      </w:r>
      <w:r w:rsidR="00024E0E" w:rsidRPr="00BB7839">
        <w:rPr>
          <w:rFonts w:ascii="Bookman Old Style" w:eastAsia="Arial Unicode MS" w:hAnsi="Bookman Old Style" w:cs="Arial Unicode MS"/>
          <w:i/>
          <w:sz w:val="24"/>
          <w:szCs w:val="24"/>
        </w:rPr>
        <w:t>Sullivan case</w:t>
      </w:r>
      <w:r w:rsidR="005218F5">
        <w:rPr>
          <w:rFonts w:ascii="Bookman Old Style" w:eastAsia="Arial Unicode MS" w:hAnsi="Bookman Old Style" w:cs="Arial Unicode MS"/>
          <w:i/>
          <w:sz w:val="24"/>
          <w:szCs w:val="24"/>
        </w:rPr>
        <w:t>,</w:t>
      </w:r>
      <w:r w:rsidR="00024E0E">
        <w:rPr>
          <w:rFonts w:ascii="Bookman Old Style" w:eastAsia="Arial Unicode MS" w:hAnsi="Bookman Old Style" w:cs="Arial Unicode MS"/>
          <w:sz w:val="24"/>
          <w:szCs w:val="24"/>
        </w:rPr>
        <w:t xml:space="preserve"> the Supreme Court of the United States of America also he</w:t>
      </w:r>
      <w:r w:rsidR="005759F0">
        <w:rPr>
          <w:rFonts w:ascii="Bookman Old Style" w:eastAsia="Arial Unicode MS" w:hAnsi="Bookman Old Style" w:cs="Arial Unicode MS"/>
          <w:sz w:val="24"/>
          <w:szCs w:val="24"/>
        </w:rPr>
        <w:t>ld that the F</w:t>
      </w:r>
      <w:r w:rsidR="00024E0E">
        <w:rPr>
          <w:rFonts w:ascii="Bookman Old Style" w:eastAsia="Arial Unicode MS" w:hAnsi="Bookman Old Style" w:cs="Arial Unicode MS"/>
          <w:sz w:val="24"/>
          <w:szCs w:val="24"/>
        </w:rPr>
        <w:t xml:space="preserve">irst Amendment requires debate on public issues to be uninhibited, and robust. It also accepted </w:t>
      </w:r>
      <w:r w:rsidR="00185B24">
        <w:rPr>
          <w:rFonts w:ascii="Bookman Old Style" w:eastAsia="Arial Unicode MS" w:hAnsi="Bookman Old Style" w:cs="Arial Unicode MS"/>
          <w:sz w:val="24"/>
          <w:szCs w:val="24"/>
        </w:rPr>
        <w:t>that</w:t>
      </w:r>
      <w:r w:rsidR="00BB7839">
        <w:rPr>
          <w:rFonts w:ascii="Bookman Old Style" w:eastAsia="Arial Unicode MS" w:hAnsi="Bookman Old Style" w:cs="Arial Unicode MS"/>
          <w:sz w:val="24"/>
          <w:szCs w:val="24"/>
        </w:rPr>
        <w:t xml:space="preserve"> </w:t>
      </w:r>
      <w:r w:rsidR="00024E0E">
        <w:rPr>
          <w:rFonts w:ascii="Bookman Old Style" w:eastAsia="Arial Unicode MS" w:hAnsi="Bookman Old Style" w:cs="Arial Unicode MS"/>
          <w:sz w:val="24"/>
          <w:szCs w:val="24"/>
        </w:rPr>
        <w:t xml:space="preserve">civil action for defamation could have a chilling effect on free speech; at least equal to that which could occur by threat of criminal prosecution. </w:t>
      </w:r>
    </w:p>
    <w:p w:rsidR="00024E0E" w:rsidRDefault="00024E0E" w:rsidP="00B045F9">
      <w:pPr>
        <w:spacing w:before="240" w:line="360" w:lineRule="auto"/>
        <w:jc w:val="both"/>
        <w:rPr>
          <w:rFonts w:ascii="Bookman Old Style" w:eastAsia="Arial Unicode MS" w:hAnsi="Bookman Old Style" w:cs="Arial Unicode MS"/>
          <w:sz w:val="24"/>
          <w:szCs w:val="24"/>
        </w:rPr>
      </w:pPr>
    </w:p>
    <w:p w:rsidR="00D04274" w:rsidRDefault="00024E0E" w:rsidP="00B045F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Chief Jus</w:t>
      </w:r>
      <w:r w:rsidR="00BB7839">
        <w:rPr>
          <w:rFonts w:ascii="Bookman Old Style" w:eastAsia="Arial Unicode MS" w:hAnsi="Bookman Old Style" w:cs="Arial Unicode MS"/>
          <w:sz w:val="24"/>
          <w:szCs w:val="24"/>
        </w:rPr>
        <w:t xml:space="preserve">tice Ngulube observed that the </w:t>
      </w:r>
      <w:r w:rsidR="009A359A">
        <w:rPr>
          <w:rFonts w:ascii="Bookman Old Style" w:eastAsia="Arial Unicode MS" w:hAnsi="Bookman Old Style" w:cs="Arial Unicode MS"/>
          <w:sz w:val="24"/>
          <w:szCs w:val="24"/>
        </w:rPr>
        <w:t xml:space="preserve">Zambian </w:t>
      </w:r>
      <w:r w:rsidR="00BB7839">
        <w:rPr>
          <w:rFonts w:ascii="Bookman Old Style" w:eastAsia="Arial Unicode MS" w:hAnsi="Bookman Old Style" w:cs="Arial Unicode MS"/>
          <w:sz w:val="24"/>
          <w:szCs w:val="24"/>
        </w:rPr>
        <w:t>C</w:t>
      </w:r>
      <w:r>
        <w:rPr>
          <w:rFonts w:ascii="Bookman Old Style" w:eastAsia="Arial Unicode MS" w:hAnsi="Bookman Old Style" w:cs="Arial Unicode MS"/>
          <w:sz w:val="24"/>
          <w:szCs w:val="24"/>
        </w:rPr>
        <w:t>onstitution</w:t>
      </w:r>
      <w:r>
        <w:rPr>
          <w:rStyle w:val="FootnoteReference"/>
          <w:rFonts w:ascii="Bookman Old Style" w:eastAsia="Arial Unicode MS" w:hAnsi="Bookman Old Style" w:cs="Arial Unicode MS"/>
          <w:sz w:val="24"/>
          <w:szCs w:val="24"/>
        </w:rPr>
        <w:footnoteReference w:id="149"/>
      </w:r>
      <w:r>
        <w:rPr>
          <w:rFonts w:ascii="Bookman Old Style" w:eastAsia="Arial Unicode MS" w:hAnsi="Bookman Old Style" w:cs="Arial Unicode MS"/>
          <w:sz w:val="24"/>
          <w:szCs w:val="24"/>
        </w:rPr>
        <w:t xml:space="preserve"> </w:t>
      </w:r>
      <w:r w:rsidR="00D04274">
        <w:rPr>
          <w:rFonts w:ascii="Bookman Old Style" w:eastAsia="Arial Unicode MS" w:hAnsi="Bookman Old Style" w:cs="Arial Unicode MS"/>
          <w:sz w:val="24"/>
          <w:szCs w:val="24"/>
        </w:rPr>
        <w:t xml:space="preserve">recognizes both freedom of the press, and the right to reputation. </w:t>
      </w:r>
      <w:r w:rsidR="00BB7839">
        <w:rPr>
          <w:rFonts w:ascii="Bookman Old Style" w:eastAsia="Arial Unicode MS" w:hAnsi="Bookman Old Style" w:cs="Arial Unicode MS"/>
          <w:sz w:val="24"/>
          <w:szCs w:val="24"/>
        </w:rPr>
        <w:t xml:space="preserve">He </w:t>
      </w:r>
      <w:r w:rsidR="00D04274">
        <w:rPr>
          <w:rFonts w:ascii="Bookman Old Style" w:eastAsia="Arial Unicode MS" w:hAnsi="Bookman Old Style" w:cs="Arial Unicode MS"/>
          <w:sz w:val="24"/>
          <w:szCs w:val="24"/>
        </w:rPr>
        <w:t xml:space="preserve">opined that a </w:t>
      </w:r>
      <w:r w:rsidR="00D04274">
        <w:rPr>
          <w:rFonts w:ascii="Bookman Old Style" w:eastAsia="Arial Unicode MS" w:hAnsi="Bookman Old Style" w:cs="Arial Unicode MS"/>
          <w:sz w:val="24"/>
          <w:szCs w:val="24"/>
        </w:rPr>
        <w:lastRenderedPageBreak/>
        <w:t>balance had to be struck. And he did not consider that a good balance can be struck by shifting the burden, or standard of proof; nor by straining to discover a new qualified privilege, nor by immunizing fals</w:t>
      </w:r>
      <w:r w:rsidR="00BB7839">
        <w:rPr>
          <w:rFonts w:ascii="Bookman Old Style" w:eastAsia="Arial Unicode MS" w:hAnsi="Bookman Old Style" w:cs="Arial Unicode MS"/>
          <w:sz w:val="24"/>
          <w:szCs w:val="24"/>
        </w:rPr>
        <w:t>ehood</w:t>
      </w:r>
      <w:r w:rsidR="005218F5">
        <w:rPr>
          <w:rFonts w:ascii="Bookman Old Style" w:eastAsia="Arial Unicode MS" w:hAnsi="Bookman Old Style" w:cs="Arial Unicode MS"/>
          <w:sz w:val="24"/>
          <w:szCs w:val="24"/>
        </w:rPr>
        <w:t>s</w:t>
      </w:r>
      <w:r w:rsidR="00BB7839">
        <w:rPr>
          <w:rFonts w:ascii="Bookman Old Style" w:eastAsia="Arial Unicode MS" w:hAnsi="Bookman Old Style" w:cs="Arial Unicode MS"/>
          <w:sz w:val="24"/>
          <w:szCs w:val="24"/>
        </w:rPr>
        <w:t xml:space="preserve"> to any greater extent than</w:t>
      </w:r>
      <w:r w:rsidR="00D04274">
        <w:rPr>
          <w:rFonts w:ascii="Bookman Old Style" w:eastAsia="Arial Unicode MS" w:hAnsi="Bookman Old Style" w:cs="Arial Unicode MS"/>
          <w:sz w:val="24"/>
          <w:szCs w:val="24"/>
        </w:rPr>
        <w:t xml:space="preserve"> the </w:t>
      </w:r>
      <w:r w:rsidR="00185B24">
        <w:rPr>
          <w:rFonts w:ascii="Bookman Old Style" w:eastAsia="Arial Unicode MS" w:hAnsi="Bookman Old Style" w:cs="Arial Unicode MS"/>
          <w:sz w:val="24"/>
          <w:szCs w:val="24"/>
        </w:rPr>
        <w:t>D</w:t>
      </w:r>
      <w:r w:rsidR="00D04274">
        <w:rPr>
          <w:rFonts w:ascii="Bookman Old Style" w:eastAsia="Arial Unicode MS" w:hAnsi="Bookman Old Style" w:cs="Arial Unicode MS"/>
          <w:sz w:val="24"/>
          <w:szCs w:val="24"/>
        </w:rPr>
        <w:t>efamation Act</w:t>
      </w:r>
      <w:r w:rsidR="00D04274">
        <w:rPr>
          <w:rStyle w:val="FootnoteReference"/>
          <w:rFonts w:ascii="Bookman Old Style" w:eastAsia="Arial Unicode MS" w:hAnsi="Bookman Old Style" w:cs="Arial Unicode MS"/>
          <w:sz w:val="24"/>
          <w:szCs w:val="24"/>
        </w:rPr>
        <w:footnoteReference w:id="150"/>
      </w:r>
      <w:r w:rsidR="00D04274">
        <w:rPr>
          <w:rFonts w:ascii="Bookman Old Style" w:eastAsia="Arial Unicode MS" w:hAnsi="Bookman Old Style" w:cs="Arial Unicode MS"/>
          <w:sz w:val="24"/>
          <w:szCs w:val="24"/>
        </w:rPr>
        <w:t xml:space="preserve"> already provides. Chief Justice Ngulube went on to observe that:</w:t>
      </w:r>
    </w:p>
    <w:p w:rsidR="00187A35" w:rsidRPr="00187A35" w:rsidRDefault="00D04274" w:rsidP="00187A35">
      <w:pPr>
        <w:spacing w:before="240" w:line="240" w:lineRule="auto"/>
        <w:jc w:val="both"/>
        <w:rPr>
          <w:rFonts w:ascii="Bookman Old Style" w:eastAsia="Arial Unicode MS" w:hAnsi="Bookman Old Style" w:cs="Arial Unicode MS"/>
          <w:i/>
          <w:sz w:val="24"/>
          <w:szCs w:val="24"/>
        </w:rPr>
      </w:pPr>
      <w:r>
        <w:rPr>
          <w:rFonts w:ascii="Bookman Old Style" w:eastAsia="Arial Unicode MS" w:hAnsi="Bookman Old Style" w:cs="Arial Unicode MS"/>
          <w:sz w:val="24"/>
          <w:szCs w:val="24"/>
        </w:rPr>
        <w:t>“</w:t>
      </w:r>
      <w:r w:rsidRPr="00187A35">
        <w:rPr>
          <w:rFonts w:ascii="Bookman Old Style" w:eastAsia="Arial Unicode MS" w:hAnsi="Bookman Old Style" w:cs="Arial Unicode MS"/>
          <w:i/>
          <w:sz w:val="24"/>
          <w:szCs w:val="24"/>
        </w:rPr>
        <w:t>I accept that impersonal criticism of public conduct leading to injury to official reputation should generally not attract liability if there is no actual malice, and even pu</w:t>
      </w:r>
      <w:r w:rsidR="00BB7839">
        <w:rPr>
          <w:rFonts w:ascii="Bookman Old Style" w:eastAsia="Arial Unicode MS" w:hAnsi="Bookman Old Style" w:cs="Arial Unicode MS"/>
          <w:i/>
          <w:sz w:val="24"/>
          <w:szCs w:val="24"/>
        </w:rPr>
        <w:t>rsuant to section 7 (b) of the D</w:t>
      </w:r>
      <w:r w:rsidRPr="00187A35">
        <w:rPr>
          <w:rFonts w:ascii="Bookman Old Style" w:eastAsia="Arial Unicode MS" w:hAnsi="Bookman Old Style" w:cs="Arial Unicode MS"/>
          <w:i/>
          <w:sz w:val="24"/>
          <w:szCs w:val="24"/>
        </w:rPr>
        <w:t>efamation Act, cap 70 (now cap 68) the truth of the facts alleged is not established if the reputation complained of is competent on the remainder of the facts actually proved. However, I would reject the proposition in Sullivan case to the extent that it sought to legalise character assassination of public official</w:t>
      </w:r>
      <w:r w:rsidR="00185B24">
        <w:rPr>
          <w:rFonts w:ascii="Bookman Old Style" w:eastAsia="Arial Unicode MS" w:hAnsi="Bookman Old Style" w:cs="Arial Unicode MS"/>
          <w:i/>
          <w:sz w:val="24"/>
          <w:szCs w:val="24"/>
        </w:rPr>
        <w:t>s</w:t>
      </w:r>
      <w:r w:rsidRPr="00187A35">
        <w:rPr>
          <w:rFonts w:ascii="Bookman Old Style" w:eastAsia="Arial Unicode MS" w:hAnsi="Bookman Old Style" w:cs="Arial Unicode MS"/>
          <w:i/>
          <w:sz w:val="24"/>
          <w:szCs w:val="24"/>
        </w:rPr>
        <w:t xml:space="preserve">, or to shift the burden of proof so that knowledge, or falsity </w:t>
      </w:r>
      <w:r w:rsidR="00BB7839">
        <w:rPr>
          <w:rFonts w:ascii="Bookman Old Style" w:eastAsia="Arial Unicode MS" w:hAnsi="Bookman Old Style" w:cs="Arial Unicode MS"/>
          <w:i/>
          <w:sz w:val="24"/>
          <w:szCs w:val="24"/>
        </w:rPr>
        <w:t xml:space="preserve">or </w:t>
      </w:r>
      <w:r w:rsidRPr="00187A35">
        <w:rPr>
          <w:rFonts w:ascii="Bookman Old Style" w:eastAsia="Arial Unicode MS" w:hAnsi="Bookman Old Style" w:cs="Arial Unicode MS"/>
          <w:i/>
          <w:sz w:val="24"/>
          <w:szCs w:val="24"/>
        </w:rPr>
        <w:t>recklessness should be proved by the plaintiff to a degree of convincing clarity.”</w:t>
      </w:r>
    </w:p>
    <w:p w:rsidR="00187A35" w:rsidRPr="00187A35" w:rsidRDefault="00187A35" w:rsidP="00187A35">
      <w:pPr>
        <w:spacing w:before="240" w:line="240" w:lineRule="auto"/>
        <w:jc w:val="both"/>
        <w:rPr>
          <w:rFonts w:ascii="Bookman Old Style" w:eastAsia="Arial Unicode MS" w:hAnsi="Bookman Old Style" w:cs="Arial Unicode MS"/>
          <w:i/>
          <w:sz w:val="24"/>
          <w:szCs w:val="24"/>
        </w:rPr>
      </w:pPr>
    </w:p>
    <w:p w:rsidR="00187A35" w:rsidRDefault="00D04274" w:rsidP="00B045F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In rejecting the principles in the </w:t>
      </w:r>
      <w:r w:rsidRPr="00BB7839">
        <w:rPr>
          <w:rFonts w:ascii="Bookman Old Style" w:eastAsia="Arial Unicode MS" w:hAnsi="Bookman Old Style" w:cs="Arial Unicode MS"/>
          <w:i/>
          <w:sz w:val="24"/>
          <w:szCs w:val="24"/>
        </w:rPr>
        <w:t>Sullivan case</w:t>
      </w:r>
      <w:r>
        <w:rPr>
          <w:rFonts w:ascii="Bookman Old Style" w:eastAsia="Arial Unicode MS" w:hAnsi="Bookman Old Style" w:cs="Arial Unicode MS"/>
          <w:sz w:val="24"/>
          <w:szCs w:val="24"/>
        </w:rPr>
        <w:t xml:space="preserve">, Chief Justice Ngulube referred to the Austrian </w:t>
      </w:r>
      <w:r w:rsidR="00187A35">
        <w:rPr>
          <w:rFonts w:ascii="Bookman Old Style" w:eastAsia="Arial Unicode MS" w:hAnsi="Bookman Old Style" w:cs="Arial Unicode MS"/>
          <w:sz w:val="24"/>
          <w:szCs w:val="24"/>
        </w:rPr>
        <w:t xml:space="preserve">case of </w:t>
      </w:r>
      <w:r w:rsidR="00187A35" w:rsidRPr="00187A35">
        <w:rPr>
          <w:rFonts w:ascii="Bookman Old Style" w:eastAsia="Arial Unicode MS" w:hAnsi="Bookman Old Style" w:cs="Arial Unicode MS"/>
          <w:i/>
          <w:sz w:val="24"/>
          <w:szCs w:val="24"/>
        </w:rPr>
        <w:t>Theophamus v The Herald and Weekly Limited, and Another</w:t>
      </w:r>
      <w:r w:rsidR="008D44C0">
        <w:rPr>
          <w:rStyle w:val="FootnoteReference"/>
          <w:rFonts w:ascii="Bookman Old Style" w:eastAsia="Arial Unicode MS" w:hAnsi="Bookman Old Style" w:cs="Arial Unicode MS"/>
          <w:i/>
          <w:sz w:val="24"/>
          <w:szCs w:val="24"/>
        </w:rPr>
        <w:footnoteReference w:id="151"/>
      </w:r>
      <w:r w:rsidR="00187A35" w:rsidRPr="00187A35">
        <w:rPr>
          <w:rFonts w:ascii="Bookman Old Style" w:eastAsia="Arial Unicode MS" w:hAnsi="Bookman Old Style" w:cs="Arial Unicode MS"/>
          <w:i/>
          <w:sz w:val="24"/>
          <w:szCs w:val="24"/>
        </w:rPr>
        <w:t xml:space="preserve"> </w:t>
      </w:r>
      <w:r w:rsidR="00187A35">
        <w:rPr>
          <w:rFonts w:ascii="Bookman Old Style" w:eastAsia="Arial Unicode MS" w:hAnsi="Bookman Old Style" w:cs="Arial Unicode MS"/>
          <w:sz w:val="24"/>
          <w:szCs w:val="24"/>
        </w:rPr>
        <w:t xml:space="preserve">in which the High Court of Australia stated, </w:t>
      </w:r>
      <w:r w:rsidR="00187A35" w:rsidRPr="00BB7839">
        <w:rPr>
          <w:rFonts w:ascii="Bookman Old Style" w:eastAsia="Arial Unicode MS" w:hAnsi="Bookman Old Style" w:cs="Arial Unicode MS"/>
          <w:i/>
          <w:sz w:val="24"/>
          <w:szCs w:val="24"/>
        </w:rPr>
        <w:t>inter alia</w:t>
      </w:r>
      <w:r w:rsidR="00187A35">
        <w:rPr>
          <w:rFonts w:ascii="Bookman Old Style" w:eastAsia="Arial Unicode MS" w:hAnsi="Bookman Old Style" w:cs="Arial Unicode MS"/>
          <w:sz w:val="24"/>
          <w:szCs w:val="24"/>
        </w:rPr>
        <w:t>, as follows:</w:t>
      </w:r>
    </w:p>
    <w:p w:rsidR="00AB7B9C" w:rsidRPr="00AB7B9C" w:rsidRDefault="00187A35" w:rsidP="00AB7B9C">
      <w:pPr>
        <w:spacing w:before="240" w:line="240" w:lineRule="auto"/>
        <w:jc w:val="both"/>
        <w:rPr>
          <w:rFonts w:ascii="Bookman Old Style" w:eastAsia="Arial Unicode MS" w:hAnsi="Bookman Old Style" w:cs="Arial Unicode MS"/>
          <w:i/>
          <w:sz w:val="24"/>
          <w:szCs w:val="24"/>
        </w:rPr>
      </w:pPr>
      <w:r w:rsidRPr="00AB7B9C">
        <w:rPr>
          <w:rFonts w:ascii="Bookman Old Style" w:eastAsia="Arial Unicode MS" w:hAnsi="Bookman Old Style" w:cs="Arial Unicode MS"/>
          <w:i/>
          <w:sz w:val="24"/>
          <w:szCs w:val="24"/>
        </w:rPr>
        <w:t>“... The law of defamation whether common law or statute must confirm to the implication of freedom, even if conformity means that plaintiffs experience greater difficulty in protecting their reputations. The interest of the individual must give</w:t>
      </w:r>
      <w:r w:rsidR="00BB7839">
        <w:rPr>
          <w:rFonts w:ascii="Bookman Old Style" w:eastAsia="Arial Unicode MS" w:hAnsi="Bookman Old Style" w:cs="Arial Unicode MS"/>
          <w:i/>
          <w:sz w:val="24"/>
          <w:szCs w:val="24"/>
        </w:rPr>
        <w:t xml:space="preserve"> way to the requirement of the C</w:t>
      </w:r>
      <w:r w:rsidRPr="00AB7B9C">
        <w:rPr>
          <w:rFonts w:ascii="Bookman Old Style" w:eastAsia="Arial Unicode MS" w:hAnsi="Bookman Old Style" w:cs="Arial Unicode MS"/>
          <w:i/>
          <w:sz w:val="24"/>
          <w:szCs w:val="24"/>
        </w:rPr>
        <w:t>onstitution.</w:t>
      </w:r>
      <w:r w:rsidR="008D44C0" w:rsidRPr="00AB7B9C">
        <w:rPr>
          <w:rFonts w:ascii="Bookman Old Style" w:eastAsia="Arial Unicode MS" w:hAnsi="Bookman Old Style" w:cs="Arial Unicode MS"/>
          <w:i/>
          <w:sz w:val="24"/>
          <w:szCs w:val="24"/>
        </w:rPr>
        <w:t xml:space="preserve"> At the same time, the protection of free communication does not necessitate such a subordination of the protection of individual reputation as appeared to have occurred in the United States. For that reason, the defendant should be required to establish that the circu</w:t>
      </w:r>
      <w:r w:rsidR="00BB7839">
        <w:rPr>
          <w:rFonts w:ascii="Bookman Old Style" w:eastAsia="Arial Unicode MS" w:hAnsi="Bookman Old Style" w:cs="Arial Unicode MS"/>
          <w:i/>
          <w:sz w:val="24"/>
          <w:szCs w:val="24"/>
        </w:rPr>
        <w:t>mstances were such as to make it</w:t>
      </w:r>
      <w:r w:rsidR="008D44C0" w:rsidRPr="00AB7B9C">
        <w:rPr>
          <w:rFonts w:ascii="Bookman Old Style" w:eastAsia="Arial Unicode MS" w:hAnsi="Bookman Old Style" w:cs="Arial Unicode MS"/>
          <w:i/>
          <w:sz w:val="24"/>
          <w:szCs w:val="24"/>
        </w:rPr>
        <w:t xml:space="preserve"> reasonable to publish the impugned material without ascertaining it was true or false. The publisher should be required to show that in the circumstances which prevailed, it acted reasonably either by taking some steps to check the accuracy of the impugned material or by </w:t>
      </w:r>
      <w:r w:rsidR="006B5EE5" w:rsidRPr="00AB7B9C">
        <w:rPr>
          <w:rFonts w:ascii="Bookman Old Style" w:eastAsia="Arial Unicode MS" w:hAnsi="Bookman Old Style" w:cs="Arial Unicode MS"/>
          <w:i/>
          <w:sz w:val="24"/>
          <w:szCs w:val="24"/>
        </w:rPr>
        <w:t>establishing that it was otherwise justified in publishing without taking such steps or steps which were adequate. To require more of those wishing to participate in political discussion would impose impractical, and sometimes, severe restraint on comme</w:t>
      </w:r>
      <w:r w:rsidR="00B20924" w:rsidRPr="00AB7B9C">
        <w:rPr>
          <w:rFonts w:ascii="Bookman Old Style" w:eastAsia="Arial Unicode MS" w:hAnsi="Bookman Old Style" w:cs="Arial Unicode MS"/>
          <w:i/>
          <w:sz w:val="24"/>
          <w:szCs w:val="24"/>
        </w:rPr>
        <w:t xml:space="preserve">ntors, and others who participate in discussion of public affairs. Such a restraint would severely cramp that freedom of political discussion which is so essential to the effective, and open working of modern government. At the same </w:t>
      </w:r>
      <w:r w:rsidR="00B20924" w:rsidRPr="00AB7B9C">
        <w:rPr>
          <w:rFonts w:ascii="Bookman Old Style" w:eastAsia="Arial Unicode MS" w:hAnsi="Bookman Old Style" w:cs="Arial Unicode MS"/>
          <w:i/>
          <w:sz w:val="24"/>
          <w:szCs w:val="24"/>
        </w:rPr>
        <w:lastRenderedPageBreak/>
        <w:t>time, it cannot be</w:t>
      </w:r>
      <w:r w:rsidR="00AB7B9C" w:rsidRPr="00AB7B9C">
        <w:rPr>
          <w:rFonts w:ascii="Bookman Old Style" w:eastAsia="Arial Unicode MS" w:hAnsi="Bookman Old Style" w:cs="Arial Unicode MS"/>
          <w:i/>
          <w:sz w:val="24"/>
          <w:szCs w:val="24"/>
        </w:rPr>
        <w:t xml:space="preserve"> said to be in the public interest, or conductive to the working of democratic government to publish false, and damaging defamatory material free from any responsibility at all in relation to the accuracy of what is published. </w:t>
      </w:r>
    </w:p>
    <w:p w:rsidR="00AB7B9C" w:rsidRDefault="00AB7B9C" w:rsidP="00B045F9">
      <w:pPr>
        <w:spacing w:before="240" w:line="360" w:lineRule="auto"/>
        <w:jc w:val="both"/>
        <w:rPr>
          <w:rFonts w:ascii="Bookman Old Style" w:eastAsia="Arial Unicode MS" w:hAnsi="Bookman Old Style" w:cs="Arial Unicode MS"/>
          <w:sz w:val="24"/>
          <w:szCs w:val="24"/>
        </w:rPr>
      </w:pPr>
    </w:p>
    <w:p w:rsidR="00AB7B9C" w:rsidRDefault="00AB7B9C" w:rsidP="00B045F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 conclusion, Chief Justice Ngulube, observed as follows:</w:t>
      </w:r>
    </w:p>
    <w:p w:rsidR="00A23328" w:rsidRPr="00A23328" w:rsidRDefault="00AB7B9C" w:rsidP="00A23328">
      <w:pPr>
        <w:spacing w:before="240" w:line="240" w:lineRule="auto"/>
        <w:jc w:val="both"/>
        <w:rPr>
          <w:rFonts w:ascii="Bookman Old Style" w:eastAsia="Arial Unicode MS" w:hAnsi="Bookman Old Style" w:cs="Arial Unicode MS"/>
          <w:i/>
          <w:sz w:val="24"/>
          <w:szCs w:val="24"/>
        </w:rPr>
      </w:pPr>
      <w:r>
        <w:rPr>
          <w:rFonts w:ascii="Bookman Old Style" w:eastAsia="Arial Unicode MS" w:hAnsi="Bookman Old Style" w:cs="Arial Unicode MS"/>
          <w:sz w:val="24"/>
          <w:szCs w:val="24"/>
        </w:rPr>
        <w:t>“...</w:t>
      </w:r>
      <w:r w:rsidRPr="00A23328">
        <w:rPr>
          <w:rFonts w:ascii="Bookman Old Style" w:eastAsia="Arial Unicode MS" w:hAnsi="Bookman Old Style" w:cs="Arial Unicode MS"/>
          <w:i/>
          <w:sz w:val="24"/>
          <w:szCs w:val="24"/>
        </w:rPr>
        <w:t>in sum, it is my considered opinion that constitution</w:t>
      </w:r>
      <w:r w:rsidR="00BB7839">
        <w:rPr>
          <w:rFonts w:ascii="Bookman Old Style" w:eastAsia="Arial Unicode MS" w:hAnsi="Bookman Old Style" w:cs="Arial Unicode MS"/>
          <w:i/>
          <w:sz w:val="24"/>
          <w:szCs w:val="24"/>
        </w:rPr>
        <w:t>al</w:t>
      </w:r>
      <w:r w:rsidRPr="00A23328">
        <w:rPr>
          <w:rFonts w:ascii="Bookman Old Style" w:eastAsia="Arial Unicode MS" w:hAnsi="Bookman Old Style" w:cs="Arial Unicode MS"/>
          <w:i/>
          <w:sz w:val="24"/>
          <w:szCs w:val="24"/>
        </w:rPr>
        <w:t xml:space="preserve"> protection of reputation, and free speech can be best balanced in Zambia when the plaintiff is a public official who has been attacked in that character by more generous application of the existing defences. The chilling effect of the litigation should thereby be mitigated to some extent, just as it would be considerably eased by the Court constantly seeking to promote free speech, and press by keeping a watchful eye on the size of the awards which perhaps are the true chilling effect especially if they involve any exemplary or punitive</w:t>
      </w:r>
      <w:r w:rsidR="007A4F2B" w:rsidRPr="00A23328">
        <w:rPr>
          <w:rFonts w:ascii="Bookman Old Style" w:eastAsia="Arial Unicode MS" w:hAnsi="Bookman Old Style" w:cs="Arial Unicode MS"/>
          <w:i/>
          <w:sz w:val="24"/>
          <w:szCs w:val="24"/>
        </w:rPr>
        <w:t xml:space="preserve"> element. W</w:t>
      </w:r>
      <w:r w:rsidRPr="00A23328">
        <w:rPr>
          <w:rFonts w:ascii="Bookman Old Style" w:eastAsia="Arial Unicode MS" w:hAnsi="Bookman Old Style" w:cs="Arial Unicode MS"/>
          <w:i/>
          <w:sz w:val="24"/>
          <w:szCs w:val="24"/>
        </w:rPr>
        <w:t>hat is certain is that since both the freedom of the press and the right to reputation are</w:t>
      </w:r>
      <w:r w:rsidR="007A4F2B" w:rsidRPr="00A23328">
        <w:rPr>
          <w:rFonts w:ascii="Bookman Old Style" w:eastAsia="Arial Unicode MS" w:hAnsi="Bookman Old Style" w:cs="Arial Unicode MS"/>
          <w:i/>
          <w:sz w:val="24"/>
          <w:szCs w:val="24"/>
        </w:rPr>
        <w:t xml:space="preserve"> recognised in Article 20, no higher value can be placed on the one as against</w:t>
      </w:r>
      <w:r w:rsidR="005218F5">
        <w:rPr>
          <w:rFonts w:ascii="Bookman Old Style" w:eastAsia="Arial Unicode MS" w:hAnsi="Bookman Old Style" w:cs="Arial Unicode MS"/>
          <w:i/>
          <w:sz w:val="24"/>
          <w:szCs w:val="24"/>
        </w:rPr>
        <w:t xml:space="preserve"> the other nor one part of the C</w:t>
      </w:r>
      <w:r w:rsidR="007A4F2B" w:rsidRPr="00A23328">
        <w:rPr>
          <w:rFonts w:ascii="Bookman Old Style" w:eastAsia="Arial Unicode MS" w:hAnsi="Bookman Old Style" w:cs="Arial Unicode MS"/>
          <w:i/>
          <w:sz w:val="24"/>
          <w:szCs w:val="24"/>
        </w:rPr>
        <w:t>onstitution be said to be in conflict with another part in any “unconstitutional” way, since the who</w:t>
      </w:r>
      <w:r w:rsidR="00BB7839">
        <w:rPr>
          <w:rFonts w:ascii="Bookman Old Style" w:eastAsia="Arial Unicode MS" w:hAnsi="Bookman Old Style" w:cs="Arial Unicode MS"/>
          <w:i/>
          <w:sz w:val="24"/>
          <w:szCs w:val="24"/>
        </w:rPr>
        <w:t>le</w:t>
      </w:r>
      <w:r w:rsidR="007A4F2B" w:rsidRPr="00A23328">
        <w:rPr>
          <w:rFonts w:ascii="Bookman Old Style" w:eastAsia="Arial Unicode MS" w:hAnsi="Bookman Old Style" w:cs="Arial Unicode MS"/>
          <w:i/>
          <w:sz w:val="24"/>
          <w:szCs w:val="24"/>
        </w:rPr>
        <w:t xml:space="preserve"> document legalises itself.</w:t>
      </w:r>
      <w:r w:rsidR="00A23328" w:rsidRPr="00A23328">
        <w:rPr>
          <w:rFonts w:ascii="Bookman Old Style" w:eastAsia="Arial Unicode MS" w:hAnsi="Bookman Old Style" w:cs="Arial Unicode MS"/>
          <w:i/>
          <w:sz w:val="24"/>
          <w:szCs w:val="24"/>
        </w:rPr>
        <w:t xml:space="preserve"> The trick is to balance the competing rights, and freedoms, and principles, as I hope I have managed to explain, the solution lies in the application of the existing law in more imaginative and innovative way in order to meet the requirements of an open and democratic new Zambia. In this way the press can be given more b</w:t>
      </w:r>
      <w:r w:rsidR="005218F5">
        <w:rPr>
          <w:rFonts w:ascii="Bookman Old Style" w:eastAsia="Arial Unicode MS" w:hAnsi="Bookman Old Style" w:cs="Arial Unicode MS"/>
          <w:i/>
          <w:sz w:val="24"/>
          <w:szCs w:val="24"/>
        </w:rPr>
        <w:t>r</w:t>
      </w:r>
      <w:r w:rsidR="00A23328" w:rsidRPr="00A23328">
        <w:rPr>
          <w:rFonts w:ascii="Bookman Old Style" w:eastAsia="Arial Unicode MS" w:hAnsi="Bookman Old Style" w:cs="Arial Unicode MS"/>
          <w:i/>
          <w:sz w:val="24"/>
          <w:szCs w:val="24"/>
        </w:rPr>
        <w:t>eat</w:t>
      </w:r>
      <w:r w:rsidR="005218F5">
        <w:rPr>
          <w:rFonts w:ascii="Bookman Old Style" w:eastAsia="Arial Unicode MS" w:hAnsi="Bookman Old Style" w:cs="Arial Unicode MS"/>
          <w:i/>
          <w:sz w:val="24"/>
          <w:szCs w:val="24"/>
        </w:rPr>
        <w:t>h</w:t>
      </w:r>
      <w:r w:rsidR="00A23328" w:rsidRPr="00A23328">
        <w:rPr>
          <w:rFonts w:ascii="Bookman Old Style" w:eastAsia="Arial Unicode MS" w:hAnsi="Bookman Old Style" w:cs="Arial Unicode MS"/>
          <w:i/>
          <w:sz w:val="24"/>
          <w:szCs w:val="24"/>
        </w:rPr>
        <w:t>ing space, without the Court suggesting that freedom of press will be freedom to defame.”</w:t>
      </w:r>
      <w:r w:rsidR="007A4F2B" w:rsidRPr="00A23328">
        <w:rPr>
          <w:rFonts w:ascii="Bookman Old Style" w:eastAsia="Arial Unicode MS" w:hAnsi="Bookman Old Style" w:cs="Arial Unicode MS"/>
          <w:i/>
          <w:sz w:val="24"/>
          <w:szCs w:val="24"/>
        </w:rPr>
        <w:t xml:space="preserve"> </w:t>
      </w:r>
      <w:r w:rsidRPr="00A23328">
        <w:rPr>
          <w:rFonts w:ascii="Bookman Old Style" w:eastAsia="Arial Unicode MS" w:hAnsi="Bookman Old Style" w:cs="Arial Unicode MS"/>
          <w:i/>
          <w:sz w:val="24"/>
          <w:szCs w:val="24"/>
        </w:rPr>
        <w:t xml:space="preserve"> </w:t>
      </w:r>
    </w:p>
    <w:p w:rsidR="00A23328" w:rsidRDefault="00A23328" w:rsidP="00B045F9">
      <w:pPr>
        <w:spacing w:before="240" w:line="360" w:lineRule="auto"/>
        <w:jc w:val="both"/>
        <w:rPr>
          <w:rFonts w:ascii="Bookman Old Style" w:eastAsia="Arial Unicode MS" w:hAnsi="Bookman Old Style" w:cs="Arial Unicode MS"/>
          <w:sz w:val="24"/>
          <w:szCs w:val="24"/>
        </w:rPr>
      </w:pPr>
    </w:p>
    <w:p w:rsidR="00A23328" w:rsidRDefault="00A23328" w:rsidP="00B045F9">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following propositions may therefore be distilled from the </w:t>
      </w:r>
      <w:r w:rsidRPr="00BB7839">
        <w:rPr>
          <w:rFonts w:ascii="Bookman Old Style" w:eastAsia="Arial Unicode MS" w:hAnsi="Bookman Old Style" w:cs="Arial Unicode MS"/>
          <w:i/>
          <w:sz w:val="24"/>
          <w:szCs w:val="24"/>
        </w:rPr>
        <w:t xml:space="preserve">Sata </w:t>
      </w:r>
      <w:r>
        <w:rPr>
          <w:rFonts w:ascii="Bookman Old Style" w:eastAsia="Arial Unicode MS" w:hAnsi="Bookman Old Style" w:cs="Arial Unicode MS"/>
          <w:sz w:val="24"/>
          <w:szCs w:val="24"/>
        </w:rPr>
        <w:t xml:space="preserve">case:- </w:t>
      </w:r>
    </w:p>
    <w:p w:rsidR="00A23328" w:rsidRDefault="00A23328" w:rsidP="00A23328">
      <w:pPr>
        <w:pStyle w:val="ListParagraph"/>
        <w:numPr>
          <w:ilvl w:val="0"/>
          <w:numId w:val="19"/>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Impersonal criticism of public conduct leading to injury to official reputation should generally not attract liabili</w:t>
      </w:r>
      <w:r w:rsidR="00BB7839">
        <w:rPr>
          <w:rFonts w:ascii="Bookman Old Style" w:eastAsia="Arial Unicode MS" w:hAnsi="Bookman Old Style" w:cs="Arial Unicode MS"/>
          <w:sz w:val="24"/>
          <w:szCs w:val="24"/>
        </w:rPr>
        <w:t>ty if there is no actual malice;</w:t>
      </w:r>
    </w:p>
    <w:p w:rsidR="00CE19F0" w:rsidRDefault="00A23328" w:rsidP="00A23328">
      <w:pPr>
        <w:pStyle w:val="ListParagraph"/>
        <w:numPr>
          <w:ilvl w:val="0"/>
          <w:numId w:val="19"/>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publisher should be required to show that in the c</w:t>
      </w:r>
      <w:r w:rsidR="00BB7839">
        <w:rPr>
          <w:rFonts w:ascii="Bookman Old Style" w:eastAsia="Arial Unicode MS" w:hAnsi="Bookman Old Style" w:cs="Arial Unicode MS"/>
          <w:sz w:val="24"/>
          <w:szCs w:val="24"/>
        </w:rPr>
        <w:t>ircumstances which prevailed, he</w:t>
      </w:r>
      <w:r>
        <w:rPr>
          <w:rFonts w:ascii="Bookman Old Style" w:eastAsia="Arial Unicode MS" w:hAnsi="Bookman Old Style" w:cs="Arial Unicode MS"/>
          <w:sz w:val="24"/>
          <w:szCs w:val="24"/>
        </w:rPr>
        <w:t xml:space="preserve"> acted reasonably by taking s</w:t>
      </w:r>
      <w:r w:rsidR="00BB7839">
        <w:rPr>
          <w:rFonts w:ascii="Bookman Old Style" w:eastAsia="Arial Unicode MS" w:hAnsi="Bookman Old Style" w:cs="Arial Unicode MS"/>
          <w:sz w:val="24"/>
          <w:szCs w:val="24"/>
        </w:rPr>
        <w:t>ome steps to check the accuracy</w:t>
      </w:r>
      <w:r>
        <w:rPr>
          <w:rFonts w:ascii="Bookman Old Style" w:eastAsia="Arial Unicode MS" w:hAnsi="Bookman Old Style" w:cs="Arial Unicode MS"/>
          <w:sz w:val="24"/>
          <w:szCs w:val="24"/>
        </w:rPr>
        <w:t xml:space="preserve"> of the impugned material; </w:t>
      </w:r>
    </w:p>
    <w:p w:rsidR="00E3387F" w:rsidRDefault="00CE19F0" w:rsidP="00A23328">
      <w:pPr>
        <w:pStyle w:val="ListParagraph"/>
        <w:numPr>
          <w:ilvl w:val="0"/>
          <w:numId w:val="19"/>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It is not in the public interest, or conductive to the working of</w:t>
      </w:r>
      <w:r w:rsidR="00BB7839">
        <w:rPr>
          <w:rFonts w:ascii="Bookman Old Style" w:eastAsia="Arial Unicode MS" w:hAnsi="Bookman Old Style" w:cs="Arial Unicode MS"/>
          <w:sz w:val="24"/>
          <w:szCs w:val="24"/>
        </w:rPr>
        <w:t xml:space="preserve"> democratic government to publish</w:t>
      </w:r>
      <w:r>
        <w:rPr>
          <w:rFonts w:ascii="Bookman Old Style" w:eastAsia="Arial Unicode MS" w:hAnsi="Bookman Old Style" w:cs="Arial Unicode MS"/>
          <w:sz w:val="24"/>
          <w:szCs w:val="24"/>
        </w:rPr>
        <w:t xml:space="preserve"> false, and damaging defamatory matter free from responsibility at all, in relation to th</w:t>
      </w:r>
      <w:r w:rsidR="009C6761">
        <w:rPr>
          <w:rFonts w:ascii="Bookman Old Style" w:eastAsia="Arial Unicode MS" w:hAnsi="Bookman Old Style" w:cs="Arial Unicode MS"/>
          <w:sz w:val="24"/>
          <w:szCs w:val="24"/>
        </w:rPr>
        <w:t>e accuracy of what is published;</w:t>
      </w:r>
    </w:p>
    <w:p w:rsidR="00DD5A2A" w:rsidRDefault="00E3387F" w:rsidP="00A23328">
      <w:pPr>
        <w:pStyle w:val="ListParagraph"/>
        <w:numPr>
          <w:ilvl w:val="0"/>
          <w:numId w:val="19"/>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lastRenderedPageBreak/>
        <w:t>Whether the defendant has acted reasonably will involve</w:t>
      </w:r>
      <w:r w:rsidR="009C6761">
        <w:rPr>
          <w:rFonts w:ascii="Bookman Old Style" w:eastAsia="Arial Unicode MS" w:hAnsi="Bookman Old Style" w:cs="Arial Unicode MS"/>
          <w:sz w:val="24"/>
          <w:szCs w:val="24"/>
        </w:rPr>
        <w:t xml:space="preserve"> consideration of any inquiry ma</w:t>
      </w:r>
      <w:r>
        <w:rPr>
          <w:rFonts w:ascii="Bookman Old Style" w:eastAsia="Arial Unicode MS" w:hAnsi="Bookman Old Style" w:cs="Arial Unicode MS"/>
          <w:sz w:val="24"/>
          <w:szCs w:val="24"/>
        </w:rPr>
        <w:t>de by the defendant before publishing, that it is a matter peculiarly within</w:t>
      </w:r>
      <w:r w:rsidR="00BB7839">
        <w:rPr>
          <w:rFonts w:ascii="Bookman Old Style" w:eastAsia="Arial Unicode MS" w:hAnsi="Bookman Old Style" w:cs="Arial Unicode MS"/>
          <w:sz w:val="24"/>
          <w:szCs w:val="24"/>
        </w:rPr>
        <w:t xml:space="preserve"> the knowledge of the defendant;</w:t>
      </w:r>
    </w:p>
    <w:p w:rsidR="00DD5A2A" w:rsidRDefault="00BB7839" w:rsidP="00A23328">
      <w:pPr>
        <w:pStyle w:val="ListParagraph"/>
        <w:numPr>
          <w:ilvl w:val="0"/>
          <w:numId w:val="19"/>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dilemma is that our C</w:t>
      </w:r>
      <w:r w:rsidR="00DD5A2A">
        <w:rPr>
          <w:rFonts w:ascii="Bookman Old Style" w:eastAsia="Arial Unicode MS" w:hAnsi="Bookman Old Style" w:cs="Arial Unicode MS"/>
          <w:sz w:val="24"/>
          <w:szCs w:val="24"/>
        </w:rPr>
        <w:t xml:space="preserve">onstitution attaches equal importance to freedom of the press and the right to reputation, without distinction whether such reputation belongs to a private, or public individual; </w:t>
      </w:r>
    </w:p>
    <w:p w:rsidR="00FC381F" w:rsidRDefault="00DD5A2A" w:rsidP="00DD5A2A">
      <w:pPr>
        <w:pStyle w:val="ListParagraph"/>
        <w:numPr>
          <w:ilvl w:val="0"/>
          <w:numId w:val="19"/>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When an allegation complained of can properly be regarded as comment on the conduct of public official in the performance of his duties or on conduct reflecting upon his fitness, and suitabilit</w:t>
      </w:r>
      <w:r w:rsidR="00BB7839">
        <w:rPr>
          <w:rFonts w:ascii="Bookman Old Style" w:eastAsia="Arial Unicode MS" w:hAnsi="Bookman Old Style" w:cs="Arial Unicode MS"/>
          <w:sz w:val="24"/>
          <w:szCs w:val="24"/>
        </w:rPr>
        <w:t>y to hold such office freedom of</w:t>
      </w:r>
      <w:r>
        <w:rPr>
          <w:rFonts w:ascii="Bookman Old Style" w:eastAsia="Arial Unicode MS" w:hAnsi="Bookman Old Style" w:cs="Arial Unicode MS"/>
          <w:sz w:val="24"/>
          <w:szCs w:val="24"/>
        </w:rPr>
        <w:t xml:space="preserve"> s</w:t>
      </w:r>
      <w:r w:rsidR="004F7A64">
        <w:rPr>
          <w:rFonts w:ascii="Bookman Old Style" w:eastAsia="Arial Unicode MS" w:hAnsi="Bookman Old Style" w:cs="Arial Unicode MS"/>
          <w:sz w:val="24"/>
          <w:szCs w:val="24"/>
        </w:rPr>
        <w:t>peech, and press can be best se</w:t>
      </w:r>
      <w:r>
        <w:rPr>
          <w:rFonts w:ascii="Bookman Old Style" w:eastAsia="Arial Unicode MS" w:hAnsi="Bookman Old Style" w:cs="Arial Unicode MS"/>
          <w:sz w:val="24"/>
          <w:szCs w:val="24"/>
        </w:rPr>
        <w:t>rved in Zambia by the Courts insis</w:t>
      </w:r>
      <w:r w:rsidR="004F7A64">
        <w:rPr>
          <w:rFonts w:ascii="Bookman Old Style" w:eastAsia="Arial Unicode MS" w:hAnsi="Bookman Old Style" w:cs="Arial Unicode MS"/>
          <w:sz w:val="24"/>
          <w:szCs w:val="24"/>
        </w:rPr>
        <w:t>ting upon a higher breaking point</w:t>
      </w:r>
      <w:r>
        <w:rPr>
          <w:rFonts w:ascii="Bookman Old Style" w:eastAsia="Arial Unicode MS" w:hAnsi="Bookman Old Style" w:cs="Arial Unicode MS"/>
          <w:sz w:val="24"/>
          <w:szCs w:val="24"/>
        </w:rPr>
        <w:t xml:space="preserve"> or a greater margin of tolerance than in the case of private attack before an obvious comment based on facts which are substantially true can be regarded as unfair;</w:t>
      </w:r>
    </w:p>
    <w:p w:rsidR="008A44D8" w:rsidRDefault="00FC381F" w:rsidP="00DD5A2A">
      <w:pPr>
        <w:pStyle w:val="ListParagraph"/>
        <w:numPr>
          <w:ilvl w:val="0"/>
          <w:numId w:val="19"/>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Constitutional protection of reputation, and free speech or press can be best balanced in Zambia when the plaintiff is a public official who has been attacked in that character by a more generous appli</w:t>
      </w:r>
      <w:r w:rsidR="004F7A64">
        <w:rPr>
          <w:rFonts w:ascii="Bookman Old Style" w:eastAsia="Arial Unicode MS" w:hAnsi="Bookman Old Style" w:cs="Arial Unicode MS"/>
          <w:sz w:val="24"/>
          <w:szCs w:val="24"/>
        </w:rPr>
        <w:t>cation of the existing defences;</w:t>
      </w:r>
      <w:r>
        <w:rPr>
          <w:rFonts w:ascii="Bookman Old Style" w:eastAsia="Arial Unicode MS" w:hAnsi="Bookman Old Style" w:cs="Arial Unicode MS"/>
          <w:sz w:val="24"/>
          <w:szCs w:val="24"/>
        </w:rPr>
        <w:t xml:space="preserve"> </w:t>
      </w:r>
    </w:p>
    <w:p w:rsidR="008A44D8" w:rsidRDefault="008A44D8" w:rsidP="00DD5A2A">
      <w:pPr>
        <w:pStyle w:val="ListParagraph"/>
        <w:numPr>
          <w:ilvl w:val="0"/>
          <w:numId w:val="19"/>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Since both the freedom of the press, and the right to reputation are recognised in Article 20, no higher</w:t>
      </w:r>
      <w:r w:rsidR="004F7A64">
        <w:rPr>
          <w:rFonts w:ascii="Bookman Old Style" w:eastAsia="Arial Unicode MS" w:hAnsi="Bookman Old Style" w:cs="Arial Unicode MS"/>
          <w:sz w:val="24"/>
          <w:szCs w:val="24"/>
        </w:rPr>
        <w:t xml:space="preserve"> value can be placed on the one</w:t>
      </w:r>
      <w:r>
        <w:rPr>
          <w:rFonts w:ascii="Bookman Old Style" w:eastAsia="Arial Unicode MS" w:hAnsi="Bookman Old Style" w:cs="Arial Unicode MS"/>
          <w:sz w:val="24"/>
          <w:szCs w:val="24"/>
        </w:rPr>
        <w:t xml:space="preserve"> as </w:t>
      </w:r>
      <w:r w:rsidR="004F7A64">
        <w:rPr>
          <w:rFonts w:ascii="Bookman Old Style" w:eastAsia="Arial Unicode MS" w:hAnsi="Bookman Old Style" w:cs="Arial Unicode MS"/>
          <w:sz w:val="24"/>
          <w:szCs w:val="24"/>
        </w:rPr>
        <w:t xml:space="preserve">against the other nor can one part </w:t>
      </w:r>
      <w:r>
        <w:rPr>
          <w:rFonts w:ascii="Bookman Old Style" w:eastAsia="Arial Unicode MS" w:hAnsi="Bookman Old Style" w:cs="Arial Unicode MS"/>
          <w:sz w:val="24"/>
          <w:szCs w:val="24"/>
        </w:rPr>
        <w:t xml:space="preserve">be said to be in conflict with another part in any </w:t>
      </w:r>
      <w:r w:rsidRPr="009C6761">
        <w:rPr>
          <w:rFonts w:ascii="Bookman Old Style" w:eastAsia="Arial Unicode MS" w:hAnsi="Bookman Old Style" w:cs="Arial Unicode MS"/>
          <w:i/>
          <w:sz w:val="24"/>
          <w:szCs w:val="24"/>
        </w:rPr>
        <w:t>“unconstitutional</w:t>
      </w:r>
      <w:r>
        <w:rPr>
          <w:rFonts w:ascii="Bookman Old Style" w:eastAsia="Arial Unicode MS" w:hAnsi="Bookman Old Style" w:cs="Arial Unicode MS"/>
          <w:sz w:val="24"/>
          <w:szCs w:val="24"/>
        </w:rPr>
        <w:t>” way, since the whole document legalises itself; and</w:t>
      </w:r>
    </w:p>
    <w:p w:rsidR="0008482F" w:rsidRDefault="008A44D8" w:rsidP="00DD5A2A">
      <w:pPr>
        <w:pStyle w:val="ListParagraph"/>
        <w:numPr>
          <w:ilvl w:val="0"/>
          <w:numId w:val="19"/>
        </w:num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trick is to balance the competing rights, and freedoms by the application of the existing law in more imaginative, and innovative way in order to meet the requirements of an open and democratic new Zambia. </w:t>
      </w:r>
      <w:r w:rsidR="00DD5A2A">
        <w:rPr>
          <w:rFonts w:ascii="Bookman Old Style" w:eastAsia="Arial Unicode MS" w:hAnsi="Bookman Old Style" w:cs="Arial Unicode MS"/>
          <w:sz w:val="24"/>
          <w:szCs w:val="24"/>
        </w:rPr>
        <w:t xml:space="preserve"> </w:t>
      </w:r>
    </w:p>
    <w:p w:rsidR="004F7A64" w:rsidRDefault="0008482F"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 cite the preceding propositions, with approval</w:t>
      </w:r>
      <w:r w:rsidR="00D179BF">
        <w:rPr>
          <w:rFonts w:ascii="Bookman Old Style" w:eastAsia="Arial Unicode MS" w:hAnsi="Bookman Old Style" w:cs="Arial Unicode MS"/>
          <w:sz w:val="24"/>
          <w:szCs w:val="24"/>
        </w:rPr>
        <w:t xml:space="preserve">. </w:t>
      </w:r>
    </w:p>
    <w:p w:rsidR="004F7A64" w:rsidRDefault="004F7A64" w:rsidP="0008482F">
      <w:pPr>
        <w:spacing w:before="240" w:line="360" w:lineRule="auto"/>
        <w:jc w:val="both"/>
        <w:rPr>
          <w:rFonts w:ascii="Bookman Old Style" w:eastAsia="Arial Unicode MS" w:hAnsi="Bookman Old Style" w:cs="Arial Unicode MS"/>
          <w:sz w:val="24"/>
          <w:szCs w:val="24"/>
        </w:rPr>
      </w:pPr>
    </w:p>
    <w:p w:rsidR="006347A9" w:rsidRDefault="00D179BF"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On the basis of the preceding discussion, I have no doubt in mind that </w:t>
      </w:r>
      <w:r w:rsidR="004F7A64">
        <w:rPr>
          <w:rFonts w:ascii="Bookman Old Style" w:eastAsia="Arial Unicode MS" w:hAnsi="Bookman Old Style" w:cs="Arial Unicode MS"/>
          <w:sz w:val="24"/>
          <w:szCs w:val="24"/>
        </w:rPr>
        <w:t>generally</w:t>
      </w:r>
      <w:r w:rsidR="009A359A">
        <w:rPr>
          <w:rFonts w:ascii="Bookman Old Style" w:eastAsia="Arial Unicode MS" w:hAnsi="Bookman Old Style" w:cs="Arial Unicode MS"/>
          <w:sz w:val="24"/>
          <w:szCs w:val="24"/>
        </w:rPr>
        <w:t>,</w:t>
      </w:r>
      <w:r w:rsidR="004F7A64">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 xml:space="preserve">I have the jurisdiction to grant an interim injunction to restrain the </w:t>
      </w:r>
      <w:r>
        <w:rPr>
          <w:rFonts w:ascii="Bookman Old Style" w:eastAsia="Arial Unicode MS" w:hAnsi="Bookman Old Style" w:cs="Arial Unicode MS"/>
          <w:sz w:val="24"/>
          <w:szCs w:val="24"/>
        </w:rPr>
        <w:lastRenderedPageBreak/>
        <w:t>defendants whether by themselves, or by their agents, or servants from publishing, or further publishi</w:t>
      </w:r>
      <w:r w:rsidR="00185B24">
        <w:rPr>
          <w:rFonts w:ascii="Bookman Old Style" w:eastAsia="Arial Unicode MS" w:hAnsi="Bookman Old Style" w:cs="Arial Unicode MS"/>
          <w:sz w:val="24"/>
          <w:szCs w:val="24"/>
        </w:rPr>
        <w:t xml:space="preserve">ng </w:t>
      </w:r>
      <w:r w:rsidR="00DC5D8D">
        <w:rPr>
          <w:rFonts w:ascii="Bookman Old Style" w:eastAsia="Arial Unicode MS" w:hAnsi="Bookman Old Style" w:cs="Arial Unicode MS"/>
          <w:sz w:val="24"/>
          <w:szCs w:val="24"/>
        </w:rPr>
        <w:t xml:space="preserve">any </w:t>
      </w:r>
      <w:r w:rsidR="00185B24">
        <w:rPr>
          <w:rFonts w:ascii="Bookman Old Style" w:eastAsia="Arial Unicode MS" w:hAnsi="Bookman Old Style" w:cs="Arial Unicode MS"/>
          <w:sz w:val="24"/>
          <w:szCs w:val="24"/>
        </w:rPr>
        <w:t>matter which is defamatory of</w:t>
      </w:r>
      <w:r>
        <w:rPr>
          <w:rFonts w:ascii="Bookman Old Style" w:eastAsia="Arial Unicode MS" w:hAnsi="Bookman Old Style" w:cs="Arial Unicode MS"/>
          <w:sz w:val="24"/>
          <w:szCs w:val="24"/>
        </w:rPr>
        <w:t xml:space="preserve"> the plaintiff. However, I hasten to add that because of</w:t>
      </w:r>
      <w:r w:rsidR="004F7A64">
        <w:rPr>
          <w:rFonts w:ascii="Bookman Old Style" w:eastAsia="Arial Unicode MS" w:hAnsi="Bookman Old Style" w:cs="Arial Unicode MS"/>
          <w:sz w:val="24"/>
          <w:szCs w:val="24"/>
        </w:rPr>
        <w:t xml:space="preserve"> the Court</w:t>
      </w:r>
      <w:r w:rsidR="00CD10EA">
        <w:rPr>
          <w:rFonts w:ascii="Bookman Old Style" w:eastAsia="Arial Unicode MS" w:hAnsi="Bookman Old Style" w:cs="Arial Unicode MS"/>
          <w:sz w:val="24"/>
          <w:szCs w:val="24"/>
        </w:rPr>
        <w:t>’</w:t>
      </w:r>
      <w:r w:rsidR="004F7A64">
        <w:rPr>
          <w:rFonts w:ascii="Bookman Old Style" w:eastAsia="Arial Unicode MS" w:hAnsi="Bookman Old Style" w:cs="Arial Unicode MS"/>
          <w:sz w:val="24"/>
          <w:szCs w:val="24"/>
        </w:rPr>
        <w:t>s reluctance to fetter</w:t>
      </w:r>
      <w:r w:rsidR="009C6761">
        <w:rPr>
          <w:rFonts w:ascii="Bookman Old Style" w:eastAsia="Arial Unicode MS" w:hAnsi="Bookman Old Style" w:cs="Arial Unicode MS"/>
          <w:sz w:val="24"/>
          <w:szCs w:val="24"/>
        </w:rPr>
        <w:t xml:space="preserve"> free speech,</w:t>
      </w:r>
      <w:r w:rsidR="004F7A64">
        <w:rPr>
          <w:rFonts w:ascii="Bookman Old Style" w:eastAsia="Arial Unicode MS" w:hAnsi="Bookman Old Style" w:cs="Arial Unicode MS"/>
          <w:sz w:val="24"/>
          <w:szCs w:val="24"/>
        </w:rPr>
        <w:t xml:space="preserve"> </w:t>
      </w:r>
      <w:r w:rsidR="00FA0D6D">
        <w:rPr>
          <w:rFonts w:ascii="Bookman Old Style" w:eastAsia="Arial Unicode MS" w:hAnsi="Bookman Old Style" w:cs="Arial Unicode MS"/>
          <w:sz w:val="24"/>
          <w:szCs w:val="24"/>
        </w:rPr>
        <w:t>I canno</w:t>
      </w:r>
      <w:r w:rsidR="00185B24">
        <w:rPr>
          <w:rFonts w:ascii="Bookman Old Style" w:eastAsia="Arial Unicode MS" w:hAnsi="Bookman Old Style" w:cs="Arial Unicode MS"/>
          <w:sz w:val="24"/>
          <w:szCs w:val="24"/>
        </w:rPr>
        <w:t>t grant an interim injunction where</w:t>
      </w:r>
      <w:r w:rsidR="00FA0D6D">
        <w:rPr>
          <w:rFonts w:ascii="Bookman Old Style" w:eastAsia="Arial Unicode MS" w:hAnsi="Bookman Old Style" w:cs="Arial Unicode MS"/>
          <w:sz w:val="24"/>
          <w:szCs w:val="24"/>
        </w:rPr>
        <w:t xml:space="preserve"> the </w:t>
      </w:r>
      <w:r w:rsidR="004F7A64">
        <w:rPr>
          <w:rFonts w:ascii="Bookman Old Style" w:eastAsia="Arial Unicode MS" w:hAnsi="Bookman Old Style" w:cs="Arial Unicode MS"/>
          <w:sz w:val="24"/>
          <w:szCs w:val="24"/>
        </w:rPr>
        <w:t>defendant</w:t>
      </w:r>
      <w:r w:rsidR="00CD10EA">
        <w:rPr>
          <w:rFonts w:ascii="Bookman Old Style" w:eastAsia="Arial Unicode MS" w:hAnsi="Bookman Old Style" w:cs="Arial Unicode MS"/>
          <w:sz w:val="24"/>
          <w:szCs w:val="24"/>
        </w:rPr>
        <w:t>(</w:t>
      </w:r>
      <w:r w:rsidR="004F7A64">
        <w:rPr>
          <w:rFonts w:ascii="Bookman Old Style" w:eastAsia="Arial Unicode MS" w:hAnsi="Bookman Old Style" w:cs="Arial Unicode MS"/>
          <w:sz w:val="24"/>
          <w:szCs w:val="24"/>
        </w:rPr>
        <w:t>s</w:t>
      </w:r>
      <w:r w:rsidR="00CD10EA">
        <w:rPr>
          <w:rFonts w:ascii="Bookman Old Style" w:eastAsia="Arial Unicode MS" w:hAnsi="Bookman Old Style" w:cs="Arial Unicode MS"/>
          <w:sz w:val="24"/>
          <w:szCs w:val="24"/>
        </w:rPr>
        <w:t>)</w:t>
      </w:r>
      <w:r w:rsidR="004F7A64">
        <w:rPr>
          <w:rFonts w:ascii="Bookman Old Style" w:eastAsia="Arial Unicode MS" w:hAnsi="Bookman Old Style" w:cs="Arial Unicode MS"/>
          <w:sz w:val="24"/>
          <w:szCs w:val="24"/>
        </w:rPr>
        <w:t xml:space="preserve"> state</w:t>
      </w:r>
      <w:r w:rsidR="00185B24">
        <w:rPr>
          <w:rFonts w:ascii="Bookman Old Style" w:eastAsia="Arial Unicode MS" w:hAnsi="Bookman Old Style" w:cs="Arial Unicode MS"/>
          <w:sz w:val="24"/>
          <w:szCs w:val="24"/>
        </w:rPr>
        <w:t>,</w:t>
      </w:r>
      <w:r w:rsidR="00FA0D6D">
        <w:rPr>
          <w:rFonts w:ascii="Bookman Old Style" w:eastAsia="Arial Unicode MS" w:hAnsi="Bookman Old Style" w:cs="Arial Unicode MS"/>
          <w:sz w:val="24"/>
          <w:szCs w:val="24"/>
        </w:rPr>
        <w:t xml:space="preserve"> as the case is in this matter, that they intend to rely on the </w:t>
      </w:r>
      <w:r w:rsidR="004F7A64">
        <w:rPr>
          <w:rFonts w:ascii="Bookman Old Style" w:eastAsia="Arial Unicode MS" w:hAnsi="Bookman Old Style" w:cs="Arial Unicode MS"/>
          <w:sz w:val="24"/>
          <w:szCs w:val="24"/>
        </w:rPr>
        <w:t>recognized defences</w:t>
      </w:r>
      <w:r w:rsidR="009C6761">
        <w:rPr>
          <w:rFonts w:ascii="Bookman Old Style" w:eastAsia="Arial Unicode MS" w:hAnsi="Bookman Old Style" w:cs="Arial Unicode MS"/>
          <w:sz w:val="24"/>
          <w:szCs w:val="24"/>
        </w:rPr>
        <w:t>___</w:t>
      </w:r>
      <w:r w:rsidR="004F7A64">
        <w:rPr>
          <w:rFonts w:ascii="Bookman Old Style" w:eastAsia="Arial Unicode MS" w:hAnsi="Bookman Old Style" w:cs="Arial Unicode MS"/>
          <w:sz w:val="24"/>
          <w:szCs w:val="24"/>
        </w:rPr>
        <w:t>, justification, fair comment</w:t>
      </w:r>
      <w:r w:rsidR="00CD10EA">
        <w:rPr>
          <w:rFonts w:ascii="Bookman Old Style" w:eastAsia="Arial Unicode MS" w:hAnsi="Bookman Old Style" w:cs="Arial Unicode MS"/>
          <w:sz w:val="24"/>
          <w:szCs w:val="24"/>
        </w:rPr>
        <w:t>,</w:t>
      </w:r>
      <w:r w:rsidR="004F7A64">
        <w:rPr>
          <w:rFonts w:ascii="Bookman Old Style" w:eastAsia="Arial Unicode MS" w:hAnsi="Bookman Old Style" w:cs="Arial Unicode MS"/>
          <w:sz w:val="24"/>
          <w:szCs w:val="24"/>
        </w:rPr>
        <w:t xml:space="preserve"> and </w:t>
      </w:r>
      <w:r w:rsidR="00DC5D8D">
        <w:rPr>
          <w:rFonts w:ascii="Bookman Old Style" w:eastAsia="Arial Unicode MS" w:hAnsi="Bookman Old Style" w:cs="Arial Unicode MS"/>
          <w:sz w:val="24"/>
          <w:szCs w:val="24"/>
        </w:rPr>
        <w:t xml:space="preserve">qualified </w:t>
      </w:r>
      <w:r w:rsidR="004F7A64">
        <w:rPr>
          <w:rFonts w:ascii="Bookman Old Style" w:eastAsia="Arial Unicode MS" w:hAnsi="Bookman Old Style" w:cs="Arial Unicode MS"/>
          <w:sz w:val="24"/>
          <w:szCs w:val="24"/>
        </w:rPr>
        <w:t>privilege</w:t>
      </w:r>
      <w:r w:rsidR="009C6761">
        <w:rPr>
          <w:rFonts w:ascii="Bookman Old Style" w:eastAsia="Arial Unicode MS" w:hAnsi="Bookman Old Style" w:cs="Arial Unicode MS"/>
          <w:sz w:val="24"/>
          <w:szCs w:val="24"/>
        </w:rPr>
        <w:t>.</w:t>
      </w:r>
      <w:r w:rsidR="004F7A64">
        <w:rPr>
          <w:rFonts w:ascii="Bookman Old Style" w:eastAsia="Arial Unicode MS" w:hAnsi="Bookman Old Style" w:cs="Arial Unicode MS"/>
          <w:sz w:val="24"/>
          <w:szCs w:val="24"/>
        </w:rPr>
        <w:t xml:space="preserve"> I can only grant an </w:t>
      </w:r>
      <w:r w:rsidR="009C6761">
        <w:rPr>
          <w:rFonts w:ascii="Bookman Old Style" w:eastAsia="Arial Unicode MS" w:hAnsi="Bookman Old Style" w:cs="Arial Unicode MS"/>
          <w:sz w:val="24"/>
          <w:szCs w:val="24"/>
        </w:rPr>
        <w:t xml:space="preserve">interim </w:t>
      </w:r>
      <w:r w:rsidR="004F7A64">
        <w:rPr>
          <w:rFonts w:ascii="Bookman Old Style" w:eastAsia="Arial Unicode MS" w:hAnsi="Bookman Old Style" w:cs="Arial Unicode MS"/>
          <w:sz w:val="24"/>
          <w:szCs w:val="24"/>
        </w:rPr>
        <w:t xml:space="preserve">injunction if the plaintiff </w:t>
      </w:r>
      <w:r w:rsidR="00FA0D6D">
        <w:rPr>
          <w:rFonts w:ascii="Bookman Old Style" w:eastAsia="Arial Unicode MS" w:hAnsi="Bookman Old Style" w:cs="Arial Unicode MS"/>
          <w:sz w:val="24"/>
          <w:szCs w:val="24"/>
        </w:rPr>
        <w:t>conversely sa</w:t>
      </w:r>
      <w:r w:rsidR="004F7A64">
        <w:rPr>
          <w:rFonts w:ascii="Bookman Old Style" w:eastAsia="Arial Unicode MS" w:hAnsi="Bookman Old Style" w:cs="Arial Unicode MS"/>
          <w:sz w:val="24"/>
          <w:szCs w:val="24"/>
        </w:rPr>
        <w:t>tisfies</w:t>
      </w:r>
      <w:r w:rsidR="00FA0D6D">
        <w:rPr>
          <w:rFonts w:ascii="Bookman Old Style" w:eastAsia="Arial Unicode MS" w:hAnsi="Bookman Old Style" w:cs="Arial Unicode MS"/>
          <w:sz w:val="24"/>
          <w:szCs w:val="24"/>
        </w:rPr>
        <w:t xml:space="preserve"> me that the</w:t>
      </w:r>
      <w:r w:rsidR="004F7A64">
        <w:rPr>
          <w:rFonts w:ascii="Bookman Old Style" w:eastAsia="Arial Unicode MS" w:hAnsi="Bookman Old Style" w:cs="Arial Unicode MS"/>
          <w:sz w:val="24"/>
          <w:szCs w:val="24"/>
        </w:rPr>
        <w:t xml:space="preserve"> defence</w:t>
      </w:r>
      <w:r w:rsidR="00DC5D8D">
        <w:rPr>
          <w:rFonts w:ascii="Bookman Old Style" w:eastAsia="Arial Unicode MS" w:hAnsi="Bookman Old Style" w:cs="Arial Unicode MS"/>
          <w:sz w:val="24"/>
          <w:szCs w:val="24"/>
        </w:rPr>
        <w:t>,</w:t>
      </w:r>
      <w:r w:rsidR="004F7A64">
        <w:rPr>
          <w:rFonts w:ascii="Bookman Old Style" w:eastAsia="Arial Unicode MS" w:hAnsi="Bookman Old Style" w:cs="Arial Unicode MS"/>
          <w:sz w:val="24"/>
          <w:szCs w:val="24"/>
        </w:rPr>
        <w:t xml:space="preserve"> or defences raised </w:t>
      </w:r>
      <w:r w:rsidR="009C6761">
        <w:rPr>
          <w:rFonts w:ascii="Bookman Old Style" w:eastAsia="Arial Unicode MS" w:hAnsi="Bookman Old Style" w:cs="Arial Unicode MS"/>
          <w:sz w:val="24"/>
          <w:szCs w:val="24"/>
        </w:rPr>
        <w:t>by the defendant</w:t>
      </w:r>
      <w:r w:rsidR="00CD10EA">
        <w:rPr>
          <w:rFonts w:ascii="Bookman Old Style" w:eastAsia="Arial Unicode MS" w:hAnsi="Bookman Old Style" w:cs="Arial Unicode MS"/>
          <w:sz w:val="24"/>
          <w:szCs w:val="24"/>
        </w:rPr>
        <w:t>s</w:t>
      </w:r>
      <w:r w:rsidR="009C6761">
        <w:rPr>
          <w:rFonts w:ascii="Bookman Old Style" w:eastAsia="Arial Unicode MS" w:hAnsi="Bookman Old Style" w:cs="Arial Unicode MS"/>
          <w:sz w:val="24"/>
          <w:szCs w:val="24"/>
        </w:rPr>
        <w:t xml:space="preserve"> </w:t>
      </w:r>
      <w:r w:rsidR="004F7A64">
        <w:rPr>
          <w:rFonts w:ascii="Bookman Old Style" w:eastAsia="Arial Unicode MS" w:hAnsi="Bookman Old Style" w:cs="Arial Unicode MS"/>
          <w:sz w:val="24"/>
          <w:szCs w:val="24"/>
        </w:rPr>
        <w:t>are likely to</w:t>
      </w:r>
      <w:r w:rsidR="00FA0D6D">
        <w:rPr>
          <w:rFonts w:ascii="Bookman Old Style" w:eastAsia="Arial Unicode MS" w:hAnsi="Bookman Old Style" w:cs="Arial Unicode MS"/>
          <w:sz w:val="24"/>
          <w:szCs w:val="24"/>
        </w:rPr>
        <w:t xml:space="preserve"> fail. </w:t>
      </w:r>
    </w:p>
    <w:p w:rsidR="000D33FD" w:rsidRDefault="004F7A64"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starting point therefore is to consider</w:t>
      </w:r>
      <w:r w:rsidR="006347A9">
        <w:rPr>
          <w:rFonts w:ascii="Bookman Old Style" w:eastAsia="Arial Unicode MS" w:hAnsi="Bookman Old Style" w:cs="Arial Unicode MS"/>
          <w:sz w:val="24"/>
          <w:szCs w:val="24"/>
        </w:rPr>
        <w:t xml:space="preserve"> whether the words complained of are defamatory of the plaint</w:t>
      </w:r>
      <w:r>
        <w:rPr>
          <w:rFonts w:ascii="Bookman Old Style" w:eastAsia="Arial Unicode MS" w:hAnsi="Bookman Old Style" w:cs="Arial Unicode MS"/>
          <w:sz w:val="24"/>
          <w:szCs w:val="24"/>
        </w:rPr>
        <w:t>iff</w:t>
      </w:r>
      <w:r w:rsidR="009C6761">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w:t>
      </w:r>
      <w:r w:rsidR="009C6761">
        <w:rPr>
          <w:rFonts w:ascii="Bookman Old Style" w:eastAsia="Arial Unicode MS" w:hAnsi="Bookman Old Style" w:cs="Arial Unicode MS"/>
          <w:sz w:val="24"/>
          <w:szCs w:val="24"/>
        </w:rPr>
        <w:t xml:space="preserve">This </w:t>
      </w:r>
      <w:r>
        <w:rPr>
          <w:rFonts w:ascii="Bookman Old Style" w:eastAsia="Arial Unicode MS" w:hAnsi="Bookman Old Style" w:cs="Arial Unicode MS"/>
          <w:sz w:val="24"/>
          <w:szCs w:val="24"/>
        </w:rPr>
        <w:t xml:space="preserve">is a question of fact. </w:t>
      </w:r>
      <w:r w:rsidR="006347A9">
        <w:rPr>
          <w:rFonts w:ascii="Bookman Old Style" w:eastAsia="Arial Unicode MS" w:hAnsi="Bookman Old Style" w:cs="Arial Unicode MS"/>
          <w:sz w:val="24"/>
          <w:szCs w:val="24"/>
        </w:rPr>
        <w:t>I am</w:t>
      </w:r>
      <w:r>
        <w:rPr>
          <w:rFonts w:ascii="Bookman Old Style" w:eastAsia="Arial Unicode MS" w:hAnsi="Bookman Old Style" w:cs="Arial Unicode MS"/>
          <w:sz w:val="24"/>
          <w:szCs w:val="24"/>
        </w:rPr>
        <w:t xml:space="preserve"> therefore</w:t>
      </w:r>
      <w:r w:rsidR="006347A9">
        <w:rPr>
          <w:rFonts w:ascii="Bookman Old Style" w:eastAsia="Arial Unicode MS" w:hAnsi="Bookman Old Style" w:cs="Arial Unicode MS"/>
          <w:sz w:val="24"/>
          <w:szCs w:val="24"/>
        </w:rPr>
        <w:t xml:space="preserve"> required</w:t>
      </w:r>
      <w:r w:rsidR="00C52F52">
        <w:rPr>
          <w:rFonts w:ascii="Bookman Old Style" w:eastAsia="Arial Unicode MS" w:hAnsi="Bookman Old Style" w:cs="Arial Unicode MS"/>
          <w:sz w:val="24"/>
          <w:szCs w:val="24"/>
        </w:rPr>
        <w:t xml:space="preserve"> to decide </w:t>
      </w:r>
      <w:r>
        <w:rPr>
          <w:rFonts w:ascii="Bookman Old Style" w:eastAsia="Arial Unicode MS" w:hAnsi="Bookman Old Style" w:cs="Arial Unicode MS"/>
          <w:sz w:val="24"/>
          <w:szCs w:val="24"/>
        </w:rPr>
        <w:t xml:space="preserve">at the outset </w:t>
      </w:r>
      <w:r w:rsidR="00C52F52">
        <w:rPr>
          <w:rFonts w:ascii="Bookman Old Style" w:eastAsia="Arial Unicode MS" w:hAnsi="Bookman Old Style" w:cs="Arial Unicode MS"/>
          <w:sz w:val="24"/>
          <w:szCs w:val="24"/>
        </w:rPr>
        <w:t>whether the words complained of are reasonably capable of bearing a defamatory meaning in the minds of reasonable persons</w:t>
      </w:r>
      <w:r>
        <w:rPr>
          <w:rFonts w:ascii="Bookman Old Style" w:eastAsia="Arial Unicode MS" w:hAnsi="Bookman Old Style" w:cs="Arial Unicode MS"/>
          <w:sz w:val="24"/>
          <w:szCs w:val="24"/>
        </w:rPr>
        <w:t>.</w:t>
      </w:r>
      <w:r w:rsidR="00185B24">
        <w:rPr>
          <w:rFonts w:ascii="Bookman Old Style" w:eastAsia="Arial Unicode MS" w:hAnsi="Bookman Old Style" w:cs="Arial Unicode MS"/>
          <w:sz w:val="24"/>
          <w:szCs w:val="24"/>
        </w:rPr>
        <w:t xml:space="preserve"> </w:t>
      </w:r>
      <w:r w:rsidR="009C6761">
        <w:rPr>
          <w:rFonts w:ascii="Bookman Old Style" w:eastAsia="Arial Unicode MS" w:hAnsi="Bookman Old Style" w:cs="Arial Unicode MS"/>
          <w:sz w:val="24"/>
          <w:szCs w:val="24"/>
        </w:rPr>
        <w:t>The true test</w:t>
      </w:r>
      <w:r w:rsidR="002565A1">
        <w:rPr>
          <w:rFonts w:ascii="Bookman Old Style" w:eastAsia="Arial Unicode MS" w:hAnsi="Bookman Old Style" w:cs="Arial Unicode MS"/>
          <w:sz w:val="24"/>
          <w:szCs w:val="24"/>
        </w:rPr>
        <w:t xml:space="preserve"> according to the authorities is whether in the circumstances in which the statement was published, reasonable persons to whom the publication was made, would understand it of the plaintiff, and in a defamatory sense.</w:t>
      </w:r>
      <w:r w:rsidR="002565A1">
        <w:rPr>
          <w:rStyle w:val="FootnoteReference"/>
          <w:rFonts w:ascii="Bookman Old Style" w:eastAsia="Arial Unicode MS" w:hAnsi="Bookman Old Style" w:cs="Arial Unicode MS"/>
          <w:sz w:val="24"/>
          <w:szCs w:val="24"/>
        </w:rPr>
        <w:footnoteReference w:id="152"/>
      </w:r>
      <w:r w:rsidR="00C52F52">
        <w:rPr>
          <w:rFonts w:ascii="Bookman Old Style" w:eastAsia="Arial Unicode MS" w:hAnsi="Bookman Old Style" w:cs="Arial Unicode MS"/>
          <w:sz w:val="24"/>
          <w:szCs w:val="24"/>
        </w:rPr>
        <w:t xml:space="preserve"> </w:t>
      </w:r>
      <w:r w:rsidR="002565A1">
        <w:rPr>
          <w:rFonts w:ascii="Bookman Old Style" w:eastAsia="Arial Unicode MS" w:hAnsi="Bookman Old Style" w:cs="Arial Unicode MS"/>
          <w:sz w:val="24"/>
          <w:szCs w:val="24"/>
        </w:rPr>
        <w:t>In asce</w:t>
      </w:r>
      <w:r>
        <w:rPr>
          <w:rFonts w:ascii="Bookman Old Style" w:eastAsia="Arial Unicode MS" w:hAnsi="Bookman Old Style" w:cs="Arial Unicode MS"/>
          <w:sz w:val="24"/>
          <w:szCs w:val="24"/>
        </w:rPr>
        <w:t>rtaining whether or not the words complained of</w:t>
      </w:r>
      <w:r w:rsidR="002565A1">
        <w:rPr>
          <w:rFonts w:ascii="Bookman Old Style" w:eastAsia="Arial Unicode MS" w:hAnsi="Bookman Old Style" w:cs="Arial Unicode MS"/>
          <w:sz w:val="24"/>
          <w:szCs w:val="24"/>
        </w:rPr>
        <w:t xml:space="preserve"> are defamatory, I am required to cons</w:t>
      </w:r>
      <w:r w:rsidR="009C6761">
        <w:rPr>
          <w:rFonts w:ascii="Bookman Old Style" w:eastAsia="Arial Unicode MS" w:hAnsi="Bookman Old Style" w:cs="Arial Unicode MS"/>
          <w:sz w:val="24"/>
          <w:szCs w:val="24"/>
        </w:rPr>
        <w:t>ider the statement as a whole, a</w:t>
      </w:r>
      <w:r w:rsidR="002565A1">
        <w:rPr>
          <w:rFonts w:ascii="Bookman Old Style" w:eastAsia="Arial Unicode MS" w:hAnsi="Bookman Old Style" w:cs="Arial Unicode MS"/>
          <w:sz w:val="24"/>
          <w:szCs w:val="24"/>
        </w:rPr>
        <w:t>nd interpret the words complained of in their natural and ordinary meaning. In this regard, I must ask myself the qu</w:t>
      </w:r>
      <w:r>
        <w:rPr>
          <w:rFonts w:ascii="Bookman Old Style" w:eastAsia="Arial Unicode MS" w:hAnsi="Bookman Old Style" w:cs="Arial Unicode MS"/>
          <w:sz w:val="24"/>
          <w:szCs w:val="24"/>
        </w:rPr>
        <w:t>estion whether a reasonable man could reasonably come</w:t>
      </w:r>
      <w:r w:rsidR="002565A1">
        <w:rPr>
          <w:rFonts w:ascii="Bookman Old Style" w:eastAsia="Arial Unicode MS" w:hAnsi="Bookman Old Style" w:cs="Arial Unicode MS"/>
          <w:sz w:val="24"/>
          <w:szCs w:val="24"/>
        </w:rPr>
        <w:t xml:space="preserve"> to the conclusion that the words complained of were defamatory of the plaintiff</w:t>
      </w:r>
      <w:r w:rsidR="000D33FD">
        <w:rPr>
          <w:rFonts w:ascii="Bookman Old Style" w:eastAsia="Arial Unicode MS" w:hAnsi="Bookman Old Style" w:cs="Arial Unicode MS"/>
          <w:sz w:val="24"/>
          <w:szCs w:val="24"/>
        </w:rPr>
        <w:t>.</w:t>
      </w:r>
    </w:p>
    <w:p w:rsidR="000D33FD" w:rsidRDefault="000D33FD" w:rsidP="0008482F">
      <w:pPr>
        <w:spacing w:before="240" w:line="360" w:lineRule="auto"/>
        <w:jc w:val="both"/>
        <w:rPr>
          <w:rFonts w:ascii="Bookman Old Style" w:eastAsia="Arial Unicode MS" w:hAnsi="Bookman Old Style" w:cs="Arial Unicode MS"/>
          <w:sz w:val="24"/>
          <w:szCs w:val="24"/>
        </w:rPr>
      </w:pPr>
    </w:p>
    <w:p w:rsidR="009C6761" w:rsidRDefault="000D33FD"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 will therefore now proceed to consider</w:t>
      </w:r>
      <w:r w:rsidR="004F7A64">
        <w:rPr>
          <w:rFonts w:ascii="Bookman Old Style" w:eastAsia="Arial Unicode MS" w:hAnsi="Bookman Old Style" w:cs="Arial Unicode MS"/>
          <w:sz w:val="24"/>
          <w:szCs w:val="24"/>
        </w:rPr>
        <w:t xml:space="preserve"> whether the words complained of are defamatory</w:t>
      </w:r>
      <w:r>
        <w:rPr>
          <w:rFonts w:ascii="Bookman Old Style" w:eastAsia="Arial Unicode MS" w:hAnsi="Bookman Old Style" w:cs="Arial Unicode MS"/>
          <w:sz w:val="24"/>
          <w:szCs w:val="24"/>
        </w:rPr>
        <w:t xml:space="preserve">. It is common ground that: the plaintiff is a prominent politician, and the President of Zambia’s leading opposition political party known as </w:t>
      </w:r>
      <w:r w:rsidR="009C6761">
        <w:rPr>
          <w:rFonts w:ascii="Bookman Old Style" w:eastAsia="Arial Unicode MS" w:hAnsi="Bookman Old Style" w:cs="Arial Unicode MS"/>
          <w:sz w:val="24"/>
          <w:szCs w:val="24"/>
        </w:rPr>
        <w:t xml:space="preserve">the </w:t>
      </w:r>
      <w:r>
        <w:rPr>
          <w:rFonts w:ascii="Bookman Old Style" w:eastAsia="Arial Unicode MS" w:hAnsi="Bookman Old Style" w:cs="Arial Unicode MS"/>
          <w:sz w:val="24"/>
          <w:szCs w:val="24"/>
        </w:rPr>
        <w:t>Patriotic Front (PF). The 1</w:t>
      </w:r>
      <w:r w:rsidRPr="000D33FD">
        <w:rPr>
          <w:rFonts w:ascii="Bookman Old Style" w:eastAsia="Arial Unicode MS" w:hAnsi="Bookman Old Style" w:cs="Arial Unicode MS"/>
          <w:sz w:val="24"/>
          <w:szCs w:val="24"/>
          <w:vertAlign w:val="superscript"/>
        </w:rPr>
        <w:t>st</w:t>
      </w:r>
      <w:r>
        <w:rPr>
          <w:rFonts w:ascii="Bookman Old Style" w:eastAsia="Arial Unicode MS" w:hAnsi="Bookman Old Style" w:cs="Arial Unicode MS"/>
          <w:sz w:val="24"/>
          <w:szCs w:val="24"/>
        </w:rPr>
        <w:t xml:space="preserve"> defendant is a freelance journalist</w:t>
      </w:r>
      <w:r w:rsidR="009C6761">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and produc</w:t>
      </w:r>
      <w:r w:rsidR="004F7A64">
        <w:rPr>
          <w:rFonts w:ascii="Bookman Old Style" w:eastAsia="Arial Unicode MS" w:hAnsi="Bookman Old Style" w:cs="Arial Unicode MS"/>
          <w:sz w:val="24"/>
          <w:szCs w:val="24"/>
        </w:rPr>
        <w:t>er of a series of programmes styl</w:t>
      </w:r>
      <w:r>
        <w:rPr>
          <w:rFonts w:ascii="Bookman Old Style" w:eastAsia="Arial Unicode MS" w:hAnsi="Bookman Old Style" w:cs="Arial Unicode MS"/>
          <w:sz w:val="24"/>
          <w:szCs w:val="24"/>
        </w:rPr>
        <w:t>ed as “</w:t>
      </w:r>
      <w:r w:rsidRPr="000D33FD">
        <w:rPr>
          <w:rFonts w:ascii="Bookman Old Style" w:eastAsia="Arial Unicode MS" w:hAnsi="Bookman Old Style" w:cs="Arial Unicode MS"/>
          <w:i/>
          <w:sz w:val="24"/>
          <w:szCs w:val="24"/>
        </w:rPr>
        <w:t>Stand up for Zambia</w:t>
      </w:r>
      <w:r>
        <w:rPr>
          <w:rFonts w:ascii="Bookman Old Style" w:eastAsia="Arial Unicode MS" w:hAnsi="Bookman Old Style" w:cs="Arial Unicode MS"/>
          <w:sz w:val="24"/>
          <w:szCs w:val="24"/>
        </w:rPr>
        <w:t>:” The 2</w:t>
      </w:r>
      <w:r w:rsidRPr="000D33FD">
        <w:rPr>
          <w:rFonts w:ascii="Bookman Old Style" w:eastAsia="Arial Unicode MS" w:hAnsi="Bookman Old Style" w:cs="Arial Unicode MS"/>
          <w:sz w:val="24"/>
          <w:szCs w:val="24"/>
          <w:vertAlign w:val="superscript"/>
        </w:rPr>
        <w:t>nd</w:t>
      </w:r>
      <w:r>
        <w:rPr>
          <w:rFonts w:ascii="Bookman Old Style" w:eastAsia="Arial Unicode MS" w:hAnsi="Bookman Old Style" w:cs="Arial Unicode MS"/>
          <w:sz w:val="24"/>
          <w:szCs w:val="24"/>
        </w:rPr>
        <w:t xml:space="preserve"> defendant is a public broadcaster. The 3</w:t>
      </w:r>
      <w:r w:rsidRPr="000D33FD">
        <w:rPr>
          <w:rFonts w:ascii="Bookman Old Style" w:eastAsia="Arial Unicode MS" w:hAnsi="Bookman Old Style" w:cs="Arial Unicode MS"/>
          <w:sz w:val="24"/>
          <w:szCs w:val="24"/>
          <w:vertAlign w:val="superscript"/>
        </w:rPr>
        <w:t>rd</w:t>
      </w:r>
      <w:r>
        <w:rPr>
          <w:rFonts w:ascii="Bookman Old Style" w:eastAsia="Arial Unicode MS" w:hAnsi="Bookman Old Style" w:cs="Arial Unicode MS"/>
          <w:sz w:val="24"/>
          <w:szCs w:val="24"/>
        </w:rPr>
        <w:t xml:space="preserve"> and 4</w:t>
      </w:r>
      <w:r w:rsidRPr="000D33FD">
        <w:rPr>
          <w:rFonts w:ascii="Bookman Old Style" w:eastAsia="Arial Unicode MS" w:hAnsi="Bookman Old Style" w:cs="Arial Unicode MS"/>
          <w:sz w:val="24"/>
          <w:szCs w:val="24"/>
          <w:vertAlign w:val="superscript"/>
        </w:rPr>
        <w:t>th</w:t>
      </w:r>
      <w:r>
        <w:rPr>
          <w:rFonts w:ascii="Bookman Old Style" w:eastAsia="Arial Unicode MS" w:hAnsi="Bookman Old Style" w:cs="Arial Unicode MS"/>
          <w:sz w:val="24"/>
          <w:szCs w:val="24"/>
        </w:rPr>
        <w:t xml:space="preserve"> defendants are private broadcasters, and trade as </w:t>
      </w:r>
      <w:r w:rsidRPr="004F7A64">
        <w:rPr>
          <w:rFonts w:ascii="Bookman Old Style" w:eastAsia="Arial Unicode MS" w:hAnsi="Bookman Old Style" w:cs="Arial Unicode MS"/>
          <w:i/>
          <w:sz w:val="24"/>
          <w:szCs w:val="24"/>
        </w:rPr>
        <w:t>“Muvi TV</w:t>
      </w:r>
      <w:r>
        <w:rPr>
          <w:rFonts w:ascii="Bookman Old Style" w:eastAsia="Arial Unicode MS" w:hAnsi="Bookman Old Style" w:cs="Arial Unicode MS"/>
          <w:sz w:val="24"/>
          <w:szCs w:val="24"/>
        </w:rPr>
        <w:t>” and “</w:t>
      </w:r>
      <w:r w:rsidRPr="004F7A64">
        <w:rPr>
          <w:rFonts w:ascii="Bookman Old Style" w:eastAsia="Arial Unicode MS" w:hAnsi="Bookman Old Style" w:cs="Arial Unicode MS"/>
          <w:i/>
          <w:sz w:val="24"/>
          <w:szCs w:val="24"/>
        </w:rPr>
        <w:t>Mobi TV</w:t>
      </w:r>
      <w:r>
        <w:rPr>
          <w:rFonts w:ascii="Bookman Old Style" w:eastAsia="Arial Unicode MS" w:hAnsi="Bookman Old Style" w:cs="Arial Unicode MS"/>
          <w:sz w:val="24"/>
          <w:szCs w:val="24"/>
        </w:rPr>
        <w:t xml:space="preserve">,” respectively. </w:t>
      </w:r>
    </w:p>
    <w:p w:rsidR="006201B9" w:rsidRDefault="009C6761"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lastRenderedPageBreak/>
        <w:t>The primary contention</w:t>
      </w:r>
      <w:r w:rsidR="004F7A64">
        <w:rPr>
          <w:rFonts w:ascii="Bookman Old Style" w:eastAsia="Arial Unicode MS" w:hAnsi="Bookman Old Style" w:cs="Arial Unicode MS"/>
          <w:sz w:val="24"/>
          <w:szCs w:val="24"/>
        </w:rPr>
        <w:t xml:space="preserve"> in this application</w:t>
      </w:r>
      <w:r w:rsidR="000D33FD">
        <w:rPr>
          <w:rFonts w:ascii="Bookman Old Style" w:eastAsia="Arial Unicode MS" w:hAnsi="Bookman Old Style" w:cs="Arial Unicode MS"/>
          <w:sz w:val="24"/>
          <w:szCs w:val="24"/>
        </w:rPr>
        <w:t xml:space="preserve"> is that the plaintiff seeks an interim injunction</w:t>
      </w:r>
      <w:r>
        <w:rPr>
          <w:rFonts w:ascii="Bookman Old Style" w:eastAsia="Arial Unicode MS" w:hAnsi="Bookman Old Style" w:cs="Arial Unicode MS"/>
          <w:sz w:val="24"/>
          <w:szCs w:val="24"/>
        </w:rPr>
        <w:t xml:space="preserve"> against the defendants</w:t>
      </w:r>
      <w:r w:rsidR="000D33FD">
        <w:rPr>
          <w:rFonts w:ascii="Bookman Old Style" w:eastAsia="Arial Unicode MS" w:hAnsi="Bookman Old Style" w:cs="Arial Unicode MS"/>
          <w:sz w:val="24"/>
          <w:szCs w:val="24"/>
        </w:rPr>
        <w:t xml:space="preserve">. The terms of the </w:t>
      </w:r>
      <w:r>
        <w:rPr>
          <w:rFonts w:ascii="Bookman Old Style" w:eastAsia="Arial Unicode MS" w:hAnsi="Bookman Old Style" w:cs="Arial Unicode MS"/>
          <w:sz w:val="24"/>
          <w:szCs w:val="24"/>
        </w:rPr>
        <w:t xml:space="preserve">proposed </w:t>
      </w:r>
      <w:r w:rsidR="000D33FD">
        <w:rPr>
          <w:rFonts w:ascii="Bookman Old Style" w:eastAsia="Arial Unicode MS" w:hAnsi="Bookman Old Style" w:cs="Arial Unicode MS"/>
          <w:sz w:val="24"/>
          <w:szCs w:val="24"/>
        </w:rPr>
        <w:t xml:space="preserve">injunction </w:t>
      </w:r>
      <w:r w:rsidR="001349E1">
        <w:rPr>
          <w:rFonts w:ascii="Bookman Old Style" w:eastAsia="Arial Unicode MS" w:hAnsi="Bookman Old Style" w:cs="Arial Unicode MS"/>
          <w:sz w:val="24"/>
          <w:szCs w:val="24"/>
        </w:rPr>
        <w:t>are:</w:t>
      </w:r>
    </w:p>
    <w:p w:rsidR="006201B9" w:rsidRDefault="001349E1" w:rsidP="004F7A64">
      <w:pPr>
        <w:spacing w:before="240" w:line="24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 “</w:t>
      </w:r>
      <w:r w:rsidRPr="006201B9">
        <w:rPr>
          <w:rFonts w:ascii="Bookman Old Style" w:eastAsia="Arial Unicode MS" w:hAnsi="Bookman Old Style" w:cs="Arial Unicode MS"/>
          <w:i/>
          <w:sz w:val="24"/>
          <w:szCs w:val="24"/>
        </w:rPr>
        <w:t>to restrain the defendants each of them whether by themselves, their servants, or agents or otherwise from further publishing or broadcasting, or causing to b</w:t>
      </w:r>
      <w:r w:rsidR="00DC5D8D">
        <w:rPr>
          <w:rFonts w:ascii="Bookman Old Style" w:eastAsia="Arial Unicode MS" w:hAnsi="Bookman Old Style" w:cs="Arial Unicode MS"/>
          <w:i/>
          <w:sz w:val="24"/>
          <w:szCs w:val="24"/>
        </w:rPr>
        <w:t>e</w:t>
      </w:r>
      <w:r w:rsidRPr="006201B9">
        <w:rPr>
          <w:rFonts w:ascii="Bookman Old Style" w:eastAsia="Arial Unicode MS" w:hAnsi="Bookman Old Style" w:cs="Arial Unicode MS"/>
          <w:i/>
          <w:sz w:val="24"/>
          <w:szCs w:val="24"/>
        </w:rPr>
        <w:t xml:space="preserve"> published, or broadcast the said words, and images defamatory of the plaintiff</w:t>
      </w:r>
      <w:r>
        <w:rPr>
          <w:rFonts w:ascii="Bookman Old Style" w:eastAsia="Arial Unicode MS" w:hAnsi="Bookman Old Style" w:cs="Arial Unicode MS"/>
          <w:sz w:val="24"/>
          <w:szCs w:val="24"/>
        </w:rPr>
        <w:t>.</w:t>
      </w:r>
      <w:r w:rsidR="006201B9">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w:t>
      </w:r>
    </w:p>
    <w:p w:rsidR="006201B9" w:rsidRDefault="006201B9"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Furthermore, the plaintiff seeks an injunction to:</w:t>
      </w:r>
    </w:p>
    <w:p w:rsidR="006201B9" w:rsidRPr="006201B9" w:rsidRDefault="00CD10EA" w:rsidP="006201B9">
      <w:pPr>
        <w:spacing w:before="240" w:line="240" w:lineRule="auto"/>
        <w:jc w:val="both"/>
        <w:rPr>
          <w:rFonts w:ascii="Bookman Old Style" w:eastAsia="Arial Unicode MS" w:hAnsi="Bookman Old Style" w:cs="Arial Unicode MS"/>
          <w:i/>
          <w:sz w:val="24"/>
          <w:szCs w:val="24"/>
        </w:rPr>
      </w:pPr>
      <w:r>
        <w:rPr>
          <w:rFonts w:ascii="Bookman Old Style" w:eastAsia="Arial Unicode MS" w:hAnsi="Bookman Old Style" w:cs="Arial Unicode MS"/>
          <w:i/>
          <w:sz w:val="24"/>
          <w:szCs w:val="24"/>
        </w:rPr>
        <w:t>“r</w:t>
      </w:r>
      <w:r w:rsidR="006201B9" w:rsidRPr="006201B9">
        <w:rPr>
          <w:rFonts w:ascii="Bookman Old Style" w:eastAsia="Arial Unicode MS" w:hAnsi="Bookman Old Style" w:cs="Arial Unicode MS"/>
          <w:i/>
          <w:sz w:val="24"/>
          <w:szCs w:val="24"/>
        </w:rPr>
        <w:t xml:space="preserve">estrain the defendants either by himself, his agents, or servants, or by whomsoever from producing, distributing, or selling CD’s or DVD’s or any other form of transmission of the defamatory programmes.” </w:t>
      </w:r>
    </w:p>
    <w:p w:rsidR="006201B9" w:rsidRDefault="006201B9" w:rsidP="0008482F">
      <w:pPr>
        <w:spacing w:before="240" w:line="360" w:lineRule="auto"/>
        <w:jc w:val="both"/>
        <w:rPr>
          <w:rFonts w:ascii="Bookman Old Style" w:eastAsia="Arial Unicode MS" w:hAnsi="Bookman Old Style" w:cs="Arial Unicode MS"/>
          <w:sz w:val="24"/>
          <w:szCs w:val="24"/>
        </w:rPr>
      </w:pPr>
    </w:p>
    <w:p w:rsidR="002E4F6E" w:rsidRDefault="004F7A64"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statement comp</w:t>
      </w:r>
      <w:r w:rsidR="009C6761">
        <w:rPr>
          <w:rFonts w:ascii="Bookman Old Style" w:eastAsia="Arial Unicode MS" w:hAnsi="Bookman Old Style" w:cs="Arial Unicode MS"/>
          <w:sz w:val="24"/>
          <w:szCs w:val="24"/>
        </w:rPr>
        <w:t>lained of has</w:t>
      </w:r>
      <w:r w:rsidR="006201B9">
        <w:rPr>
          <w:rFonts w:ascii="Bookman Old Style" w:eastAsia="Arial Unicode MS" w:hAnsi="Bookman Old Style" w:cs="Arial Unicode MS"/>
          <w:sz w:val="24"/>
          <w:szCs w:val="24"/>
        </w:rPr>
        <w:t xml:space="preserve"> already been referred to, and repr</w:t>
      </w:r>
      <w:r>
        <w:rPr>
          <w:rFonts w:ascii="Bookman Old Style" w:eastAsia="Arial Unicode MS" w:hAnsi="Bookman Old Style" w:cs="Arial Unicode MS"/>
          <w:sz w:val="24"/>
          <w:szCs w:val="24"/>
        </w:rPr>
        <w:t>oduced verbatim in this ruling</w:t>
      </w:r>
      <w:r w:rsidR="006201B9">
        <w:rPr>
          <w:rFonts w:ascii="Bookman Old Style" w:eastAsia="Arial Unicode MS" w:hAnsi="Bookman Old Style" w:cs="Arial Unicode MS"/>
          <w:sz w:val="24"/>
          <w:szCs w:val="24"/>
        </w:rPr>
        <w:t>. The gist of the plaintiff’s</w:t>
      </w:r>
      <w:r w:rsidR="001518AD">
        <w:rPr>
          <w:rFonts w:ascii="Bookman Old Style" w:eastAsia="Arial Unicode MS" w:hAnsi="Bookman Old Style" w:cs="Arial Unicode MS"/>
          <w:sz w:val="24"/>
          <w:szCs w:val="24"/>
        </w:rPr>
        <w:t xml:space="preserve"> complaint is that the words, and images complained of in their natural, and ordinary meaning are understood to mean: that the plaintiff is a schemer</w:t>
      </w:r>
      <w:r w:rsidR="00DC5D8D">
        <w:rPr>
          <w:rFonts w:ascii="Bookman Old Style" w:eastAsia="Arial Unicode MS" w:hAnsi="Bookman Old Style" w:cs="Arial Unicode MS"/>
          <w:sz w:val="24"/>
          <w:szCs w:val="24"/>
        </w:rPr>
        <w:t>,</w:t>
      </w:r>
      <w:r w:rsidR="001518AD">
        <w:rPr>
          <w:rFonts w:ascii="Bookman Old Style" w:eastAsia="Arial Unicode MS" w:hAnsi="Bookman Old Style" w:cs="Arial Unicode MS"/>
          <w:sz w:val="24"/>
          <w:szCs w:val="24"/>
        </w:rPr>
        <w:t xml:space="preserve"> and has been engaged “dirty politics” for a long time; he manipulated the discipline, and expulsion of many members, of the MMD when he was </w:t>
      </w:r>
      <w:r w:rsidR="009C6761">
        <w:rPr>
          <w:rFonts w:ascii="Bookman Old Style" w:eastAsia="Arial Unicode MS" w:hAnsi="Bookman Old Style" w:cs="Arial Unicode MS"/>
          <w:sz w:val="24"/>
          <w:szCs w:val="24"/>
        </w:rPr>
        <w:t>its National Secretary; that he is not suitable to be P</w:t>
      </w:r>
      <w:r w:rsidR="001518AD">
        <w:rPr>
          <w:rFonts w:ascii="Bookman Old Style" w:eastAsia="Arial Unicode MS" w:hAnsi="Bookman Old Style" w:cs="Arial Unicode MS"/>
          <w:sz w:val="24"/>
          <w:szCs w:val="24"/>
        </w:rPr>
        <w:t>resi</w:t>
      </w:r>
      <w:r w:rsidR="009C6761">
        <w:rPr>
          <w:rFonts w:ascii="Bookman Old Style" w:eastAsia="Arial Unicode MS" w:hAnsi="Bookman Old Style" w:cs="Arial Unicode MS"/>
          <w:sz w:val="24"/>
          <w:szCs w:val="24"/>
        </w:rPr>
        <w:t>dent of this country;</w:t>
      </w:r>
      <w:r w:rsidR="00764003">
        <w:rPr>
          <w:rFonts w:ascii="Bookman Old Style" w:eastAsia="Arial Unicode MS" w:hAnsi="Bookman Old Style" w:cs="Arial Unicode MS"/>
          <w:sz w:val="24"/>
          <w:szCs w:val="24"/>
        </w:rPr>
        <w:t xml:space="preserve"> h</w:t>
      </w:r>
      <w:r w:rsidR="002E4F6E">
        <w:rPr>
          <w:rFonts w:ascii="Bookman Old Style" w:eastAsia="Arial Unicode MS" w:hAnsi="Bookman Old Style" w:cs="Arial Unicode MS"/>
          <w:sz w:val="24"/>
          <w:szCs w:val="24"/>
        </w:rPr>
        <w:t>e does not uphold, and believe in t</w:t>
      </w:r>
      <w:r w:rsidR="009C6761">
        <w:rPr>
          <w:rFonts w:ascii="Bookman Old Style" w:eastAsia="Arial Unicode MS" w:hAnsi="Bookman Old Style" w:cs="Arial Unicode MS"/>
          <w:sz w:val="24"/>
          <w:szCs w:val="24"/>
        </w:rPr>
        <w:t>he tene</w:t>
      </w:r>
      <w:r w:rsidR="002E4F6E">
        <w:rPr>
          <w:rFonts w:ascii="Bookman Old Style" w:eastAsia="Arial Unicode MS" w:hAnsi="Bookman Old Style" w:cs="Arial Unicode MS"/>
          <w:sz w:val="24"/>
          <w:szCs w:val="24"/>
        </w:rPr>
        <w:t>ts of democracy</w:t>
      </w:r>
      <w:r w:rsidR="00764003">
        <w:rPr>
          <w:rFonts w:ascii="Bookman Old Style" w:eastAsia="Arial Unicode MS" w:hAnsi="Bookman Old Style" w:cs="Arial Unicode MS"/>
          <w:sz w:val="24"/>
          <w:szCs w:val="24"/>
        </w:rPr>
        <w:t>;</w:t>
      </w:r>
      <w:r w:rsidR="002E4F6E">
        <w:rPr>
          <w:rFonts w:ascii="Bookman Old Style" w:eastAsia="Arial Unicode MS" w:hAnsi="Bookman Old Style" w:cs="Arial Unicode MS"/>
          <w:sz w:val="24"/>
          <w:szCs w:val="24"/>
        </w:rPr>
        <w:t xml:space="preserve"> </w:t>
      </w:r>
      <w:r w:rsidR="00CD10EA">
        <w:rPr>
          <w:rFonts w:ascii="Bookman Old Style" w:eastAsia="Arial Unicode MS" w:hAnsi="Bookman Old Style" w:cs="Arial Unicode MS"/>
          <w:sz w:val="24"/>
          <w:szCs w:val="24"/>
        </w:rPr>
        <w:t>sometime in 1993</w:t>
      </w:r>
      <w:r w:rsidR="00DC5D8D">
        <w:rPr>
          <w:rFonts w:ascii="Bookman Old Style" w:eastAsia="Arial Unicode MS" w:hAnsi="Bookman Old Style" w:cs="Arial Unicode MS"/>
          <w:sz w:val="24"/>
          <w:szCs w:val="24"/>
        </w:rPr>
        <w:t>,</w:t>
      </w:r>
      <w:r w:rsidR="009C6761">
        <w:rPr>
          <w:rFonts w:ascii="Bookman Old Style" w:eastAsia="Arial Unicode MS" w:hAnsi="Bookman Old Style" w:cs="Arial Unicode MS"/>
          <w:sz w:val="24"/>
          <w:szCs w:val="24"/>
        </w:rPr>
        <w:t xml:space="preserve"> </w:t>
      </w:r>
      <w:r w:rsidR="002E4F6E">
        <w:rPr>
          <w:rFonts w:ascii="Bookman Old Style" w:eastAsia="Arial Unicode MS" w:hAnsi="Bookman Old Style" w:cs="Arial Unicode MS"/>
          <w:sz w:val="24"/>
          <w:szCs w:val="24"/>
        </w:rPr>
        <w:t>he cause</w:t>
      </w:r>
      <w:r w:rsidR="00764003">
        <w:rPr>
          <w:rFonts w:ascii="Bookman Old Style" w:eastAsia="Arial Unicode MS" w:hAnsi="Bookman Old Style" w:cs="Arial Unicode MS"/>
          <w:sz w:val="24"/>
          <w:szCs w:val="24"/>
        </w:rPr>
        <w:t>d</w:t>
      </w:r>
      <w:r w:rsidR="00CD10EA">
        <w:rPr>
          <w:rFonts w:ascii="Bookman Old Style" w:eastAsia="Arial Unicode MS" w:hAnsi="Bookman Old Style" w:cs="Arial Unicode MS"/>
          <w:sz w:val="24"/>
          <w:szCs w:val="24"/>
        </w:rPr>
        <w:t xml:space="preserve"> confusion in the operation</w:t>
      </w:r>
      <w:r w:rsidR="002E4F6E">
        <w:rPr>
          <w:rFonts w:ascii="Bookman Old Style" w:eastAsia="Arial Unicode MS" w:hAnsi="Bookman Old Style" w:cs="Arial Unicode MS"/>
          <w:sz w:val="24"/>
          <w:szCs w:val="24"/>
        </w:rPr>
        <w:t xml:space="preserve"> of the Lusa</w:t>
      </w:r>
      <w:r w:rsidR="00CD10EA">
        <w:rPr>
          <w:rFonts w:ascii="Bookman Old Style" w:eastAsia="Arial Unicode MS" w:hAnsi="Bookman Old Style" w:cs="Arial Unicode MS"/>
          <w:sz w:val="24"/>
          <w:szCs w:val="24"/>
        </w:rPr>
        <w:t>ka City Council;</w:t>
      </w:r>
      <w:r w:rsidR="00764003">
        <w:rPr>
          <w:rFonts w:ascii="Bookman Old Style" w:eastAsia="Arial Unicode MS" w:hAnsi="Bookman Old Style" w:cs="Arial Unicode MS"/>
          <w:sz w:val="24"/>
          <w:szCs w:val="24"/>
        </w:rPr>
        <w:t xml:space="preserve"> the motive of </w:t>
      </w:r>
      <w:r w:rsidR="009C6761">
        <w:rPr>
          <w:rFonts w:ascii="Bookman Old Style" w:eastAsia="Arial Unicode MS" w:hAnsi="Bookman Old Style" w:cs="Arial Unicode MS"/>
          <w:sz w:val="24"/>
          <w:szCs w:val="24"/>
        </w:rPr>
        <w:t xml:space="preserve">his party (PF) </w:t>
      </w:r>
      <w:r w:rsidR="00185B24">
        <w:rPr>
          <w:rFonts w:ascii="Bookman Old Style" w:eastAsia="Arial Unicode MS" w:hAnsi="Bookman Old Style" w:cs="Arial Unicode MS"/>
          <w:sz w:val="24"/>
          <w:szCs w:val="24"/>
        </w:rPr>
        <w:t xml:space="preserve">of entering </w:t>
      </w:r>
      <w:r w:rsidR="002E4F6E">
        <w:rPr>
          <w:rFonts w:ascii="Bookman Old Style" w:eastAsia="Arial Unicode MS" w:hAnsi="Bookman Old Style" w:cs="Arial Unicode MS"/>
          <w:sz w:val="24"/>
          <w:szCs w:val="24"/>
        </w:rPr>
        <w:t xml:space="preserve">into a </w:t>
      </w:r>
      <w:r w:rsidR="009C6761">
        <w:rPr>
          <w:rFonts w:ascii="Bookman Old Style" w:eastAsia="Arial Unicode MS" w:hAnsi="Bookman Old Style" w:cs="Arial Unicode MS"/>
          <w:sz w:val="24"/>
          <w:szCs w:val="24"/>
        </w:rPr>
        <w:t>P</w:t>
      </w:r>
      <w:r w:rsidR="002E4F6E">
        <w:rPr>
          <w:rFonts w:ascii="Bookman Old Style" w:eastAsia="Arial Unicode MS" w:hAnsi="Bookman Old Style" w:cs="Arial Unicode MS"/>
          <w:sz w:val="24"/>
          <w:szCs w:val="24"/>
        </w:rPr>
        <w:t xml:space="preserve">act with </w:t>
      </w:r>
      <w:r w:rsidR="009C6761">
        <w:rPr>
          <w:rFonts w:ascii="Bookman Old Style" w:eastAsia="Arial Unicode MS" w:hAnsi="Bookman Old Style" w:cs="Arial Unicode MS"/>
          <w:sz w:val="24"/>
          <w:szCs w:val="24"/>
        </w:rPr>
        <w:t xml:space="preserve">the </w:t>
      </w:r>
      <w:r w:rsidR="002E4F6E">
        <w:rPr>
          <w:rFonts w:ascii="Bookman Old Style" w:eastAsia="Arial Unicode MS" w:hAnsi="Bookman Old Style" w:cs="Arial Unicode MS"/>
          <w:sz w:val="24"/>
          <w:szCs w:val="24"/>
        </w:rPr>
        <w:t>UPND</w:t>
      </w:r>
      <w:r w:rsidR="00764003">
        <w:rPr>
          <w:rFonts w:ascii="Bookman Old Style" w:eastAsia="Arial Unicode MS" w:hAnsi="Bookman Old Style" w:cs="Arial Unicode MS"/>
          <w:sz w:val="24"/>
          <w:szCs w:val="24"/>
        </w:rPr>
        <w:t>,</w:t>
      </w:r>
      <w:r w:rsidR="009C6761">
        <w:rPr>
          <w:rFonts w:ascii="Bookman Old Style" w:eastAsia="Arial Unicode MS" w:hAnsi="Bookman Old Style" w:cs="Arial Unicode MS"/>
          <w:sz w:val="24"/>
          <w:szCs w:val="24"/>
        </w:rPr>
        <w:t xml:space="preserve"> was</w:t>
      </w:r>
      <w:r w:rsidR="00764003">
        <w:rPr>
          <w:rFonts w:ascii="Bookman Old Style" w:eastAsia="Arial Unicode MS" w:hAnsi="Bookman Old Style" w:cs="Arial Unicode MS"/>
          <w:sz w:val="24"/>
          <w:szCs w:val="24"/>
        </w:rPr>
        <w:t xml:space="preserve"> because</w:t>
      </w:r>
      <w:r w:rsidR="002E4F6E">
        <w:rPr>
          <w:rFonts w:ascii="Bookman Old Style" w:eastAsia="Arial Unicode MS" w:hAnsi="Bookman Old Style" w:cs="Arial Unicode MS"/>
          <w:sz w:val="24"/>
          <w:szCs w:val="24"/>
        </w:rPr>
        <w:t xml:space="preserve"> </w:t>
      </w:r>
      <w:r w:rsidR="00764003">
        <w:rPr>
          <w:rFonts w:ascii="Bookman Old Style" w:eastAsia="Arial Unicode MS" w:hAnsi="Bookman Old Style" w:cs="Arial Unicode MS"/>
          <w:sz w:val="24"/>
          <w:szCs w:val="24"/>
        </w:rPr>
        <w:t xml:space="preserve">he has insatiable </w:t>
      </w:r>
      <w:r w:rsidR="002E4F6E">
        <w:rPr>
          <w:rFonts w:ascii="Bookman Old Style" w:eastAsia="Arial Unicode MS" w:hAnsi="Bookman Old Style" w:cs="Arial Unicode MS"/>
          <w:sz w:val="24"/>
          <w:szCs w:val="24"/>
        </w:rPr>
        <w:t xml:space="preserve">appetite for State House; he does </w:t>
      </w:r>
      <w:r w:rsidR="009C6761">
        <w:rPr>
          <w:rFonts w:ascii="Bookman Old Style" w:eastAsia="Arial Unicode MS" w:hAnsi="Bookman Old Style" w:cs="Arial Unicode MS"/>
          <w:sz w:val="24"/>
          <w:szCs w:val="24"/>
        </w:rPr>
        <w:t>not respect traditional leaders;</w:t>
      </w:r>
      <w:r w:rsidR="002E4F6E">
        <w:rPr>
          <w:rFonts w:ascii="Bookman Old Style" w:eastAsia="Arial Unicode MS" w:hAnsi="Bookman Old Style" w:cs="Arial Unicode MS"/>
          <w:sz w:val="24"/>
          <w:szCs w:val="24"/>
        </w:rPr>
        <w:t xml:space="preserve"> he</w:t>
      </w:r>
      <w:r w:rsidR="00764003">
        <w:rPr>
          <w:rFonts w:ascii="Bookman Old Style" w:eastAsia="Arial Unicode MS" w:hAnsi="Bookman Old Style" w:cs="Arial Unicode MS"/>
          <w:sz w:val="24"/>
          <w:szCs w:val="24"/>
        </w:rPr>
        <w:t xml:space="preserve"> initiated Father Bwalya’s Red Card campaign; and he off</w:t>
      </w:r>
      <w:r w:rsidR="002E4F6E">
        <w:rPr>
          <w:rFonts w:ascii="Bookman Old Style" w:eastAsia="Arial Unicode MS" w:hAnsi="Bookman Old Style" w:cs="Arial Unicode MS"/>
          <w:sz w:val="24"/>
          <w:szCs w:val="24"/>
        </w:rPr>
        <w:t>ered to dissolve</w:t>
      </w:r>
      <w:r w:rsidR="00764003">
        <w:rPr>
          <w:rFonts w:ascii="Bookman Old Style" w:eastAsia="Arial Unicode MS" w:hAnsi="Bookman Old Style" w:cs="Arial Unicode MS"/>
          <w:sz w:val="24"/>
          <w:szCs w:val="24"/>
        </w:rPr>
        <w:t xml:space="preserve"> his party,</w:t>
      </w:r>
      <w:r w:rsidR="009C6761">
        <w:rPr>
          <w:rFonts w:ascii="Bookman Old Style" w:eastAsia="Arial Unicode MS" w:hAnsi="Bookman Old Style" w:cs="Arial Unicode MS"/>
          <w:sz w:val="24"/>
          <w:szCs w:val="24"/>
        </w:rPr>
        <w:t>___</w:t>
      </w:r>
      <w:r w:rsidR="002E4F6E">
        <w:rPr>
          <w:rFonts w:ascii="Bookman Old Style" w:eastAsia="Arial Unicode MS" w:hAnsi="Bookman Old Style" w:cs="Arial Unicode MS"/>
          <w:sz w:val="24"/>
          <w:szCs w:val="24"/>
        </w:rPr>
        <w:t xml:space="preserve"> </w:t>
      </w:r>
      <w:r w:rsidR="00185B24">
        <w:rPr>
          <w:rFonts w:ascii="Bookman Old Style" w:eastAsia="Arial Unicode MS" w:hAnsi="Bookman Old Style" w:cs="Arial Unicode MS"/>
          <w:sz w:val="24"/>
          <w:szCs w:val="24"/>
        </w:rPr>
        <w:t xml:space="preserve">the </w:t>
      </w:r>
      <w:r w:rsidR="002E4F6E">
        <w:rPr>
          <w:rFonts w:ascii="Bookman Old Style" w:eastAsia="Arial Unicode MS" w:hAnsi="Bookman Old Style" w:cs="Arial Unicode MS"/>
          <w:sz w:val="24"/>
          <w:szCs w:val="24"/>
        </w:rPr>
        <w:t>Patriotic Front</w:t>
      </w:r>
      <w:r w:rsidR="00764003">
        <w:rPr>
          <w:rFonts w:ascii="Bookman Old Style" w:eastAsia="Arial Unicode MS" w:hAnsi="Bookman Old Style" w:cs="Arial Unicode MS"/>
          <w:sz w:val="24"/>
          <w:szCs w:val="24"/>
        </w:rPr>
        <w:t>,</w:t>
      </w:r>
      <w:r w:rsidR="009C6761">
        <w:rPr>
          <w:rFonts w:ascii="Bookman Old Style" w:eastAsia="Arial Unicode MS" w:hAnsi="Bookman Old Style" w:cs="Arial Unicode MS"/>
          <w:sz w:val="24"/>
          <w:szCs w:val="24"/>
        </w:rPr>
        <w:t>___</w:t>
      </w:r>
      <w:r w:rsidR="002E4F6E">
        <w:rPr>
          <w:rFonts w:ascii="Bookman Old Style" w:eastAsia="Arial Unicode MS" w:hAnsi="Bookman Old Style" w:cs="Arial Unicode MS"/>
          <w:sz w:val="24"/>
          <w:szCs w:val="24"/>
        </w:rPr>
        <w:t xml:space="preserve"> in exchange for </w:t>
      </w:r>
      <w:r w:rsidR="00764003">
        <w:rPr>
          <w:rFonts w:ascii="Bookman Old Style" w:eastAsia="Arial Unicode MS" w:hAnsi="Bookman Old Style" w:cs="Arial Unicode MS"/>
          <w:sz w:val="24"/>
          <w:szCs w:val="24"/>
        </w:rPr>
        <w:t xml:space="preserve">an </w:t>
      </w:r>
      <w:r w:rsidR="002E4F6E">
        <w:rPr>
          <w:rFonts w:ascii="Bookman Old Style" w:eastAsia="Arial Unicode MS" w:hAnsi="Bookman Old Style" w:cs="Arial Unicode MS"/>
          <w:sz w:val="24"/>
          <w:szCs w:val="24"/>
        </w:rPr>
        <w:t>appointment as Vice President of Zambia, in his bid to reconcile with the late president Mwanawasa.</w:t>
      </w:r>
    </w:p>
    <w:p w:rsidR="00CD396E" w:rsidRDefault="00CD396E" w:rsidP="0008482F">
      <w:pPr>
        <w:spacing w:before="240" w:line="360" w:lineRule="auto"/>
        <w:jc w:val="both"/>
        <w:rPr>
          <w:rFonts w:ascii="Bookman Old Style" w:eastAsia="Arial Unicode MS" w:hAnsi="Bookman Old Style" w:cs="Arial Unicode MS"/>
          <w:sz w:val="24"/>
          <w:szCs w:val="24"/>
        </w:rPr>
      </w:pPr>
    </w:p>
    <w:p w:rsidR="00CD396E" w:rsidRDefault="00CD396E"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As I stated earlier on, </w:t>
      </w:r>
      <w:r w:rsidR="006F66AB">
        <w:rPr>
          <w:rFonts w:ascii="Bookman Old Style" w:eastAsia="Arial Unicode MS" w:hAnsi="Bookman Old Style" w:cs="Arial Unicode MS"/>
          <w:sz w:val="24"/>
          <w:szCs w:val="24"/>
        </w:rPr>
        <w:t>in considering whether an article or extract from it is defamatory the contents of the entire article must be considered.</w:t>
      </w:r>
      <w:r w:rsidR="006F66AB">
        <w:rPr>
          <w:rStyle w:val="FootnoteReference"/>
          <w:rFonts w:ascii="Bookman Old Style" w:eastAsia="Arial Unicode MS" w:hAnsi="Bookman Old Style" w:cs="Arial Unicode MS"/>
          <w:sz w:val="24"/>
          <w:szCs w:val="24"/>
        </w:rPr>
        <w:footnoteReference w:id="153"/>
      </w:r>
      <w:r w:rsidR="006F66AB">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 xml:space="preserve">I will </w:t>
      </w:r>
      <w:r>
        <w:rPr>
          <w:rFonts w:ascii="Bookman Old Style" w:eastAsia="Arial Unicode MS" w:hAnsi="Bookman Old Style" w:cs="Arial Unicode MS"/>
          <w:sz w:val="24"/>
          <w:szCs w:val="24"/>
        </w:rPr>
        <w:lastRenderedPageBreak/>
        <w:t>therefore now proceed to consider the relevant po</w:t>
      </w:r>
      <w:r w:rsidR="00185B24">
        <w:rPr>
          <w:rFonts w:ascii="Bookman Old Style" w:eastAsia="Arial Unicode MS" w:hAnsi="Bookman Old Style" w:cs="Arial Unicode MS"/>
          <w:sz w:val="24"/>
          <w:szCs w:val="24"/>
        </w:rPr>
        <w:t>rtion</w:t>
      </w:r>
      <w:r w:rsidR="009A359A">
        <w:rPr>
          <w:rFonts w:ascii="Bookman Old Style" w:eastAsia="Arial Unicode MS" w:hAnsi="Bookman Old Style" w:cs="Arial Unicode MS"/>
          <w:sz w:val="24"/>
          <w:szCs w:val="24"/>
        </w:rPr>
        <w:t>s</w:t>
      </w:r>
      <w:r w:rsidR="00185B24">
        <w:rPr>
          <w:rFonts w:ascii="Bookman Old Style" w:eastAsia="Arial Unicode MS" w:hAnsi="Bookman Old Style" w:cs="Arial Unicode MS"/>
          <w:sz w:val="24"/>
          <w:szCs w:val="24"/>
        </w:rPr>
        <w:t xml:space="preserve"> of the statement complained</w:t>
      </w:r>
      <w:r>
        <w:rPr>
          <w:rFonts w:ascii="Bookman Old Style" w:eastAsia="Arial Unicode MS" w:hAnsi="Bookman Old Style" w:cs="Arial Unicode MS"/>
          <w:sz w:val="24"/>
          <w:szCs w:val="24"/>
        </w:rPr>
        <w:t xml:space="preserve"> of</w:t>
      </w:r>
      <w:r w:rsidR="006F66AB">
        <w:rPr>
          <w:rFonts w:ascii="Bookman Old Style" w:eastAsia="Arial Unicode MS" w:hAnsi="Bookman Old Style" w:cs="Arial Unicode MS"/>
          <w:sz w:val="24"/>
          <w:szCs w:val="24"/>
        </w:rPr>
        <w:t>. I</w:t>
      </w:r>
      <w:r>
        <w:rPr>
          <w:rFonts w:ascii="Bookman Old Style" w:eastAsia="Arial Unicode MS" w:hAnsi="Bookman Old Style" w:cs="Arial Unicode MS"/>
          <w:sz w:val="24"/>
          <w:szCs w:val="24"/>
        </w:rPr>
        <w:t xml:space="preserve">n </w:t>
      </w:r>
      <w:r w:rsidR="00DC5D8D">
        <w:rPr>
          <w:rFonts w:ascii="Bookman Old Style" w:eastAsia="Arial Unicode MS" w:hAnsi="Bookman Old Style" w:cs="Arial Unicode MS"/>
          <w:sz w:val="24"/>
          <w:szCs w:val="24"/>
        </w:rPr>
        <w:t xml:space="preserve">the first instalment </w:t>
      </w:r>
      <w:r w:rsidR="006F66AB">
        <w:rPr>
          <w:rFonts w:ascii="Bookman Old Style" w:eastAsia="Arial Unicode MS" w:hAnsi="Bookman Old Style" w:cs="Arial Unicode MS"/>
          <w:sz w:val="24"/>
          <w:szCs w:val="24"/>
        </w:rPr>
        <w:t xml:space="preserve">it is stated </w:t>
      </w:r>
      <w:r>
        <w:rPr>
          <w:rFonts w:ascii="Bookman Old Style" w:eastAsia="Arial Unicode MS" w:hAnsi="Bookman Old Style" w:cs="Arial Unicode MS"/>
          <w:sz w:val="24"/>
          <w:szCs w:val="24"/>
        </w:rPr>
        <w:t xml:space="preserve">as follows: </w:t>
      </w:r>
    </w:p>
    <w:p w:rsidR="004C6200" w:rsidRPr="00185B24" w:rsidRDefault="00855B46" w:rsidP="00185B24">
      <w:pPr>
        <w:spacing w:before="240" w:line="240" w:lineRule="auto"/>
        <w:jc w:val="both"/>
        <w:rPr>
          <w:rFonts w:ascii="Bookman Old Style" w:eastAsia="Arial Unicode MS" w:hAnsi="Bookman Old Style" w:cs="Arial Unicode MS"/>
          <w:i/>
          <w:sz w:val="24"/>
          <w:szCs w:val="24"/>
        </w:rPr>
      </w:pPr>
      <w:r w:rsidRPr="00185B24">
        <w:rPr>
          <w:rFonts w:ascii="Bookman Old Style" w:eastAsia="Arial Unicode MS" w:hAnsi="Bookman Old Style" w:cs="Arial Unicode MS"/>
          <w:i/>
          <w:sz w:val="24"/>
          <w:szCs w:val="24"/>
        </w:rPr>
        <w:t>“...for most founding members of the ruling MMD, the biggest mistake that ever happened to the party that toppled Kenneth Kaunda’s United National Independence Party (UNIP) in the first ever multi party elections in seventeen years was to elect Sata to the position of National Secretary. Sa</w:t>
      </w:r>
      <w:r w:rsidR="00185B24" w:rsidRPr="00185B24">
        <w:rPr>
          <w:rFonts w:ascii="Bookman Old Style" w:eastAsia="Arial Unicode MS" w:hAnsi="Bookman Old Style" w:cs="Arial Unicode MS"/>
          <w:i/>
          <w:sz w:val="24"/>
          <w:szCs w:val="24"/>
        </w:rPr>
        <w:t>ta was elected at the 1995 MMD C</w:t>
      </w:r>
      <w:r w:rsidRPr="00185B24">
        <w:rPr>
          <w:rFonts w:ascii="Bookman Old Style" w:eastAsia="Arial Unicode MS" w:hAnsi="Bookman Old Style" w:cs="Arial Unicode MS"/>
          <w:i/>
          <w:sz w:val="24"/>
          <w:szCs w:val="24"/>
        </w:rPr>
        <w:t>onvention taking over</w:t>
      </w:r>
      <w:r w:rsidR="004C6200" w:rsidRPr="00185B24">
        <w:rPr>
          <w:rFonts w:ascii="Bookman Old Style" w:eastAsia="Arial Unicode MS" w:hAnsi="Bookman Old Style" w:cs="Arial Unicode MS"/>
          <w:i/>
          <w:sz w:val="24"/>
          <w:szCs w:val="24"/>
        </w:rPr>
        <w:t xml:space="preserve"> from Brigadier General Godfrey Miyanda. Little did people kn</w:t>
      </w:r>
      <w:r w:rsidR="00CD10EA">
        <w:rPr>
          <w:rFonts w:ascii="Bookman Old Style" w:eastAsia="Arial Unicode MS" w:hAnsi="Bookman Old Style" w:cs="Arial Unicode MS"/>
          <w:i/>
          <w:sz w:val="24"/>
          <w:szCs w:val="24"/>
        </w:rPr>
        <w:t>ow that the ruling eyes of the C</w:t>
      </w:r>
      <w:r w:rsidR="004C6200" w:rsidRPr="00185B24">
        <w:rPr>
          <w:rFonts w:ascii="Bookman Old Style" w:eastAsia="Arial Unicode MS" w:hAnsi="Bookman Old Style" w:cs="Arial Unicode MS"/>
          <w:i/>
          <w:sz w:val="24"/>
          <w:szCs w:val="24"/>
        </w:rPr>
        <w:t>obra would hypnotise almost the entire rank, and file of the MMD. It was indeed the begi</w:t>
      </w:r>
      <w:r w:rsidR="00185B24" w:rsidRPr="00185B24">
        <w:rPr>
          <w:rFonts w:ascii="Bookman Old Style" w:eastAsia="Arial Unicode MS" w:hAnsi="Bookman Old Style" w:cs="Arial Unicode MS"/>
          <w:i/>
          <w:sz w:val="24"/>
          <w:szCs w:val="24"/>
        </w:rPr>
        <w:t>nning of terror in the way the P</w:t>
      </w:r>
      <w:r w:rsidR="004C6200" w:rsidRPr="00185B24">
        <w:rPr>
          <w:rFonts w:ascii="Bookman Old Style" w:eastAsia="Arial Unicode MS" w:hAnsi="Bookman Old Style" w:cs="Arial Unicode MS"/>
          <w:i/>
          <w:sz w:val="24"/>
          <w:szCs w:val="24"/>
        </w:rPr>
        <w:t>arty was to be administered, suspensions, and expulsions became the law and the party was to be run with an iron fist with no order, and yet this is the man who claims he can run th</w:t>
      </w:r>
      <w:r w:rsidR="00185B24" w:rsidRPr="00185B24">
        <w:rPr>
          <w:rFonts w:ascii="Bookman Old Style" w:eastAsia="Arial Unicode MS" w:hAnsi="Bookman Old Style" w:cs="Arial Unicode MS"/>
          <w:i/>
          <w:sz w:val="24"/>
          <w:szCs w:val="24"/>
        </w:rPr>
        <w:t>e country as P</w:t>
      </w:r>
      <w:r w:rsidR="004C6200" w:rsidRPr="00185B24">
        <w:rPr>
          <w:rFonts w:ascii="Bookman Old Style" w:eastAsia="Arial Unicode MS" w:hAnsi="Bookman Old Style" w:cs="Arial Unicode MS"/>
          <w:i/>
          <w:sz w:val="24"/>
          <w:szCs w:val="24"/>
        </w:rPr>
        <w:t xml:space="preserve">resident better than anyone has ever done.” </w:t>
      </w:r>
    </w:p>
    <w:p w:rsidR="004C6200" w:rsidRDefault="004C6200" w:rsidP="0008482F">
      <w:pPr>
        <w:spacing w:before="240" w:line="360" w:lineRule="auto"/>
        <w:jc w:val="both"/>
        <w:rPr>
          <w:rFonts w:ascii="Bookman Old Style" w:eastAsia="Arial Unicode MS" w:hAnsi="Bookman Old Style" w:cs="Arial Unicode MS"/>
          <w:sz w:val="24"/>
          <w:szCs w:val="24"/>
        </w:rPr>
      </w:pPr>
    </w:p>
    <w:p w:rsidR="00CC3134" w:rsidRDefault="004C6200"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complaint of the plaintiff is that the defendants allege that he is a schemer, and has been engaged in dirty politics; as the erstwhile </w:t>
      </w:r>
      <w:r w:rsidR="0082765A">
        <w:rPr>
          <w:rFonts w:ascii="Bookman Old Style" w:eastAsia="Arial Unicode MS" w:hAnsi="Bookman Old Style" w:cs="Arial Unicode MS"/>
          <w:sz w:val="24"/>
          <w:szCs w:val="24"/>
        </w:rPr>
        <w:t>secretary of MMD</w:t>
      </w:r>
      <w:r w:rsidR="00CD10EA">
        <w:rPr>
          <w:rFonts w:ascii="Bookman Old Style" w:eastAsia="Arial Unicode MS" w:hAnsi="Bookman Old Style" w:cs="Arial Unicode MS"/>
          <w:sz w:val="24"/>
          <w:szCs w:val="24"/>
        </w:rPr>
        <w:t>,</w:t>
      </w:r>
      <w:r w:rsidR="0082765A">
        <w:rPr>
          <w:rFonts w:ascii="Bookman Old Style" w:eastAsia="Arial Unicode MS" w:hAnsi="Bookman Old Style" w:cs="Arial Unicode MS"/>
          <w:sz w:val="24"/>
          <w:szCs w:val="24"/>
        </w:rPr>
        <w:t xml:space="preserve"> he manipulated the then President Chiluba</w:t>
      </w:r>
      <w:r w:rsidR="00185B24">
        <w:rPr>
          <w:rFonts w:ascii="Bookman Old Style" w:eastAsia="Arial Unicode MS" w:hAnsi="Bookman Old Style" w:cs="Arial Unicode MS"/>
          <w:sz w:val="24"/>
          <w:szCs w:val="24"/>
        </w:rPr>
        <w:t>,</w:t>
      </w:r>
      <w:r w:rsidR="0082765A">
        <w:rPr>
          <w:rFonts w:ascii="Bookman Old Style" w:eastAsia="Arial Unicode MS" w:hAnsi="Bookman Old Style" w:cs="Arial Unicode MS"/>
          <w:sz w:val="24"/>
          <w:szCs w:val="24"/>
        </w:rPr>
        <w:t xml:space="preserve"> and the National Executive Committee (NEC) of MMD in the discipline, and expulsion of many members of the party. These include</w:t>
      </w:r>
      <w:r w:rsidR="00DC5D8D">
        <w:rPr>
          <w:rFonts w:ascii="Bookman Old Style" w:eastAsia="Arial Unicode MS" w:hAnsi="Bookman Old Style" w:cs="Arial Unicode MS"/>
          <w:sz w:val="24"/>
          <w:szCs w:val="24"/>
        </w:rPr>
        <w:t>,</w:t>
      </w:r>
      <w:r w:rsidR="0082765A">
        <w:rPr>
          <w:rFonts w:ascii="Bookman Old Style" w:eastAsia="Arial Unicode MS" w:hAnsi="Bookman Old Style" w:cs="Arial Unicode MS"/>
          <w:sz w:val="24"/>
          <w:szCs w:val="24"/>
        </w:rPr>
        <w:t xml:space="preserve"> Mr. Anderson Mazoka (dec</w:t>
      </w:r>
      <w:r w:rsidR="00185B24">
        <w:rPr>
          <w:rFonts w:ascii="Bookman Old Style" w:eastAsia="Arial Unicode MS" w:hAnsi="Bookman Old Style" w:cs="Arial Unicode MS"/>
          <w:sz w:val="24"/>
          <w:szCs w:val="24"/>
        </w:rPr>
        <w:t>eased), Mr. B.Y. Mwila, and 22 Members of P</w:t>
      </w:r>
      <w:r w:rsidR="0082765A">
        <w:rPr>
          <w:rFonts w:ascii="Bookman Old Style" w:eastAsia="Arial Unicode MS" w:hAnsi="Bookman Old Style" w:cs="Arial Unicode MS"/>
          <w:sz w:val="24"/>
          <w:szCs w:val="24"/>
        </w:rPr>
        <w:t>arliament. Further, the plaintiff has complained about the suggestion by the defendants that he does not believe in democracy, and</w:t>
      </w:r>
      <w:r w:rsidR="00CD10EA">
        <w:rPr>
          <w:rFonts w:ascii="Bookman Old Style" w:eastAsia="Arial Unicode MS" w:hAnsi="Bookman Old Style" w:cs="Arial Unicode MS"/>
          <w:sz w:val="24"/>
          <w:szCs w:val="24"/>
        </w:rPr>
        <w:t xml:space="preserve"> that</w:t>
      </w:r>
      <w:r w:rsidR="0082765A">
        <w:rPr>
          <w:rFonts w:ascii="Bookman Old Style" w:eastAsia="Arial Unicode MS" w:hAnsi="Bookman Old Style" w:cs="Arial Unicode MS"/>
          <w:sz w:val="24"/>
          <w:szCs w:val="24"/>
        </w:rPr>
        <w:t xml:space="preserve"> generally he is not fit to be bestowed with the responsibility of running the affairs of this </w:t>
      </w:r>
      <w:r w:rsidR="00185B24">
        <w:rPr>
          <w:rFonts w:ascii="Bookman Old Style" w:eastAsia="Arial Unicode MS" w:hAnsi="Bookman Old Style" w:cs="Arial Unicode MS"/>
          <w:sz w:val="24"/>
          <w:szCs w:val="24"/>
        </w:rPr>
        <w:t xml:space="preserve">country </w:t>
      </w:r>
      <w:r w:rsidR="0082765A">
        <w:rPr>
          <w:rFonts w:ascii="Bookman Old Style" w:eastAsia="Arial Unicode MS" w:hAnsi="Bookman Old Style" w:cs="Arial Unicode MS"/>
          <w:sz w:val="24"/>
          <w:szCs w:val="24"/>
        </w:rPr>
        <w:t>a</w:t>
      </w:r>
      <w:r w:rsidR="00185B24">
        <w:rPr>
          <w:rFonts w:ascii="Bookman Old Style" w:eastAsia="Arial Unicode MS" w:hAnsi="Bookman Old Style" w:cs="Arial Unicode MS"/>
          <w:sz w:val="24"/>
          <w:szCs w:val="24"/>
        </w:rPr>
        <w:t>s republican P</w:t>
      </w:r>
      <w:r w:rsidR="0082765A">
        <w:rPr>
          <w:rFonts w:ascii="Bookman Old Style" w:eastAsia="Arial Unicode MS" w:hAnsi="Bookman Old Style" w:cs="Arial Unicode MS"/>
          <w:sz w:val="24"/>
          <w:szCs w:val="24"/>
        </w:rPr>
        <w:t>resident. The defendants do not of course deny that they published the statement complained of. The 1</w:t>
      </w:r>
      <w:r w:rsidR="0082765A" w:rsidRPr="0082765A">
        <w:rPr>
          <w:rFonts w:ascii="Bookman Old Style" w:eastAsia="Arial Unicode MS" w:hAnsi="Bookman Old Style" w:cs="Arial Unicode MS"/>
          <w:sz w:val="24"/>
          <w:szCs w:val="24"/>
          <w:vertAlign w:val="superscript"/>
        </w:rPr>
        <w:t>st</w:t>
      </w:r>
      <w:r w:rsidR="0082765A">
        <w:rPr>
          <w:rFonts w:ascii="Bookman Old Style" w:eastAsia="Arial Unicode MS" w:hAnsi="Bookman Old Style" w:cs="Arial Unicode MS"/>
          <w:sz w:val="24"/>
          <w:szCs w:val="24"/>
        </w:rPr>
        <w:t xml:space="preserve"> and 2</w:t>
      </w:r>
      <w:r w:rsidR="0082765A" w:rsidRPr="0082765A">
        <w:rPr>
          <w:rFonts w:ascii="Bookman Old Style" w:eastAsia="Arial Unicode MS" w:hAnsi="Bookman Old Style" w:cs="Arial Unicode MS"/>
          <w:sz w:val="24"/>
          <w:szCs w:val="24"/>
          <w:vertAlign w:val="superscript"/>
        </w:rPr>
        <w:t>nd</w:t>
      </w:r>
      <w:r w:rsidR="00CD10EA">
        <w:rPr>
          <w:rFonts w:ascii="Bookman Old Style" w:eastAsia="Arial Unicode MS" w:hAnsi="Bookman Old Style" w:cs="Arial Unicode MS"/>
          <w:sz w:val="24"/>
          <w:szCs w:val="24"/>
        </w:rPr>
        <w:t xml:space="preserve"> d</w:t>
      </w:r>
      <w:r w:rsidR="0082765A">
        <w:rPr>
          <w:rFonts w:ascii="Bookman Old Style" w:eastAsia="Arial Unicode MS" w:hAnsi="Bookman Old Style" w:cs="Arial Unicode MS"/>
          <w:sz w:val="24"/>
          <w:szCs w:val="24"/>
        </w:rPr>
        <w:t>efendant</w:t>
      </w:r>
      <w:r w:rsidR="00CD10EA">
        <w:rPr>
          <w:rFonts w:ascii="Bookman Old Style" w:eastAsia="Arial Unicode MS" w:hAnsi="Bookman Old Style" w:cs="Arial Unicode MS"/>
          <w:sz w:val="24"/>
          <w:szCs w:val="24"/>
        </w:rPr>
        <w:t>s</w:t>
      </w:r>
      <w:r w:rsidR="0082765A">
        <w:rPr>
          <w:rFonts w:ascii="Bookman Old Style" w:eastAsia="Arial Unicode MS" w:hAnsi="Bookman Old Style" w:cs="Arial Unicode MS"/>
          <w:sz w:val="24"/>
          <w:szCs w:val="24"/>
        </w:rPr>
        <w:t xml:space="preserve"> however deny that the words complained of bear the meaning</w:t>
      </w:r>
      <w:r w:rsidR="00DC5D8D">
        <w:rPr>
          <w:rFonts w:ascii="Bookman Old Style" w:eastAsia="Arial Unicode MS" w:hAnsi="Bookman Old Style" w:cs="Arial Unicode MS"/>
          <w:sz w:val="24"/>
          <w:szCs w:val="24"/>
        </w:rPr>
        <w:t>s</w:t>
      </w:r>
      <w:r w:rsidR="0082765A">
        <w:rPr>
          <w:rFonts w:ascii="Bookman Old Style" w:eastAsia="Arial Unicode MS" w:hAnsi="Bookman Old Style" w:cs="Arial Unicode MS"/>
          <w:sz w:val="24"/>
          <w:szCs w:val="24"/>
        </w:rPr>
        <w:t xml:space="preserve"> suggested by the plaintiff. The 3</w:t>
      </w:r>
      <w:r w:rsidR="0082765A" w:rsidRPr="0082765A">
        <w:rPr>
          <w:rFonts w:ascii="Bookman Old Style" w:eastAsia="Arial Unicode MS" w:hAnsi="Bookman Old Style" w:cs="Arial Unicode MS"/>
          <w:sz w:val="24"/>
          <w:szCs w:val="24"/>
          <w:vertAlign w:val="superscript"/>
        </w:rPr>
        <w:t>rd</w:t>
      </w:r>
      <w:r w:rsidR="0082765A">
        <w:rPr>
          <w:rFonts w:ascii="Bookman Old Style" w:eastAsia="Arial Unicode MS" w:hAnsi="Bookman Old Style" w:cs="Arial Unicode MS"/>
          <w:sz w:val="24"/>
          <w:szCs w:val="24"/>
        </w:rPr>
        <w:t xml:space="preserve"> defendant’s position is that even if the words, and images complained of bear the meaning</w:t>
      </w:r>
      <w:r w:rsidR="00DC5D8D">
        <w:rPr>
          <w:rFonts w:ascii="Bookman Old Style" w:eastAsia="Arial Unicode MS" w:hAnsi="Bookman Old Style" w:cs="Arial Unicode MS"/>
          <w:sz w:val="24"/>
          <w:szCs w:val="24"/>
        </w:rPr>
        <w:t>s</w:t>
      </w:r>
      <w:r w:rsidR="0082765A">
        <w:rPr>
          <w:rFonts w:ascii="Bookman Old Style" w:eastAsia="Arial Unicode MS" w:hAnsi="Bookman Old Style" w:cs="Arial Unicode MS"/>
          <w:sz w:val="24"/>
          <w:szCs w:val="24"/>
        </w:rPr>
        <w:t xml:space="preserve"> attributed to them by the plaintiff</w:t>
      </w:r>
      <w:r w:rsidR="00185B24">
        <w:rPr>
          <w:rFonts w:ascii="Bookman Old Style" w:eastAsia="Arial Unicode MS" w:hAnsi="Bookman Old Style" w:cs="Arial Unicode MS"/>
          <w:sz w:val="24"/>
          <w:szCs w:val="24"/>
        </w:rPr>
        <w:t>,</w:t>
      </w:r>
      <w:r w:rsidR="00EE1D85">
        <w:rPr>
          <w:rFonts w:ascii="Bookman Old Style" w:eastAsia="Arial Unicode MS" w:hAnsi="Bookman Old Style" w:cs="Arial Unicode MS"/>
          <w:sz w:val="24"/>
          <w:szCs w:val="24"/>
        </w:rPr>
        <w:t xml:space="preserve"> such meaning</w:t>
      </w:r>
      <w:r w:rsidR="00DC5D8D">
        <w:rPr>
          <w:rFonts w:ascii="Bookman Old Style" w:eastAsia="Arial Unicode MS" w:hAnsi="Bookman Old Style" w:cs="Arial Unicode MS"/>
          <w:sz w:val="24"/>
          <w:szCs w:val="24"/>
        </w:rPr>
        <w:t>s are</w:t>
      </w:r>
      <w:r w:rsidR="00EE1D85">
        <w:rPr>
          <w:rFonts w:ascii="Bookman Old Style" w:eastAsia="Arial Unicode MS" w:hAnsi="Bookman Old Style" w:cs="Arial Unicode MS"/>
          <w:sz w:val="24"/>
          <w:szCs w:val="24"/>
        </w:rPr>
        <w:t xml:space="preserve"> true, </w:t>
      </w:r>
      <w:r w:rsidR="00DC5D8D">
        <w:rPr>
          <w:rFonts w:ascii="Bookman Old Style" w:eastAsia="Arial Unicode MS" w:hAnsi="Bookman Old Style" w:cs="Arial Unicode MS"/>
          <w:sz w:val="24"/>
          <w:szCs w:val="24"/>
        </w:rPr>
        <w:t xml:space="preserve">a </w:t>
      </w:r>
      <w:r w:rsidR="00EE1D85">
        <w:rPr>
          <w:rFonts w:ascii="Bookman Old Style" w:eastAsia="Arial Unicode MS" w:hAnsi="Bookman Old Style" w:cs="Arial Unicode MS"/>
          <w:sz w:val="24"/>
          <w:szCs w:val="24"/>
        </w:rPr>
        <w:t>fair comment, and privileged</w:t>
      </w:r>
      <w:r w:rsidR="00185B24">
        <w:rPr>
          <w:rFonts w:ascii="Bookman Old Style" w:eastAsia="Arial Unicode MS" w:hAnsi="Bookman Old Style" w:cs="Arial Unicode MS"/>
          <w:sz w:val="24"/>
          <w:szCs w:val="24"/>
        </w:rPr>
        <w:t>,</w:t>
      </w:r>
      <w:r w:rsidR="00EE1D85">
        <w:rPr>
          <w:rFonts w:ascii="Bookman Old Style" w:eastAsia="Arial Unicode MS" w:hAnsi="Bookman Old Style" w:cs="Arial Unicode MS"/>
          <w:sz w:val="24"/>
          <w:szCs w:val="24"/>
        </w:rPr>
        <w:t xml:space="preserve"> save for paragraph 8 (XX) which is not reflected in any of the words, and images complained </w:t>
      </w:r>
      <w:r w:rsidR="00CD10EA">
        <w:rPr>
          <w:rFonts w:ascii="Bookman Old Style" w:eastAsia="Arial Unicode MS" w:hAnsi="Bookman Old Style" w:cs="Arial Unicode MS"/>
          <w:sz w:val="24"/>
          <w:szCs w:val="24"/>
        </w:rPr>
        <w:t>of</w:t>
      </w:r>
      <w:r w:rsidR="00DC5D8D">
        <w:rPr>
          <w:rFonts w:ascii="Bookman Old Style" w:eastAsia="Arial Unicode MS" w:hAnsi="Bookman Old Style" w:cs="Arial Unicode MS"/>
          <w:sz w:val="24"/>
          <w:szCs w:val="24"/>
        </w:rPr>
        <w:t>.</w:t>
      </w:r>
      <w:r w:rsidR="00CD10EA">
        <w:rPr>
          <w:rFonts w:ascii="Bookman Old Style" w:eastAsia="Arial Unicode MS" w:hAnsi="Bookman Old Style" w:cs="Arial Unicode MS"/>
          <w:sz w:val="24"/>
          <w:szCs w:val="24"/>
        </w:rPr>
        <w:t xml:space="preserve"> P</w:t>
      </w:r>
      <w:r w:rsidR="00185B24">
        <w:rPr>
          <w:rFonts w:ascii="Bookman Old Style" w:eastAsia="Arial Unicode MS" w:hAnsi="Bookman Old Style" w:cs="Arial Unicode MS"/>
          <w:sz w:val="24"/>
          <w:szCs w:val="24"/>
        </w:rPr>
        <w:t>aragraph 8 (XX) relates to the suggestion</w:t>
      </w:r>
      <w:r w:rsidR="00EE1D85">
        <w:rPr>
          <w:rFonts w:ascii="Bookman Old Style" w:eastAsia="Arial Unicode MS" w:hAnsi="Bookman Old Style" w:cs="Arial Unicode MS"/>
          <w:sz w:val="24"/>
          <w:szCs w:val="24"/>
        </w:rPr>
        <w:t xml:space="preserve"> by the defendants that the plaintiff in his </w:t>
      </w:r>
      <w:r w:rsidR="00185B24">
        <w:rPr>
          <w:rFonts w:ascii="Bookman Old Style" w:eastAsia="Arial Unicode MS" w:hAnsi="Bookman Old Style" w:cs="Arial Unicode MS"/>
          <w:sz w:val="24"/>
          <w:szCs w:val="24"/>
        </w:rPr>
        <w:t xml:space="preserve">bid to reconcile </w:t>
      </w:r>
      <w:r w:rsidR="00EE1D85">
        <w:rPr>
          <w:rFonts w:ascii="Bookman Old Style" w:eastAsia="Arial Unicode MS" w:hAnsi="Bookman Old Style" w:cs="Arial Unicode MS"/>
          <w:sz w:val="24"/>
          <w:szCs w:val="24"/>
        </w:rPr>
        <w:t>with President Mwanawasa</w:t>
      </w:r>
      <w:r w:rsidR="00185B24">
        <w:rPr>
          <w:rFonts w:ascii="Bookman Old Style" w:eastAsia="Arial Unicode MS" w:hAnsi="Bookman Old Style" w:cs="Arial Unicode MS"/>
          <w:sz w:val="24"/>
          <w:szCs w:val="24"/>
        </w:rPr>
        <w:t xml:space="preserve"> (deceased)</w:t>
      </w:r>
      <w:r w:rsidR="00EE1D85">
        <w:rPr>
          <w:rFonts w:ascii="Bookman Old Style" w:eastAsia="Arial Unicode MS" w:hAnsi="Bookman Old Style" w:cs="Arial Unicode MS"/>
          <w:sz w:val="24"/>
          <w:szCs w:val="24"/>
        </w:rPr>
        <w:t>, he offered to dissolve the Patriot</w:t>
      </w:r>
      <w:r w:rsidR="00AA1D1E">
        <w:rPr>
          <w:rFonts w:ascii="Bookman Old Style" w:eastAsia="Arial Unicode MS" w:hAnsi="Bookman Old Style" w:cs="Arial Unicode MS"/>
          <w:sz w:val="24"/>
          <w:szCs w:val="24"/>
        </w:rPr>
        <w:t>ic</w:t>
      </w:r>
      <w:r w:rsidR="00EE1D85">
        <w:rPr>
          <w:rFonts w:ascii="Bookman Old Style" w:eastAsia="Arial Unicode MS" w:hAnsi="Bookman Old Style" w:cs="Arial Unicode MS"/>
          <w:sz w:val="24"/>
          <w:szCs w:val="24"/>
        </w:rPr>
        <w:t xml:space="preserve"> Front in excha</w:t>
      </w:r>
      <w:r w:rsidR="00DC5D8D">
        <w:rPr>
          <w:rFonts w:ascii="Bookman Old Style" w:eastAsia="Arial Unicode MS" w:hAnsi="Bookman Old Style" w:cs="Arial Unicode MS"/>
          <w:sz w:val="24"/>
          <w:szCs w:val="24"/>
        </w:rPr>
        <w:t xml:space="preserve">nge for an appointment as </w:t>
      </w:r>
      <w:r w:rsidR="00DC5D8D">
        <w:rPr>
          <w:rFonts w:ascii="Bookman Old Style" w:eastAsia="Arial Unicode MS" w:hAnsi="Bookman Old Style" w:cs="Arial Unicode MS"/>
          <w:sz w:val="24"/>
          <w:szCs w:val="24"/>
        </w:rPr>
        <w:lastRenderedPageBreak/>
        <w:t>Vice-P</w:t>
      </w:r>
      <w:r w:rsidR="00EE1D85">
        <w:rPr>
          <w:rFonts w:ascii="Bookman Old Style" w:eastAsia="Arial Unicode MS" w:hAnsi="Bookman Old Style" w:cs="Arial Unicode MS"/>
          <w:sz w:val="24"/>
          <w:szCs w:val="24"/>
        </w:rPr>
        <w:t xml:space="preserve">resident of </w:t>
      </w:r>
      <w:r w:rsidR="00DC5D8D">
        <w:rPr>
          <w:rFonts w:ascii="Bookman Old Style" w:eastAsia="Arial Unicode MS" w:hAnsi="Bookman Old Style" w:cs="Arial Unicode MS"/>
          <w:sz w:val="24"/>
          <w:szCs w:val="24"/>
        </w:rPr>
        <w:t xml:space="preserve">the republic </w:t>
      </w:r>
      <w:r w:rsidR="00EE1D85">
        <w:rPr>
          <w:rFonts w:ascii="Bookman Old Style" w:eastAsia="Arial Unicode MS" w:hAnsi="Bookman Old Style" w:cs="Arial Unicode MS"/>
          <w:sz w:val="24"/>
          <w:szCs w:val="24"/>
        </w:rPr>
        <w:t>Zambia. The fourth defendant has not yet filed any memorandum of appearance, and defence.</w:t>
      </w:r>
      <w:r w:rsidR="00CD10EA">
        <w:rPr>
          <w:rFonts w:ascii="Bookman Old Style" w:eastAsia="Arial Unicode MS" w:hAnsi="Bookman Old Style" w:cs="Arial Unicode MS"/>
          <w:sz w:val="24"/>
          <w:szCs w:val="24"/>
        </w:rPr>
        <w:t xml:space="preserve"> </w:t>
      </w:r>
    </w:p>
    <w:p w:rsidR="00CC3134" w:rsidRDefault="00CC3134" w:rsidP="0008482F">
      <w:pPr>
        <w:spacing w:before="240" w:line="360" w:lineRule="auto"/>
        <w:jc w:val="both"/>
        <w:rPr>
          <w:rFonts w:ascii="Bookman Old Style" w:eastAsia="Arial Unicode MS" w:hAnsi="Bookman Old Style" w:cs="Arial Unicode MS"/>
          <w:sz w:val="24"/>
          <w:szCs w:val="24"/>
        </w:rPr>
      </w:pPr>
    </w:p>
    <w:p w:rsidR="001031D1" w:rsidRDefault="00185B24"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It must be notice</w:t>
      </w:r>
      <w:r w:rsidR="00CD10EA">
        <w:rPr>
          <w:rFonts w:ascii="Bookman Old Style" w:eastAsia="Arial Unicode MS" w:hAnsi="Bookman Old Style" w:cs="Arial Unicode MS"/>
          <w:sz w:val="24"/>
          <w:szCs w:val="24"/>
        </w:rPr>
        <w:t>d</w:t>
      </w:r>
      <w:r>
        <w:rPr>
          <w:rFonts w:ascii="Bookman Old Style" w:eastAsia="Arial Unicode MS" w:hAnsi="Bookman Old Style" w:cs="Arial Unicode MS"/>
          <w:sz w:val="24"/>
          <w:szCs w:val="24"/>
        </w:rPr>
        <w:t xml:space="preserve"> that t</w:t>
      </w:r>
      <w:r w:rsidR="00CC3134">
        <w:rPr>
          <w:rFonts w:ascii="Bookman Old Style" w:eastAsia="Arial Unicode MS" w:hAnsi="Bookman Old Style" w:cs="Arial Unicode MS"/>
          <w:sz w:val="24"/>
          <w:szCs w:val="24"/>
        </w:rPr>
        <w:t>he 1</w:t>
      </w:r>
      <w:r w:rsidR="00CC3134" w:rsidRPr="00CC3134">
        <w:rPr>
          <w:rFonts w:ascii="Bookman Old Style" w:eastAsia="Arial Unicode MS" w:hAnsi="Bookman Old Style" w:cs="Arial Unicode MS"/>
          <w:sz w:val="24"/>
          <w:szCs w:val="24"/>
          <w:vertAlign w:val="superscript"/>
        </w:rPr>
        <w:t>st</w:t>
      </w:r>
      <w:r w:rsidR="00CC3134">
        <w:rPr>
          <w:rFonts w:ascii="Bookman Old Style" w:eastAsia="Arial Unicode MS" w:hAnsi="Bookman Old Style" w:cs="Arial Unicode MS"/>
          <w:sz w:val="24"/>
          <w:szCs w:val="24"/>
        </w:rPr>
        <w:t xml:space="preserve"> and 2</w:t>
      </w:r>
      <w:r w:rsidR="00CC3134" w:rsidRPr="00CC3134">
        <w:rPr>
          <w:rFonts w:ascii="Bookman Old Style" w:eastAsia="Arial Unicode MS" w:hAnsi="Bookman Old Style" w:cs="Arial Unicode MS"/>
          <w:sz w:val="24"/>
          <w:szCs w:val="24"/>
          <w:vertAlign w:val="superscript"/>
        </w:rPr>
        <w:t>nd</w:t>
      </w:r>
      <w:r w:rsidR="00CC3134">
        <w:rPr>
          <w:rFonts w:ascii="Bookman Old Style" w:eastAsia="Arial Unicode MS" w:hAnsi="Bookman Old Style" w:cs="Arial Unicode MS"/>
          <w:sz w:val="24"/>
          <w:szCs w:val="24"/>
        </w:rPr>
        <w:t xml:space="preserve"> defendants are </w:t>
      </w:r>
      <w:r>
        <w:rPr>
          <w:rFonts w:ascii="Bookman Old Style" w:eastAsia="Arial Unicode MS" w:hAnsi="Bookman Old Style" w:cs="Arial Unicode MS"/>
          <w:sz w:val="24"/>
          <w:szCs w:val="24"/>
        </w:rPr>
        <w:t xml:space="preserve">in the main </w:t>
      </w:r>
      <w:r w:rsidR="00CC3134">
        <w:rPr>
          <w:rFonts w:ascii="Bookman Old Style" w:eastAsia="Arial Unicode MS" w:hAnsi="Bookman Old Style" w:cs="Arial Unicode MS"/>
          <w:sz w:val="24"/>
          <w:szCs w:val="24"/>
        </w:rPr>
        <w:t>relying on the defences of justification, and fair comment. In so far as the first instalment of the statement is concerned</w:t>
      </w:r>
      <w:r>
        <w:rPr>
          <w:rFonts w:ascii="Bookman Old Style" w:eastAsia="Arial Unicode MS" w:hAnsi="Bookman Old Style" w:cs="Arial Unicode MS"/>
          <w:sz w:val="24"/>
          <w:szCs w:val="24"/>
        </w:rPr>
        <w:t>,</w:t>
      </w:r>
      <w:r w:rsidR="00CC3134">
        <w:rPr>
          <w:rFonts w:ascii="Bookman Old Style" w:eastAsia="Arial Unicode MS" w:hAnsi="Bookman Old Style" w:cs="Arial Unicode MS"/>
          <w:sz w:val="24"/>
          <w:szCs w:val="24"/>
        </w:rPr>
        <w:t xml:space="preserve"> the 1</w:t>
      </w:r>
      <w:r w:rsidR="00CC3134" w:rsidRPr="00CC3134">
        <w:rPr>
          <w:rFonts w:ascii="Bookman Old Style" w:eastAsia="Arial Unicode MS" w:hAnsi="Bookman Old Style" w:cs="Arial Unicode MS"/>
          <w:sz w:val="24"/>
          <w:szCs w:val="24"/>
          <w:vertAlign w:val="superscript"/>
        </w:rPr>
        <w:t>st</w:t>
      </w:r>
      <w:r w:rsidR="00CC3134">
        <w:rPr>
          <w:rFonts w:ascii="Bookman Old Style" w:eastAsia="Arial Unicode MS" w:hAnsi="Bookman Old Style" w:cs="Arial Unicode MS"/>
          <w:sz w:val="24"/>
          <w:szCs w:val="24"/>
        </w:rPr>
        <w:t xml:space="preserve"> and 2</w:t>
      </w:r>
      <w:r w:rsidR="00CC3134" w:rsidRPr="00CC3134">
        <w:rPr>
          <w:rFonts w:ascii="Bookman Old Style" w:eastAsia="Arial Unicode MS" w:hAnsi="Bookman Old Style" w:cs="Arial Unicode MS"/>
          <w:sz w:val="24"/>
          <w:szCs w:val="24"/>
          <w:vertAlign w:val="superscript"/>
        </w:rPr>
        <w:t>nd</w:t>
      </w:r>
      <w:r w:rsidR="00CC3134">
        <w:rPr>
          <w:rFonts w:ascii="Bookman Old Style" w:eastAsia="Arial Unicode MS" w:hAnsi="Bookman Old Style" w:cs="Arial Unicode MS"/>
          <w:sz w:val="24"/>
          <w:szCs w:val="24"/>
        </w:rPr>
        <w:t xml:space="preserve"> defendants have justified it on the following premises. That the plaintiff schemed the hounding of Mr. Anderson Mazo</w:t>
      </w:r>
      <w:r>
        <w:rPr>
          <w:rFonts w:ascii="Bookman Old Style" w:eastAsia="Arial Unicode MS" w:hAnsi="Bookman Old Style" w:cs="Arial Unicode MS"/>
          <w:sz w:val="24"/>
          <w:szCs w:val="24"/>
        </w:rPr>
        <w:t>ka (deceased); from MMD; t</w:t>
      </w:r>
      <w:r w:rsidR="00CC3134">
        <w:rPr>
          <w:rFonts w:ascii="Bookman Old Style" w:eastAsia="Arial Unicode MS" w:hAnsi="Bookman Old Style" w:cs="Arial Unicode MS"/>
          <w:sz w:val="24"/>
          <w:szCs w:val="24"/>
        </w:rPr>
        <w:t>hat</w:t>
      </w:r>
      <w:r>
        <w:rPr>
          <w:rFonts w:ascii="Bookman Old Style" w:eastAsia="Arial Unicode MS" w:hAnsi="Bookman Old Style" w:cs="Arial Unicode MS"/>
          <w:sz w:val="24"/>
          <w:szCs w:val="24"/>
        </w:rPr>
        <w:t xml:space="preserve"> during </w:t>
      </w:r>
      <w:r w:rsidR="00CC3134">
        <w:rPr>
          <w:rFonts w:ascii="Bookman Old Style" w:eastAsia="Arial Unicode MS" w:hAnsi="Bookman Old Style" w:cs="Arial Unicode MS"/>
          <w:sz w:val="24"/>
          <w:szCs w:val="24"/>
        </w:rPr>
        <w:t>the reign of the plaintiff as National Secreta</w:t>
      </w:r>
      <w:r w:rsidR="00CD10EA">
        <w:rPr>
          <w:rFonts w:ascii="Bookman Old Style" w:eastAsia="Arial Unicode MS" w:hAnsi="Bookman Old Style" w:cs="Arial Unicode MS"/>
          <w:sz w:val="24"/>
          <w:szCs w:val="24"/>
        </w:rPr>
        <w:t>ry of MMD, the party witnessed a</w:t>
      </w:r>
      <w:r w:rsidR="00CC3134">
        <w:rPr>
          <w:rFonts w:ascii="Bookman Old Style" w:eastAsia="Arial Unicode MS" w:hAnsi="Bookman Old Style" w:cs="Arial Unicode MS"/>
          <w:sz w:val="24"/>
          <w:szCs w:val="24"/>
        </w:rPr>
        <w:t>n unprecedent</w:t>
      </w:r>
      <w:r>
        <w:rPr>
          <w:rFonts w:ascii="Bookman Old Style" w:eastAsia="Arial Unicode MS" w:hAnsi="Bookman Old Style" w:cs="Arial Unicode MS"/>
          <w:sz w:val="24"/>
          <w:szCs w:val="24"/>
        </w:rPr>
        <w:t>ed number of expulsions of its Members of P</w:t>
      </w:r>
      <w:r w:rsidR="00CC3134">
        <w:rPr>
          <w:rFonts w:ascii="Bookman Old Style" w:eastAsia="Arial Unicode MS" w:hAnsi="Bookman Old Style" w:cs="Arial Unicode MS"/>
          <w:sz w:val="24"/>
          <w:szCs w:val="24"/>
        </w:rPr>
        <w:t xml:space="preserve">arliament in 2000; in 2002 the plaintiff was roughed up by members of UNIP because he had disturbed a rally </w:t>
      </w:r>
      <w:r>
        <w:rPr>
          <w:rFonts w:ascii="Bookman Old Style" w:eastAsia="Arial Unicode MS" w:hAnsi="Bookman Old Style" w:cs="Arial Unicode MS"/>
          <w:sz w:val="24"/>
          <w:szCs w:val="24"/>
        </w:rPr>
        <w:t xml:space="preserve">for </w:t>
      </w:r>
      <w:r w:rsidR="00CC3134">
        <w:rPr>
          <w:rFonts w:ascii="Bookman Old Style" w:eastAsia="Arial Unicode MS" w:hAnsi="Bookman Old Style" w:cs="Arial Unicode MS"/>
          <w:sz w:val="24"/>
          <w:szCs w:val="24"/>
        </w:rPr>
        <w:t>UNIP in Kabwata; and that the plaintiff’s underlying objective for the Patriotic Front to e</w:t>
      </w:r>
      <w:r>
        <w:rPr>
          <w:rFonts w:ascii="Bookman Old Style" w:eastAsia="Arial Unicode MS" w:hAnsi="Bookman Old Style" w:cs="Arial Unicode MS"/>
          <w:sz w:val="24"/>
          <w:szCs w:val="24"/>
        </w:rPr>
        <w:t>nter into a pact with the UPND</w:t>
      </w:r>
      <w:r w:rsidR="00DC5D8D">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wa</w:t>
      </w:r>
      <w:r w:rsidR="00CC3134">
        <w:rPr>
          <w:rFonts w:ascii="Bookman Old Style" w:eastAsia="Arial Unicode MS" w:hAnsi="Bookman Old Style" w:cs="Arial Unicode MS"/>
          <w:sz w:val="24"/>
          <w:szCs w:val="24"/>
        </w:rPr>
        <w:t xml:space="preserve">s for the plaintiff to ride on the popularity of the UPND in </w:t>
      </w:r>
      <w:r w:rsidR="007247CE">
        <w:rPr>
          <w:rFonts w:ascii="Bookman Old Style" w:eastAsia="Arial Unicode MS" w:hAnsi="Bookman Old Style" w:cs="Arial Unicode MS"/>
          <w:sz w:val="24"/>
          <w:szCs w:val="24"/>
        </w:rPr>
        <w:t xml:space="preserve">Southern Province so that the plaintiff can get to State House. </w:t>
      </w:r>
      <w:r w:rsidR="000E3918">
        <w:rPr>
          <w:rFonts w:ascii="Bookman Old Style" w:eastAsia="Arial Unicode MS" w:hAnsi="Bookman Old Style" w:cs="Arial Unicode MS"/>
          <w:sz w:val="24"/>
          <w:szCs w:val="24"/>
        </w:rPr>
        <w:t>The 1</w:t>
      </w:r>
      <w:r w:rsidR="000E3918" w:rsidRPr="000E3918">
        <w:rPr>
          <w:rFonts w:ascii="Bookman Old Style" w:eastAsia="Arial Unicode MS" w:hAnsi="Bookman Old Style" w:cs="Arial Unicode MS"/>
          <w:sz w:val="24"/>
          <w:szCs w:val="24"/>
          <w:vertAlign w:val="superscript"/>
        </w:rPr>
        <w:t>st</w:t>
      </w:r>
      <w:r w:rsidR="000E3918">
        <w:rPr>
          <w:rFonts w:ascii="Bookman Old Style" w:eastAsia="Arial Unicode MS" w:hAnsi="Bookman Old Style" w:cs="Arial Unicode MS"/>
          <w:sz w:val="24"/>
          <w:szCs w:val="24"/>
        </w:rPr>
        <w:t xml:space="preserve"> and 2</w:t>
      </w:r>
      <w:r w:rsidR="000E3918" w:rsidRPr="000E3918">
        <w:rPr>
          <w:rFonts w:ascii="Bookman Old Style" w:eastAsia="Arial Unicode MS" w:hAnsi="Bookman Old Style" w:cs="Arial Unicode MS"/>
          <w:sz w:val="24"/>
          <w:szCs w:val="24"/>
          <w:vertAlign w:val="superscript"/>
        </w:rPr>
        <w:t>nd</w:t>
      </w:r>
      <w:r w:rsidR="000E3918">
        <w:rPr>
          <w:rFonts w:ascii="Bookman Old Style" w:eastAsia="Arial Unicode MS" w:hAnsi="Bookman Old Style" w:cs="Arial Unicode MS"/>
          <w:sz w:val="24"/>
          <w:szCs w:val="24"/>
        </w:rPr>
        <w:t xml:space="preserve"> defendants have gone further to justify the statement complained of by stating that: the plaintiff and his Patriotic Front have exhibited intolerance in his party by expelling 22 Members of Parliament for participating in the National Constitutional Conference</w:t>
      </w:r>
      <w:r w:rsidR="001031D1">
        <w:rPr>
          <w:rFonts w:ascii="Bookman Old Style" w:eastAsia="Arial Unicode MS" w:hAnsi="Bookman Old Style" w:cs="Arial Unicode MS"/>
          <w:sz w:val="24"/>
          <w:szCs w:val="24"/>
        </w:rPr>
        <w:t xml:space="preserve"> (NCC)</w:t>
      </w:r>
      <w:r w:rsidR="000E3918">
        <w:rPr>
          <w:rFonts w:ascii="Bookman Old Style" w:eastAsia="Arial Unicode MS" w:hAnsi="Bookman Old Style" w:cs="Arial Unicode MS"/>
          <w:sz w:val="24"/>
          <w:szCs w:val="24"/>
        </w:rPr>
        <w:t>. And that the plaintiff has stood as presid</w:t>
      </w:r>
      <w:r w:rsidR="00CD10EA">
        <w:rPr>
          <w:rFonts w:ascii="Bookman Old Style" w:eastAsia="Arial Unicode MS" w:hAnsi="Bookman Old Style" w:cs="Arial Unicode MS"/>
          <w:sz w:val="24"/>
          <w:szCs w:val="24"/>
        </w:rPr>
        <w:t xml:space="preserve">ential candidate </w:t>
      </w:r>
      <w:r w:rsidR="000E3918">
        <w:rPr>
          <w:rFonts w:ascii="Bookman Old Style" w:eastAsia="Arial Unicode MS" w:hAnsi="Bookman Old Style" w:cs="Arial Unicode MS"/>
          <w:sz w:val="24"/>
          <w:szCs w:val="24"/>
        </w:rPr>
        <w:t>at three consecutive general elections</w:t>
      </w:r>
      <w:r w:rsidR="00CD10EA">
        <w:rPr>
          <w:rFonts w:ascii="Bookman Old Style" w:eastAsia="Arial Unicode MS" w:hAnsi="Bookman Old Style" w:cs="Arial Unicode MS"/>
          <w:sz w:val="24"/>
          <w:szCs w:val="24"/>
        </w:rPr>
        <w:t>,</w:t>
      </w:r>
      <w:r w:rsidR="000E3918">
        <w:rPr>
          <w:rFonts w:ascii="Bookman Old Style" w:eastAsia="Arial Unicode MS" w:hAnsi="Bookman Old Style" w:cs="Arial Unicode MS"/>
          <w:sz w:val="24"/>
          <w:szCs w:val="24"/>
        </w:rPr>
        <w:t xml:space="preserve"> without being voted as candidate of the Patriot</w:t>
      </w:r>
      <w:r w:rsidR="00CD10EA">
        <w:rPr>
          <w:rFonts w:ascii="Bookman Old Style" w:eastAsia="Arial Unicode MS" w:hAnsi="Bookman Old Style" w:cs="Arial Unicode MS"/>
          <w:sz w:val="24"/>
          <w:szCs w:val="24"/>
        </w:rPr>
        <w:t>ic</w:t>
      </w:r>
      <w:r w:rsidR="000E3918">
        <w:rPr>
          <w:rFonts w:ascii="Bookman Old Style" w:eastAsia="Arial Unicode MS" w:hAnsi="Bookman Old Style" w:cs="Arial Unicode MS"/>
          <w:sz w:val="24"/>
          <w:szCs w:val="24"/>
        </w:rPr>
        <w:t xml:space="preserve"> Front at a </w:t>
      </w:r>
      <w:r w:rsidR="00CD10EA">
        <w:rPr>
          <w:rFonts w:ascii="Bookman Old Style" w:eastAsia="Arial Unicode MS" w:hAnsi="Bookman Old Style" w:cs="Arial Unicode MS"/>
          <w:sz w:val="24"/>
          <w:szCs w:val="24"/>
        </w:rPr>
        <w:t>national C</w:t>
      </w:r>
      <w:r w:rsidR="001031D1">
        <w:rPr>
          <w:rFonts w:ascii="Bookman Old Style" w:eastAsia="Arial Unicode MS" w:hAnsi="Bookman Old Style" w:cs="Arial Unicode MS"/>
          <w:sz w:val="24"/>
          <w:szCs w:val="24"/>
        </w:rPr>
        <w:t xml:space="preserve">onvention </w:t>
      </w:r>
      <w:r w:rsidR="00CD10EA">
        <w:rPr>
          <w:rFonts w:ascii="Bookman Old Style" w:eastAsia="Arial Unicode MS" w:hAnsi="Bookman Old Style" w:cs="Arial Unicode MS"/>
          <w:sz w:val="24"/>
          <w:szCs w:val="24"/>
        </w:rPr>
        <w:t>or C</w:t>
      </w:r>
      <w:r w:rsidR="000E3918">
        <w:rPr>
          <w:rFonts w:ascii="Bookman Old Style" w:eastAsia="Arial Unicode MS" w:hAnsi="Bookman Old Style" w:cs="Arial Unicode MS"/>
          <w:sz w:val="24"/>
          <w:szCs w:val="24"/>
        </w:rPr>
        <w:t>ongress</w:t>
      </w:r>
      <w:r w:rsidR="00CA47AC">
        <w:rPr>
          <w:rFonts w:ascii="Bookman Old Style" w:eastAsia="Arial Unicode MS" w:hAnsi="Bookman Old Style" w:cs="Arial Unicode MS"/>
          <w:sz w:val="24"/>
          <w:szCs w:val="24"/>
        </w:rPr>
        <w:t xml:space="preserve">. </w:t>
      </w:r>
    </w:p>
    <w:p w:rsidR="001031D1" w:rsidRDefault="001031D1" w:rsidP="0008482F">
      <w:pPr>
        <w:spacing w:before="240" w:line="360" w:lineRule="auto"/>
        <w:jc w:val="both"/>
        <w:rPr>
          <w:rFonts w:ascii="Bookman Old Style" w:eastAsia="Arial Unicode MS" w:hAnsi="Bookman Old Style" w:cs="Arial Unicode MS"/>
          <w:sz w:val="24"/>
          <w:szCs w:val="24"/>
        </w:rPr>
      </w:pPr>
    </w:p>
    <w:p w:rsidR="00C814C5" w:rsidRDefault="00CA47AC"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Further, it is instructive to notice that on 17</w:t>
      </w:r>
      <w:r w:rsidRPr="00CA47AC">
        <w:rPr>
          <w:rFonts w:ascii="Bookman Old Style" w:eastAsia="Arial Unicode MS" w:hAnsi="Bookman Old Style" w:cs="Arial Unicode MS"/>
          <w:sz w:val="24"/>
          <w:szCs w:val="24"/>
          <w:vertAlign w:val="superscript"/>
        </w:rPr>
        <w:t>th</w:t>
      </w:r>
      <w:r>
        <w:rPr>
          <w:rFonts w:ascii="Bookman Old Style" w:eastAsia="Arial Unicode MS" w:hAnsi="Bookman Old Style" w:cs="Arial Unicode MS"/>
          <w:sz w:val="24"/>
          <w:szCs w:val="24"/>
        </w:rPr>
        <w:t xml:space="preserve"> January, 2011, the 1</w:t>
      </w:r>
      <w:r w:rsidRPr="00CA47AC">
        <w:rPr>
          <w:rFonts w:ascii="Bookman Old Style" w:eastAsia="Arial Unicode MS" w:hAnsi="Bookman Old Style" w:cs="Arial Unicode MS"/>
          <w:sz w:val="24"/>
          <w:szCs w:val="24"/>
          <w:vertAlign w:val="superscript"/>
        </w:rPr>
        <w:t>st</w:t>
      </w:r>
      <w:r>
        <w:rPr>
          <w:rFonts w:ascii="Bookman Old Style" w:eastAsia="Arial Unicode MS" w:hAnsi="Bookman Old Style" w:cs="Arial Unicode MS"/>
          <w:sz w:val="24"/>
          <w:szCs w:val="24"/>
        </w:rPr>
        <w:t xml:space="preserve"> defendant filed a further affidavit in opposition in which two copies of the letters dated 22</w:t>
      </w:r>
      <w:r w:rsidRPr="00CA47AC">
        <w:rPr>
          <w:rFonts w:ascii="Bookman Old Style" w:eastAsia="Arial Unicode MS" w:hAnsi="Bookman Old Style" w:cs="Arial Unicode MS"/>
          <w:sz w:val="24"/>
          <w:szCs w:val="24"/>
          <w:vertAlign w:val="superscript"/>
        </w:rPr>
        <w:t>nd</w:t>
      </w:r>
      <w:r>
        <w:rPr>
          <w:rFonts w:ascii="Bookman Old Style" w:eastAsia="Arial Unicode MS" w:hAnsi="Bookman Old Style" w:cs="Arial Unicode MS"/>
          <w:sz w:val="24"/>
          <w:szCs w:val="24"/>
        </w:rPr>
        <w:t xml:space="preserve"> June, 2000, and 1</w:t>
      </w:r>
      <w:r w:rsidRPr="00CA47AC">
        <w:rPr>
          <w:rFonts w:ascii="Bookman Old Style" w:eastAsia="Arial Unicode MS" w:hAnsi="Bookman Old Style" w:cs="Arial Unicode MS"/>
          <w:sz w:val="24"/>
          <w:szCs w:val="24"/>
          <w:vertAlign w:val="superscript"/>
        </w:rPr>
        <w:t>st</w:t>
      </w:r>
      <w:r w:rsidR="00761B9E">
        <w:rPr>
          <w:rFonts w:ascii="Bookman Old Style" w:eastAsia="Arial Unicode MS" w:hAnsi="Bookman Old Style" w:cs="Arial Unicode MS"/>
          <w:sz w:val="24"/>
          <w:szCs w:val="24"/>
        </w:rPr>
        <w:t xml:space="preserve"> August, 1997, we</w:t>
      </w:r>
      <w:r>
        <w:rPr>
          <w:rFonts w:ascii="Bookman Old Style" w:eastAsia="Arial Unicode MS" w:hAnsi="Bookman Old Style" w:cs="Arial Unicode MS"/>
          <w:sz w:val="24"/>
          <w:szCs w:val="24"/>
        </w:rPr>
        <w:t>re produced. These two letters are marked “CC5,” and “CC6” respectively. “CC 5” is a letter addressed to Mr. B.Y. Mwila</w:t>
      </w:r>
      <w:r w:rsidR="00761B9E">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then Member of Parliament for MMD, inviting him to exculpate himself for</w:t>
      </w:r>
      <w:r w:rsidR="001031D1">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first, announcing </w:t>
      </w:r>
      <w:r w:rsidR="00FC07AD">
        <w:rPr>
          <w:rFonts w:ascii="Bookman Old Style" w:eastAsia="Arial Unicode MS" w:hAnsi="Bookman Old Style" w:cs="Arial Unicode MS"/>
          <w:sz w:val="24"/>
          <w:szCs w:val="24"/>
        </w:rPr>
        <w:t>his presidential candidature for MMD on Friday, 26</w:t>
      </w:r>
      <w:r w:rsidR="00FC07AD" w:rsidRPr="00FC07AD">
        <w:rPr>
          <w:rFonts w:ascii="Bookman Old Style" w:eastAsia="Arial Unicode MS" w:hAnsi="Bookman Old Style" w:cs="Arial Unicode MS"/>
          <w:sz w:val="24"/>
          <w:szCs w:val="24"/>
          <w:vertAlign w:val="superscript"/>
        </w:rPr>
        <w:t>th</w:t>
      </w:r>
      <w:r w:rsidR="00FC07AD">
        <w:rPr>
          <w:rFonts w:ascii="Bookman Old Style" w:eastAsia="Arial Unicode MS" w:hAnsi="Bookman Old Style" w:cs="Arial Unicode MS"/>
          <w:sz w:val="24"/>
          <w:szCs w:val="24"/>
        </w:rPr>
        <w:t xml:space="preserve"> </w:t>
      </w:r>
      <w:r w:rsidR="00FC07AD">
        <w:rPr>
          <w:rFonts w:ascii="Bookman Old Style" w:eastAsia="Arial Unicode MS" w:hAnsi="Bookman Old Style" w:cs="Arial Unicode MS"/>
          <w:sz w:val="24"/>
          <w:szCs w:val="24"/>
        </w:rPr>
        <w:lastRenderedPageBreak/>
        <w:t>May, 2000. And second</w:t>
      </w:r>
      <w:r w:rsidR="00761B9E">
        <w:rPr>
          <w:rFonts w:ascii="Bookman Old Style" w:eastAsia="Arial Unicode MS" w:hAnsi="Bookman Old Style" w:cs="Arial Unicode MS"/>
          <w:sz w:val="24"/>
          <w:szCs w:val="24"/>
        </w:rPr>
        <w:t>,</w:t>
      </w:r>
      <w:r w:rsidR="00FC07AD">
        <w:rPr>
          <w:rFonts w:ascii="Bookman Old Style" w:eastAsia="Arial Unicode MS" w:hAnsi="Bookman Old Style" w:cs="Arial Unicode MS"/>
          <w:sz w:val="24"/>
          <w:szCs w:val="24"/>
        </w:rPr>
        <w:t xml:space="preserve"> for calling for </w:t>
      </w:r>
      <w:r w:rsidR="00AA1D1E">
        <w:rPr>
          <w:rFonts w:ascii="Bookman Old Style" w:eastAsia="Arial Unicode MS" w:hAnsi="Bookman Old Style" w:cs="Arial Unicode MS"/>
          <w:sz w:val="24"/>
          <w:szCs w:val="24"/>
        </w:rPr>
        <w:t>the expulsion of the incumbent P</w:t>
      </w:r>
      <w:r w:rsidR="00FC07AD">
        <w:rPr>
          <w:rFonts w:ascii="Bookman Old Style" w:eastAsia="Arial Unicode MS" w:hAnsi="Bookman Old Style" w:cs="Arial Unicode MS"/>
          <w:sz w:val="24"/>
          <w:szCs w:val="24"/>
        </w:rPr>
        <w:t>resident</w:t>
      </w:r>
      <w:r w:rsidR="00AA1D1E">
        <w:rPr>
          <w:rFonts w:ascii="Bookman Old Style" w:eastAsia="Arial Unicode MS" w:hAnsi="Bookman Old Style" w:cs="Arial Unicode MS"/>
          <w:sz w:val="24"/>
          <w:szCs w:val="24"/>
        </w:rPr>
        <w:t>,</w:t>
      </w:r>
      <w:r w:rsidR="00FC07AD">
        <w:rPr>
          <w:rFonts w:ascii="Bookman Old Style" w:eastAsia="Arial Unicode MS" w:hAnsi="Bookman Old Style" w:cs="Arial Unicode MS"/>
          <w:sz w:val="24"/>
          <w:szCs w:val="24"/>
        </w:rPr>
        <w:t xml:space="preserve"> </w:t>
      </w:r>
      <w:r w:rsidR="00824A1C">
        <w:rPr>
          <w:rFonts w:ascii="Bookman Old Style" w:eastAsia="Arial Unicode MS" w:hAnsi="Bookman Old Style" w:cs="Arial Unicode MS"/>
          <w:sz w:val="24"/>
          <w:szCs w:val="24"/>
        </w:rPr>
        <w:t xml:space="preserve">Mr. Chiluba (deceased) in the </w:t>
      </w:r>
      <w:r w:rsidR="00824A1C" w:rsidRPr="001031D1">
        <w:rPr>
          <w:rFonts w:ascii="Bookman Old Style" w:eastAsia="Arial Unicode MS" w:hAnsi="Bookman Old Style" w:cs="Arial Unicode MS"/>
          <w:i/>
          <w:sz w:val="24"/>
          <w:szCs w:val="24"/>
        </w:rPr>
        <w:t>Post</w:t>
      </w:r>
      <w:r w:rsidR="00824A1C">
        <w:rPr>
          <w:rFonts w:ascii="Bookman Old Style" w:eastAsia="Arial Unicode MS" w:hAnsi="Bookman Old Style" w:cs="Arial Unicode MS"/>
          <w:sz w:val="24"/>
          <w:szCs w:val="24"/>
        </w:rPr>
        <w:t xml:space="preserve"> </w:t>
      </w:r>
      <w:r w:rsidR="00824A1C" w:rsidRPr="001031D1">
        <w:rPr>
          <w:rFonts w:ascii="Bookman Old Style" w:eastAsia="Arial Unicode MS" w:hAnsi="Bookman Old Style" w:cs="Arial Unicode MS"/>
          <w:i/>
          <w:sz w:val="24"/>
          <w:szCs w:val="24"/>
        </w:rPr>
        <w:t>Newspaper</w:t>
      </w:r>
      <w:r w:rsidR="00824A1C">
        <w:rPr>
          <w:rFonts w:ascii="Bookman Old Style" w:eastAsia="Arial Unicode MS" w:hAnsi="Bookman Old Style" w:cs="Arial Unicode MS"/>
          <w:sz w:val="24"/>
          <w:szCs w:val="24"/>
        </w:rPr>
        <w:t xml:space="preserve"> </w:t>
      </w:r>
      <w:r w:rsidR="001031D1">
        <w:rPr>
          <w:rFonts w:ascii="Bookman Old Style" w:eastAsia="Arial Unicode MS" w:hAnsi="Bookman Old Style" w:cs="Arial Unicode MS"/>
          <w:sz w:val="24"/>
          <w:szCs w:val="24"/>
        </w:rPr>
        <w:t>Edition</w:t>
      </w:r>
      <w:r w:rsidR="00824A1C">
        <w:rPr>
          <w:rFonts w:ascii="Bookman Old Style" w:eastAsia="Arial Unicode MS" w:hAnsi="Bookman Old Style" w:cs="Arial Unicode MS"/>
          <w:sz w:val="24"/>
          <w:szCs w:val="24"/>
        </w:rPr>
        <w:t xml:space="preserve"> number 1149</w:t>
      </w:r>
      <w:r w:rsidR="00761B9E">
        <w:rPr>
          <w:rFonts w:ascii="Bookman Old Style" w:eastAsia="Arial Unicode MS" w:hAnsi="Bookman Old Style" w:cs="Arial Unicode MS"/>
          <w:sz w:val="24"/>
          <w:szCs w:val="24"/>
        </w:rPr>
        <w:t>,</w:t>
      </w:r>
      <w:r w:rsidR="00824A1C">
        <w:rPr>
          <w:rFonts w:ascii="Bookman Old Style" w:eastAsia="Arial Unicode MS" w:hAnsi="Bookman Old Style" w:cs="Arial Unicode MS"/>
          <w:sz w:val="24"/>
          <w:szCs w:val="24"/>
        </w:rPr>
        <w:t xml:space="preserve"> of Monday 27</w:t>
      </w:r>
      <w:r w:rsidR="00824A1C" w:rsidRPr="00824A1C">
        <w:rPr>
          <w:rFonts w:ascii="Bookman Old Style" w:eastAsia="Arial Unicode MS" w:hAnsi="Bookman Old Style" w:cs="Arial Unicode MS"/>
          <w:sz w:val="24"/>
          <w:szCs w:val="24"/>
          <w:vertAlign w:val="superscript"/>
        </w:rPr>
        <w:t>th</w:t>
      </w:r>
      <w:r w:rsidR="00824A1C">
        <w:rPr>
          <w:rFonts w:ascii="Bookman Old Style" w:eastAsia="Arial Unicode MS" w:hAnsi="Bookman Old Style" w:cs="Arial Unicode MS"/>
          <w:sz w:val="24"/>
          <w:szCs w:val="24"/>
        </w:rPr>
        <w:t xml:space="preserve"> March, </w:t>
      </w:r>
      <w:r w:rsidR="001031D1">
        <w:rPr>
          <w:rFonts w:ascii="Bookman Old Style" w:eastAsia="Arial Unicode MS" w:hAnsi="Bookman Old Style" w:cs="Arial Unicode MS"/>
          <w:sz w:val="24"/>
          <w:szCs w:val="24"/>
        </w:rPr>
        <w:t>2000. Lastly, for generally mal</w:t>
      </w:r>
      <w:r w:rsidR="00824A1C">
        <w:rPr>
          <w:rFonts w:ascii="Bookman Old Style" w:eastAsia="Arial Unicode MS" w:hAnsi="Bookman Old Style" w:cs="Arial Unicode MS"/>
          <w:sz w:val="24"/>
          <w:szCs w:val="24"/>
        </w:rPr>
        <w:t>administering the party cards.</w:t>
      </w:r>
      <w:r w:rsidR="00E06DB5">
        <w:rPr>
          <w:rFonts w:ascii="Bookman Old Style" w:eastAsia="Arial Unicode MS" w:hAnsi="Bookman Old Style" w:cs="Arial Unicode MS"/>
          <w:sz w:val="24"/>
          <w:szCs w:val="24"/>
        </w:rPr>
        <w:t xml:space="preserve"> </w:t>
      </w:r>
      <w:r w:rsidR="0051168B">
        <w:rPr>
          <w:rFonts w:ascii="Bookman Old Style" w:eastAsia="Arial Unicode MS" w:hAnsi="Bookman Old Style" w:cs="Arial Unicode MS"/>
          <w:sz w:val="24"/>
          <w:szCs w:val="24"/>
        </w:rPr>
        <w:t>Exhibit “CC6” is a letter written by the plaintiff, and was addressed to the erstwhile President Chiluba, stating the investigations, and findings the plaintiff had made about Mr. Anderson Mazoka (deceased). The letter also urged Mr. Chiluba to take certain measures in relation to Mr. Anderson Mazoka (deceased).</w:t>
      </w:r>
    </w:p>
    <w:p w:rsidR="00C814C5" w:rsidRDefault="00C814C5" w:rsidP="0008482F">
      <w:pPr>
        <w:spacing w:before="240" w:line="360" w:lineRule="auto"/>
        <w:jc w:val="both"/>
        <w:rPr>
          <w:rFonts w:ascii="Bookman Old Style" w:eastAsia="Arial Unicode MS" w:hAnsi="Bookman Old Style" w:cs="Arial Unicode MS"/>
          <w:sz w:val="24"/>
          <w:szCs w:val="24"/>
        </w:rPr>
      </w:pPr>
    </w:p>
    <w:p w:rsidR="00761B9E" w:rsidRDefault="00C814C5"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Mr. Mutale, SC, submitted </w:t>
      </w:r>
      <w:r w:rsidR="00E06DB5">
        <w:rPr>
          <w:rFonts w:ascii="Bookman Old Style" w:eastAsia="Arial Unicode MS" w:hAnsi="Bookman Old Style" w:cs="Arial Unicode MS"/>
          <w:sz w:val="24"/>
          <w:szCs w:val="24"/>
        </w:rPr>
        <w:t>t</w:t>
      </w:r>
      <w:r>
        <w:rPr>
          <w:rFonts w:ascii="Bookman Old Style" w:eastAsia="Arial Unicode MS" w:hAnsi="Bookman Old Style" w:cs="Arial Unicode MS"/>
          <w:sz w:val="24"/>
          <w:szCs w:val="24"/>
        </w:rPr>
        <w:t>hat</w:t>
      </w:r>
      <w:r w:rsidR="00E06DB5">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first</w:t>
      </w:r>
      <w:r w:rsidR="00E06DB5">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the 1</w:t>
      </w:r>
      <w:r w:rsidRPr="00C814C5">
        <w:rPr>
          <w:rFonts w:ascii="Bookman Old Style" w:eastAsia="Arial Unicode MS" w:hAnsi="Bookman Old Style" w:cs="Arial Unicode MS"/>
          <w:sz w:val="24"/>
          <w:szCs w:val="24"/>
          <w:vertAlign w:val="superscript"/>
        </w:rPr>
        <w:t>st</w:t>
      </w:r>
      <w:r>
        <w:rPr>
          <w:rFonts w:ascii="Bookman Old Style" w:eastAsia="Arial Unicode MS" w:hAnsi="Bookman Old Style" w:cs="Arial Unicode MS"/>
          <w:sz w:val="24"/>
          <w:szCs w:val="24"/>
        </w:rPr>
        <w:t xml:space="preserve"> defendant has exhibited the letters signed by the plaintiff in his former capacity as Na</w:t>
      </w:r>
      <w:r w:rsidR="00E06DB5">
        <w:rPr>
          <w:rFonts w:ascii="Bookman Old Style" w:eastAsia="Arial Unicode MS" w:hAnsi="Bookman Old Style" w:cs="Arial Unicode MS"/>
          <w:sz w:val="24"/>
          <w:szCs w:val="24"/>
        </w:rPr>
        <w:t>tional Secretary of the MMD. Yet</w:t>
      </w:r>
      <w:r>
        <w:rPr>
          <w:rFonts w:ascii="Bookman Old Style" w:eastAsia="Arial Unicode MS" w:hAnsi="Bookman Old Style" w:cs="Arial Unicode MS"/>
          <w:sz w:val="24"/>
          <w:szCs w:val="24"/>
        </w:rPr>
        <w:t xml:space="preserve"> </w:t>
      </w:r>
      <w:r w:rsidR="00761B9E">
        <w:rPr>
          <w:rFonts w:ascii="Bookman Old Style" w:eastAsia="Arial Unicode MS" w:hAnsi="Bookman Old Style" w:cs="Arial Unicode MS"/>
          <w:sz w:val="24"/>
          <w:szCs w:val="24"/>
        </w:rPr>
        <w:t>the 1</w:t>
      </w:r>
      <w:r w:rsidR="00761B9E" w:rsidRPr="00761B9E">
        <w:rPr>
          <w:rFonts w:ascii="Bookman Old Style" w:eastAsia="Arial Unicode MS" w:hAnsi="Bookman Old Style" w:cs="Arial Unicode MS"/>
          <w:sz w:val="24"/>
          <w:szCs w:val="24"/>
          <w:vertAlign w:val="superscript"/>
        </w:rPr>
        <w:t>st</w:t>
      </w:r>
      <w:r w:rsidR="00761B9E">
        <w:rPr>
          <w:rFonts w:ascii="Bookman Old Style" w:eastAsia="Arial Unicode MS" w:hAnsi="Bookman Old Style" w:cs="Arial Unicode MS"/>
          <w:sz w:val="24"/>
          <w:szCs w:val="24"/>
        </w:rPr>
        <w:t xml:space="preserve"> defendant </w:t>
      </w:r>
      <w:r>
        <w:rPr>
          <w:rFonts w:ascii="Bookman Old Style" w:eastAsia="Arial Unicode MS" w:hAnsi="Bookman Old Style" w:cs="Arial Unicode MS"/>
          <w:sz w:val="24"/>
          <w:szCs w:val="24"/>
        </w:rPr>
        <w:t>has not adduced any evidence of any scheme(s) as asserted in the publication complained of. Second</w:t>
      </w:r>
      <w:r w:rsidR="00E06DB5">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he argued that exhibits “CC5,”</w:t>
      </w:r>
      <w:r w:rsidR="00824A1C">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and “CC6” c</w:t>
      </w:r>
      <w:r w:rsidR="00624A34">
        <w:rPr>
          <w:rFonts w:ascii="Bookman Old Style" w:eastAsia="Arial Unicode MS" w:hAnsi="Bookman Old Style" w:cs="Arial Unicode MS"/>
          <w:sz w:val="24"/>
          <w:szCs w:val="24"/>
        </w:rPr>
        <w:t>onfirms the fact</w:t>
      </w:r>
      <w:r w:rsidR="000673B2">
        <w:rPr>
          <w:rFonts w:ascii="Bookman Old Style" w:eastAsia="Arial Unicode MS" w:hAnsi="Bookman Old Style" w:cs="Arial Unicode MS"/>
          <w:sz w:val="24"/>
          <w:szCs w:val="24"/>
        </w:rPr>
        <w:t xml:space="preserve"> that the defendant wrote the letters in question in his </w:t>
      </w:r>
      <w:r w:rsidR="00E06DB5">
        <w:rPr>
          <w:rFonts w:ascii="Bookman Old Style" w:eastAsia="Arial Unicode MS" w:hAnsi="Bookman Old Style" w:cs="Arial Unicode MS"/>
          <w:sz w:val="24"/>
          <w:szCs w:val="24"/>
        </w:rPr>
        <w:t xml:space="preserve">erstwhile </w:t>
      </w:r>
      <w:r w:rsidR="000673B2">
        <w:rPr>
          <w:rFonts w:ascii="Bookman Old Style" w:eastAsia="Arial Unicode MS" w:hAnsi="Bookman Old Style" w:cs="Arial Unicode MS"/>
          <w:sz w:val="24"/>
          <w:szCs w:val="24"/>
        </w:rPr>
        <w:t>capacity as Natio</w:t>
      </w:r>
      <w:r w:rsidR="00E06DB5">
        <w:rPr>
          <w:rFonts w:ascii="Bookman Old Style" w:eastAsia="Arial Unicode MS" w:hAnsi="Bookman Old Style" w:cs="Arial Unicode MS"/>
          <w:sz w:val="24"/>
          <w:szCs w:val="24"/>
        </w:rPr>
        <w:t>nal Secretary for the MMD. Thus</w:t>
      </w:r>
      <w:r w:rsidR="000673B2">
        <w:rPr>
          <w:rFonts w:ascii="Bookman Old Style" w:eastAsia="Arial Unicode MS" w:hAnsi="Bookman Old Style" w:cs="Arial Unicode MS"/>
          <w:sz w:val="24"/>
          <w:szCs w:val="24"/>
        </w:rPr>
        <w:t xml:space="preserve"> the letters were not written in a personal capacity. Third, he argued that the exhibits which are now more than 19 years old</w:t>
      </w:r>
      <w:r w:rsidR="00E06DB5">
        <w:rPr>
          <w:rFonts w:ascii="Bookman Old Style" w:eastAsia="Arial Unicode MS" w:hAnsi="Bookman Old Style" w:cs="Arial Unicode MS"/>
          <w:sz w:val="24"/>
          <w:szCs w:val="24"/>
        </w:rPr>
        <w:t>,</w:t>
      </w:r>
      <w:r w:rsidR="000673B2">
        <w:rPr>
          <w:rFonts w:ascii="Bookman Old Style" w:eastAsia="Arial Unicode MS" w:hAnsi="Bookman Old Style" w:cs="Arial Unicode MS"/>
          <w:sz w:val="24"/>
          <w:szCs w:val="24"/>
        </w:rPr>
        <w:t xml:space="preserve"> cannot be used as a criterion for determining the plaintiff’s character, and his suitability to ascend to the presidency in the 2011 presidential elections. Lastly, he argued that th</w:t>
      </w:r>
      <w:r w:rsidR="00E06DB5">
        <w:rPr>
          <w:rFonts w:ascii="Bookman Old Style" w:eastAsia="Arial Unicode MS" w:hAnsi="Bookman Old Style" w:cs="Arial Unicode MS"/>
          <w:sz w:val="24"/>
          <w:szCs w:val="24"/>
        </w:rPr>
        <w:t>e status of the plaintiff changed</w:t>
      </w:r>
      <w:r w:rsidR="000673B2">
        <w:rPr>
          <w:rFonts w:ascii="Bookman Old Style" w:eastAsia="Arial Unicode MS" w:hAnsi="Bookman Old Style" w:cs="Arial Unicode MS"/>
          <w:sz w:val="24"/>
          <w:szCs w:val="24"/>
        </w:rPr>
        <w:t xml:space="preserve"> in 2000, when he formed the Patriotic Front</w:t>
      </w:r>
      <w:r w:rsidR="00E06DB5">
        <w:rPr>
          <w:rFonts w:ascii="Bookman Old Style" w:eastAsia="Arial Unicode MS" w:hAnsi="Bookman Old Style" w:cs="Arial Unicode MS"/>
          <w:sz w:val="24"/>
          <w:szCs w:val="24"/>
        </w:rPr>
        <w:t>, and became its P</w:t>
      </w:r>
      <w:r w:rsidR="000673B2">
        <w:rPr>
          <w:rFonts w:ascii="Bookman Old Style" w:eastAsia="Arial Unicode MS" w:hAnsi="Bookman Old Style" w:cs="Arial Unicode MS"/>
          <w:sz w:val="24"/>
          <w:szCs w:val="24"/>
        </w:rPr>
        <w:t>resident.</w:t>
      </w:r>
      <w:r w:rsidR="00AD1B54">
        <w:rPr>
          <w:rFonts w:ascii="Bookman Old Style" w:eastAsia="Arial Unicode MS" w:hAnsi="Bookman Old Style" w:cs="Arial Unicode MS"/>
          <w:sz w:val="24"/>
          <w:szCs w:val="24"/>
        </w:rPr>
        <w:t xml:space="preserve"> Professor Mvunga</w:t>
      </w:r>
      <w:r w:rsidR="00E06DB5">
        <w:rPr>
          <w:rFonts w:ascii="Bookman Old Style" w:eastAsia="Arial Unicode MS" w:hAnsi="Bookman Old Style" w:cs="Arial Unicode MS"/>
          <w:sz w:val="24"/>
          <w:szCs w:val="24"/>
        </w:rPr>
        <w:t>, SC, and Mr. Nkonde, SC,</w:t>
      </w:r>
      <w:r w:rsidR="00AD1B54">
        <w:rPr>
          <w:rFonts w:ascii="Bookman Old Style" w:eastAsia="Arial Unicode MS" w:hAnsi="Bookman Old Style" w:cs="Arial Unicode MS"/>
          <w:sz w:val="24"/>
          <w:szCs w:val="24"/>
        </w:rPr>
        <w:t xml:space="preserve"> </w:t>
      </w:r>
      <w:r w:rsidR="00DC5D8D">
        <w:rPr>
          <w:rFonts w:ascii="Bookman Old Style" w:eastAsia="Arial Unicode MS" w:hAnsi="Bookman Old Style" w:cs="Arial Unicode MS"/>
          <w:sz w:val="24"/>
          <w:szCs w:val="24"/>
        </w:rPr>
        <w:t xml:space="preserve">in their submissions </w:t>
      </w:r>
      <w:r w:rsidR="00AD1B54">
        <w:rPr>
          <w:rFonts w:ascii="Bookman Old Style" w:eastAsia="Arial Unicode MS" w:hAnsi="Bookman Old Style" w:cs="Arial Unicode MS"/>
          <w:sz w:val="24"/>
          <w:szCs w:val="24"/>
        </w:rPr>
        <w:t xml:space="preserve">did not </w:t>
      </w:r>
      <w:r w:rsidR="00E06DB5">
        <w:rPr>
          <w:rFonts w:ascii="Bookman Old Style" w:eastAsia="Arial Unicode MS" w:hAnsi="Bookman Old Style" w:cs="Arial Unicode MS"/>
          <w:sz w:val="24"/>
          <w:szCs w:val="24"/>
        </w:rPr>
        <w:t xml:space="preserve">address </w:t>
      </w:r>
      <w:r w:rsidR="00AA1D1E">
        <w:rPr>
          <w:rFonts w:ascii="Bookman Old Style" w:eastAsia="Arial Unicode MS" w:hAnsi="Bookman Old Style" w:cs="Arial Unicode MS"/>
          <w:sz w:val="24"/>
          <w:szCs w:val="24"/>
        </w:rPr>
        <w:t xml:space="preserve">these </w:t>
      </w:r>
      <w:r w:rsidR="00AD1B54">
        <w:rPr>
          <w:rFonts w:ascii="Bookman Old Style" w:eastAsia="Arial Unicode MS" w:hAnsi="Bookman Old Style" w:cs="Arial Unicode MS"/>
          <w:sz w:val="24"/>
          <w:szCs w:val="24"/>
        </w:rPr>
        <w:t xml:space="preserve">allegations. </w:t>
      </w:r>
    </w:p>
    <w:p w:rsidR="00761B9E" w:rsidRDefault="00761B9E" w:rsidP="0008482F">
      <w:pPr>
        <w:spacing w:before="240" w:line="360" w:lineRule="auto"/>
        <w:jc w:val="both"/>
        <w:rPr>
          <w:rFonts w:ascii="Bookman Old Style" w:eastAsia="Arial Unicode MS" w:hAnsi="Bookman Old Style" w:cs="Arial Unicode MS"/>
          <w:sz w:val="24"/>
          <w:szCs w:val="24"/>
        </w:rPr>
      </w:pPr>
    </w:p>
    <w:p w:rsidR="00244912" w:rsidRDefault="00AD1B54"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question that I am required to resolve in relation to the first instalment of the sta</w:t>
      </w:r>
      <w:r w:rsidR="00E06DB5">
        <w:rPr>
          <w:rFonts w:ascii="Bookman Old Style" w:eastAsia="Arial Unicode MS" w:hAnsi="Bookman Old Style" w:cs="Arial Unicode MS"/>
          <w:sz w:val="24"/>
          <w:szCs w:val="24"/>
        </w:rPr>
        <w:t>te</w:t>
      </w:r>
      <w:r>
        <w:rPr>
          <w:rFonts w:ascii="Bookman Old Style" w:eastAsia="Arial Unicode MS" w:hAnsi="Bookman Old Style" w:cs="Arial Unicode MS"/>
          <w:sz w:val="24"/>
          <w:szCs w:val="24"/>
        </w:rPr>
        <w:t>men</w:t>
      </w:r>
      <w:r w:rsidR="00E06DB5">
        <w:rPr>
          <w:rFonts w:ascii="Bookman Old Style" w:eastAsia="Arial Unicode MS" w:hAnsi="Bookman Old Style" w:cs="Arial Unicode MS"/>
          <w:sz w:val="24"/>
          <w:szCs w:val="24"/>
        </w:rPr>
        <w:t>t</w:t>
      </w:r>
      <w:r>
        <w:rPr>
          <w:rFonts w:ascii="Bookman Old Style" w:eastAsia="Arial Unicode MS" w:hAnsi="Bookman Old Style" w:cs="Arial Unicode MS"/>
          <w:sz w:val="24"/>
          <w:szCs w:val="24"/>
        </w:rPr>
        <w:t xml:space="preserve"> is whether or not it is defam</w:t>
      </w:r>
      <w:r w:rsidR="00AA1D1E">
        <w:rPr>
          <w:rFonts w:ascii="Bookman Old Style" w:eastAsia="Arial Unicode MS" w:hAnsi="Bookman Old Style" w:cs="Arial Unicode MS"/>
          <w:sz w:val="24"/>
          <w:szCs w:val="24"/>
        </w:rPr>
        <w:t>atory. To recapitulate</w:t>
      </w:r>
      <w:r w:rsidR="00C2510B">
        <w:rPr>
          <w:rFonts w:ascii="Bookman Old Style" w:eastAsia="Arial Unicode MS" w:hAnsi="Bookman Old Style" w:cs="Arial Unicode MS"/>
          <w:sz w:val="24"/>
          <w:szCs w:val="24"/>
        </w:rPr>
        <w:t>,</w:t>
      </w:r>
      <w:r w:rsidR="00AA1D1E">
        <w:rPr>
          <w:rFonts w:ascii="Bookman Old Style" w:eastAsia="Arial Unicode MS" w:hAnsi="Bookman Old Style" w:cs="Arial Unicode MS"/>
          <w:sz w:val="24"/>
          <w:szCs w:val="24"/>
        </w:rPr>
        <w:t xml:space="preserve"> t</w:t>
      </w:r>
      <w:r>
        <w:rPr>
          <w:rFonts w:ascii="Bookman Old Style" w:eastAsia="Arial Unicode MS" w:hAnsi="Bookman Old Style" w:cs="Arial Unicode MS"/>
          <w:sz w:val="24"/>
          <w:szCs w:val="24"/>
        </w:rPr>
        <w:t xml:space="preserve">he nub of the complaint in this respect is </w:t>
      </w:r>
      <w:r w:rsidR="00E06DB5">
        <w:rPr>
          <w:rFonts w:ascii="Bookman Old Style" w:eastAsia="Arial Unicode MS" w:hAnsi="Bookman Old Style" w:cs="Arial Unicode MS"/>
          <w:sz w:val="24"/>
          <w:szCs w:val="24"/>
        </w:rPr>
        <w:t>that the plaintiff is a schemer;</w:t>
      </w:r>
      <w:r>
        <w:rPr>
          <w:rFonts w:ascii="Bookman Old Style" w:eastAsia="Arial Unicode MS" w:hAnsi="Bookman Old Style" w:cs="Arial Unicode MS"/>
          <w:sz w:val="24"/>
          <w:szCs w:val="24"/>
        </w:rPr>
        <w:t xml:space="preserve"> has been involved in dirty politics for a long t</w:t>
      </w:r>
      <w:r w:rsidR="00761B9E">
        <w:rPr>
          <w:rFonts w:ascii="Bookman Old Style" w:eastAsia="Arial Unicode MS" w:hAnsi="Bookman Old Style" w:cs="Arial Unicode MS"/>
          <w:sz w:val="24"/>
          <w:szCs w:val="24"/>
        </w:rPr>
        <w:t>ime; manipulated</w:t>
      </w:r>
      <w:r>
        <w:rPr>
          <w:rFonts w:ascii="Bookman Old Style" w:eastAsia="Arial Unicode MS" w:hAnsi="Bookman Old Style" w:cs="Arial Unicode MS"/>
          <w:sz w:val="24"/>
          <w:szCs w:val="24"/>
        </w:rPr>
        <w:t xml:space="preserve"> President Chiluba</w:t>
      </w:r>
      <w:r w:rsidR="00761B9E">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and the NEC to </w:t>
      </w:r>
      <w:r w:rsidR="00E06DB5">
        <w:rPr>
          <w:rFonts w:ascii="Bookman Old Style" w:eastAsia="Arial Unicode MS" w:hAnsi="Bookman Old Style" w:cs="Arial Unicode MS"/>
          <w:sz w:val="24"/>
          <w:szCs w:val="24"/>
        </w:rPr>
        <w:t>expel</w:t>
      </w:r>
      <w:r>
        <w:rPr>
          <w:rFonts w:ascii="Bookman Old Style" w:eastAsia="Arial Unicode MS" w:hAnsi="Bookman Old Style" w:cs="Arial Unicode MS"/>
          <w:sz w:val="24"/>
          <w:szCs w:val="24"/>
        </w:rPr>
        <w:t xml:space="preserve"> several members of the MMD</w:t>
      </w:r>
      <w:r w:rsidR="00E06DB5">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does not uphold and believe in the tenets </w:t>
      </w:r>
      <w:r>
        <w:rPr>
          <w:rFonts w:ascii="Bookman Old Style" w:eastAsia="Arial Unicode MS" w:hAnsi="Bookman Old Style" w:cs="Arial Unicode MS"/>
          <w:sz w:val="24"/>
          <w:szCs w:val="24"/>
        </w:rPr>
        <w:lastRenderedPageBreak/>
        <w:t>of democracy</w:t>
      </w:r>
      <w:r w:rsidR="00E06DB5">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and </w:t>
      </w:r>
      <w:r w:rsidR="00761B9E">
        <w:rPr>
          <w:rFonts w:ascii="Bookman Old Style" w:eastAsia="Arial Unicode MS" w:hAnsi="Bookman Old Style" w:cs="Arial Unicode MS"/>
          <w:sz w:val="24"/>
          <w:szCs w:val="24"/>
        </w:rPr>
        <w:t xml:space="preserve">that generally </w:t>
      </w:r>
      <w:r>
        <w:rPr>
          <w:rFonts w:ascii="Bookman Old Style" w:eastAsia="Arial Unicode MS" w:hAnsi="Bookman Old Style" w:cs="Arial Unicode MS"/>
          <w:sz w:val="24"/>
          <w:szCs w:val="24"/>
        </w:rPr>
        <w:t xml:space="preserve">he is not fit to ascend to the position of republican President. </w:t>
      </w:r>
      <w:r w:rsidR="00DC5D8D">
        <w:rPr>
          <w:rFonts w:ascii="Bookman Old Style" w:eastAsia="Arial Unicode MS" w:hAnsi="Bookman Old Style" w:cs="Arial Unicode MS"/>
          <w:sz w:val="24"/>
          <w:szCs w:val="24"/>
        </w:rPr>
        <w:t>Fi</w:t>
      </w:r>
      <w:r w:rsidR="0086430B">
        <w:rPr>
          <w:rFonts w:ascii="Bookman Old Style" w:eastAsia="Arial Unicode MS" w:hAnsi="Bookman Old Style" w:cs="Arial Unicode MS"/>
          <w:sz w:val="24"/>
          <w:szCs w:val="24"/>
        </w:rPr>
        <w:t>r</w:t>
      </w:r>
      <w:r w:rsidR="00DC5D8D">
        <w:rPr>
          <w:rFonts w:ascii="Bookman Old Style" w:eastAsia="Arial Unicode MS" w:hAnsi="Bookman Old Style" w:cs="Arial Unicode MS"/>
          <w:sz w:val="24"/>
          <w:szCs w:val="24"/>
        </w:rPr>
        <w:t xml:space="preserve">st, it is </w:t>
      </w:r>
      <w:r w:rsidR="0016683D">
        <w:rPr>
          <w:rFonts w:ascii="Bookman Old Style" w:eastAsia="Arial Unicode MS" w:hAnsi="Bookman Old Style" w:cs="Arial Unicode MS"/>
          <w:sz w:val="24"/>
          <w:szCs w:val="24"/>
        </w:rPr>
        <w:t>self-</w:t>
      </w:r>
      <w:r w:rsidR="0086430B">
        <w:rPr>
          <w:rFonts w:ascii="Bookman Old Style" w:eastAsia="Arial Unicode MS" w:hAnsi="Bookman Old Style" w:cs="Arial Unicode MS"/>
          <w:sz w:val="24"/>
          <w:szCs w:val="24"/>
        </w:rPr>
        <w:t xml:space="preserve">evident </w:t>
      </w:r>
      <w:r w:rsidR="00DC5D8D">
        <w:rPr>
          <w:rFonts w:ascii="Bookman Old Style" w:eastAsia="Arial Unicode MS" w:hAnsi="Bookman Old Style" w:cs="Arial Unicode MS"/>
          <w:sz w:val="24"/>
          <w:szCs w:val="24"/>
        </w:rPr>
        <w:t>by “CC6” that the plaintiff recommended to President Chiluba a stratagem of how to deal with Mr. Anderson Mazoka</w:t>
      </w:r>
      <w:r w:rsidR="00AB4B8F">
        <w:rPr>
          <w:rFonts w:ascii="Bookman Old Style" w:eastAsia="Arial Unicode MS" w:hAnsi="Bookman Old Style" w:cs="Arial Unicode MS"/>
          <w:sz w:val="24"/>
          <w:szCs w:val="24"/>
        </w:rPr>
        <w:t>’s</w:t>
      </w:r>
      <w:r w:rsidR="0086430B">
        <w:rPr>
          <w:rFonts w:ascii="Bookman Old Style" w:eastAsia="Arial Unicode MS" w:hAnsi="Bookman Old Style" w:cs="Arial Unicode MS"/>
          <w:sz w:val="24"/>
          <w:szCs w:val="24"/>
        </w:rPr>
        <w:t xml:space="preserve"> (deceased)</w:t>
      </w:r>
      <w:r w:rsidR="00DC5D8D">
        <w:rPr>
          <w:rFonts w:ascii="Bookman Old Style" w:eastAsia="Arial Unicode MS" w:hAnsi="Bookman Old Style" w:cs="Arial Unicode MS"/>
          <w:sz w:val="24"/>
          <w:szCs w:val="24"/>
        </w:rPr>
        <w:t xml:space="preserve"> growing political</w:t>
      </w:r>
      <w:r w:rsidR="008D7A18">
        <w:rPr>
          <w:rFonts w:ascii="Bookman Old Style" w:eastAsia="Arial Unicode MS" w:hAnsi="Bookman Old Style" w:cs="Arial Unicode MS"/>
          <w:sz w:val="24"/>
          <w:szCs w:val="24"/>
        </w:rPr>
        <w:t xml:space="preserve"> influence</w:t>
      </w:r>
      <w:r w:rsidR="0086430B">
        <w:rPr>
          <w:rFonts w:ascii="Bookman Old Style" w:eastAsia="Arial Unicode MS" w:hAnsi="Bookman Old Style" w:cs="Arial Unicode MS"/>
          <w:sz w:val="24"/>
          <w:szCs w:val="24"/>
        </w:rPr>
        <w:t>. According</w:t>
      </w:r>
      <w:r w:rsidR="00244912">
        <w:rPr>
          <w:rFonts w:ascii="Bookman Old Style" w:eastAsia="Arial Unicode MS" w:hAnsi="Bookman Old Style" w:cs="Arial Unicode MS"/>
          <w:sz w:val="24"/>
          <w:szCs w:val="24"/>
        </w:rPr>
        <w:t xml:space="preserve"> to </w:t>
      </w:r>
      <w:r w:rsidR="00244912" w:rsidRPr="00AB4B8F">
        <w:rPr>
          <w:rFonts w:ascii="Bookman Old Style" w:eastAsia="Arial Unicode MS" w:hAnsi="Bookman Old Style" w:cs="Arial Unicode MS"/>
          <w:i/>
          <w:sz w:val="24"/>
          <w:szCs w:val="24"/>
        </w:rPr>
        <w:t>Oxfor</w:t>
      </w:r>
      <w:r w:rsidR="0016683D" w:rsidRPr="00AB4B8F">
        <w:rPr>
          <w:rFonts w:ascii="Bookman Old Style" w:eastAsia="Arial Unicode MS" w:hAnsi="Bookman Old Style" w:cs="Arial Unicode MS"/>
          <w:i/>
          <w:sz w:val="24"/>
          <w:szCs w:val="24"/>
        </w:rPr>
        <w:t>d Paperback</w:t>
      </w:r>
      <w:r w:rsidR="00C2510B">
        <w:rPr>
          <w:rFonts w:ascii="Bookman Old Style" w:eastAsia="Arial Unicode MS" w:hAnsi="Bookman Old Style" w:cs="Arial Unicode MS"/>
          <w:sz w:val="24"/>
          <w:szCs w:val="24"/>
        </w:rPr>
        <w:t xml:space="preserve"> </w:t>
      </w:r>
      <w:r w:rsidR="0016683D" w:rsidRPr="00AB4B8F">
        <w:rPr>
          <w:rFonts w:ascii="Bookman Old Style" w:eastAsia="Arial Unicode MS" w:hAnsi="Bookman Old Style" w:cs="Arial Unicode MS"/>
          <w:i/>
          <w:sz w:val="24"/>
          <w:szCs w:val="24"/>
        </w:rPr>
        <w:t>The</w:t>
      </w:r>
      <w:r w:rsidR="00244912" w:rsidRPr="00AB4B8F">
        <w:rPr>
          <w:rFonts w:ascii="Bookman Old Style" w:eastAsia="Arial Unicode MS" w:hAnsi="Bookman Old Style" w:cs="Arial Unicode MS"/>
          <w:i/>
          <w:sz w:val="24"/>
          <w:szCs w:val="24"/>
        </w:rPr>
        <w:t>s</w:t>
      </w:r>
      <w:r w:rsidR="0016683D" w:rsidRPr="00AB4B8F">
        <w:rPr>
          <w:rFonts w:ascii="Bookman Old Style" w:eastAsia="Arial Unicode MS" w:hAnsi="Bookman Old Style" w:cs="Arial Unicode MS"/>
          <w:i/>
          <w:sz w:val="24"/>
          <w:szCs w:val="24"/>
        </w:rPr>
        <w:t>a</w:t>
      </w:r>
      <w:r w:rsidR="00244912" w:rsidRPr="00AB4B8F">
        <w:rPr>
          <w:rFonts w:ascii="Bookman Old Style" w:eastAsia="Arial Unicode MS" w:hAnsi="Bookman Old Style" w:cs="Arial Unicode MS"/>
          <w:i/>
          <w:sz w:val="24"/>
          <w:szCs w:val="24"/>
        </w:rPr>
        <w:t>urus</w:t>
      </w:r>
      <w:r w:rsidR="008D7A18" w:rsidRPr="00AB4B8F">
        <w:rPr>
          <w:rFonts w:ascii="Bookman Old Style" w:eastAsia="Arial Unicode MS" w:hAnsi="Bookman Old Style" w:cs="Arial Unicode MS"/>
          <w:i/>
          <w:sz w:val="24"/>
          <w:szCs w:val="24"/>
        </w:rPr>
        <w:t>,</w:t>
      </w:r>
      <w:r w:rsidR="008D7A18">
        <w:rPr>
          <w:rStyle w:val="FootnoteReference"/>
          <w:rFonts w:ascii="Bookman Old Style" w:eastAsia="Arial Unicode MS" w:hAnsi="Bookman Old Style" w:cs="Arial Unicode MS"/>
          <w:sz w:val="24"/>
          <w:szCs w:val="24"/>
        </w:rPr>
        <w:footnoteReference w:id="154"/>
      </w:r>
      <w:r w:rsidR="00EF6364">
        <w:rPr>
          <w:rFonts w:ascii="Bookman Old Style" w:eastAsia="Arial Unicode MS" w:hAnsi="Bookman Old Style" w:cs="Arial Unicode MS"/>
          <w:sz w:val="24"/>
          <w:szCs w:val="24"/>
        </w:rPr>
        <w:t xml:space="preserve"> the word “</w:t>
      </w:r>
      <w:r w:rsidR="00EF6364" w:rsidRPr="006B50EC">
        <w:rPr>
          <w:rFonts w:ascii="Bookman Old Style" w:eastAsia="Arial Unicode MS" w:hAnsi="Bookman Old Style" w:cs="Arial Unicode MS"/>
          <w:i/>
          <w:sz w:val="24"/>
          <w:szCs w:val="24"/>
        </w:rPr>
        <w:t>scheme”</w:t>
      </w:r>
      <w:r w:rsidR="00EF6364">
        <w:rPr>
          <w:rFonts w:ascii="Bookman Old Style" w:eastAsia="Arial Unicode MS" w:hAnsi="Bookman Old Style" w:cs="Arial Unicode MS"/>
          <w:sz w:val="24"/>
          <w:szCs w:val="24"/>
        </w:rPr>
        <w:t xml:space="preserve"> means: </w:t>
      </w:r>
    </w:p>
    <w:p w:rsidR="00244912" w:rsidRPr="00244912" w:rsidRDefault="00EF6364" w:rsidP="00244912">
      <w:pPr>
        <w:spacing w:before="240" w:line="240" w:lineRule="auto"/>
        <w:jc w:val="both"/>
        <w:rPr>
          <w:rFonts w:ascii="Bookman Old Style" w:eastAsia="Arial Unicode MS" w:hAnsi="Bookman Old Style" w:cs="Arial Unicode MS"/>
          <w:i/>
          <w:sz w:val="24"/>
          <w:szCs w:val="24"/>
        </w:rPr>
      </w:pPr>
      <w:r w:rsidRPr="00244912">
        <w:rPr>
          <w:rFonts w:ascii="Bookman Old Style" w:eastAsia="Arial Unicode MS" w:hAnsi="Bookman Old Style" w:cs="Arial Unicode MS"/>
          <w:i/>
          <w:sz w:val="24"/>
          <w:szCs w:val="24"/>
        </w:rPr>
        <w:t>“a plan, project, plan of action, programme, strategy, stratagem,</w:t>
      </w:r>
      <w:r w:rsidR="009E7E4C">
        <w:rPr>
          <w:rFonts w:ascii="Bookman Old Style" w:eastAsia="Arial Unicode MS" w:hAnsi="Bookman Old Style" w:cs="Arial Unicode MS"/>
          <w:i/>
          <w:sz w:val="24"/>
          <w:szCs w:val="24"/>
        </w:rPr>
        <w:t xml:space="preserve"> tactic, game plan, course/line</w:t>
      </w:r>
      <w:r w:rsidRPr="00244912">
        <w:rPr>
          <w:rFonts w:ascii="Bookman Old Style" w:eastAsia="Arial Unicode MS" w:hAnsi="Bookman Old Style" w:cs="Arial Unicode MS"/>
          <w:i/>
          <w:sz w:val="24"/>
          <w:szCs w:val="24"/>
        </w:rPr>
        <w:t xml:space="preserve"> of action, system, procedure,</w:t>
      </w:r>
      <w:r w:rsidR="00244912" w:rsidRPr="00244912">
        <w:rPr>
          <w:rFonts w:ascii="Bookman Old Style" w:eastAsia="Arial Unicode MS" w:hAnsi="Bookman Old Style" w:cs="Arial Unicode MS"/>
          <w:i/>
          <w:sz w:val="24"/>
          <w:szCs w:val="24"/>
        </w:rPr>
        <w:t xml:space="preserve"> design, for</w:t>
      </w:r>
      <w:r w:rsidR="009E7E4C">
        <w:rPr>
          <w:rFonts w:ascii="Bookman Old Style" w:eastAsia="Arial Unicode MS" w:hAnsi="Bookman Old Style" w:cs="Arial Unicode MS"/>
          <w:i/>
          <w:sz w:val="24"/>
          <w:szCs w:val="24"/>
        </w:rPr>
        <w:t>mula, and recip</w:t>
      </w:r>
      <w:r w:rsidRPr="00244912">
        <w:rPr>
          <w:rFonts w:ascii="Bookman Old Style" w:eastAsia="Arial Unicode MS" w:hAnsi="Bookman Old Style" w:cs="Arial Unicode MS"/>
          <w:i/>
          <w:sz w:val="24"/>
          <w:szCs w:val="24"/>
        </w:rPr>
        <w:t>e.”</w:t>
      </w:r>
    </w:p>
    <w:p w:rsidR="009E7E4C" w:rsidRDefault="00EF6364"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 view of the foregoing</w:t>
      </w:r>
      <w:r w:rsidR="0016683D">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I do not find anything defamatory about describing the plaintiff as a </w:t>
      </w:r>
      <w:r w:rsidRPr="0016683D">
        <w:rPr>
          <w:rFonts w:ascii="Bookman Old Style" w:eastAsia="Arial Unicode MS" w:hAnsi="Bookman Old Style" w:cs="Arial Unicode MS"/>
          <w:i/>
          <w:sz w:val="24"/>
          <w:szCs w:val="24"/>
        </w:rPr>
        <w:t>“schemer</w:t>
      </w:r>
      <w:r w:rsidRPr="009E7E4C">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Second, I agree with the submission by Mr. Mutale SC, that “CC5” was written by the plaintiff in his capacity as the National Secretary for MMD. Therefore, the disciplinary action initiated by the plaintiff against Mr. B.Y. Mwila cannot fairly, and properly be said to have been personal, or calculated to </w:t>
      </w:r>
      <w:r w:rsidR="009E7E4C">
        <w:rPr>
          <w:rFonts w:ascii="Bookman Old Style" w:eastAsia="Arial Unicode MS" w:hAnsi="Bookman Old Style" w:cs="Arial Unicode MS"/>
          <w:sz w:val="24"/>
          <w:szCs w:val="24"/>
        </w:rPr>
        <w:t xml:space="preserve">hound </w:t>
      </w:r>
      <w:r w:rsidR="0016683D">
        <w:rPr>
          <w:rFonts w:ascii="Bookman Old Style" w:eastAsia="Arial Unicode MS" w:hAnsi="Bookman Old Style" w:cs="Arial Unicode MS"/>
          <w:sz w:val="24"/>
          <w:szCs w:val="24"/>
        </w:rPr>
        <w:t xml:space="preserve">Mr. </w:t>
      </w:r>
      <w:r>
        <w:rPr>
          <w:rFonts w:ascii="Bookman Old Style" w:eastAsia="Arial Unicode MS" w:hAnsi="Bookman Old Style" w:cs="Arial Unicode MS"/>
          <w:sz w:val="24"/>
          <w:szCs w:val="24"/>
        </w:rPr>
        <w:t xml:space="preserve">B.Y. Mwila from the MMD. </w:t>
      </w:r>
    </w:p>
    <w:p w:rsidR="00C15885" w:rsidRDefault="00DC5D8D"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Be that as it may, r</w:t>
      </w:r>
      <w:r w:rsidR="00761B9E">
        <w:rPr>
          <w:rFonts w:ascii="Bookman Old Style" w:eastAsia="Arial Unicode MS" w:hAnsi="Bookman Old Style" w:cs="Arial Unicode MS"/>
          <w:sz w:val="24"/>
          <w:szCs w:val="24"/>
        </w:rPr>
        <w:t>ight thinking members of so</w:t>
      </w:r>
      <w:r w:rsidR="009E7E4C">
        <w:rPr>
          <w:rFonts w:ascii="Bookman Old Style" w:eastAsia="Arial Unicode MS" w:hAnsi="Bookman Old Style" w:cs="Arial Unicode MS"/>
          <w:sz w:val="24"/>
          <w:szCs w:val="24"/>
        </w:rPr>
        <w:t>ciety are likely to frown upon any</w:t>
      </w:r>
      <w:r w:rsidR="00761B9E">
        <w:rPr>
          <w:rFonts w:ascii="Bookman Old Style" w:eastAsia="Arial Unicode MS" w:hAnsi="Bookman Old Style" w:cs="Arial Unicode MS"/>
          <w:sz w:val="24"/>
          <w:szCs w:val="24"/>
        </w:rPr>
        <w:t xml:space="preserve"> person who is</w:t>
      </w:r>
      <w:r>
        <w:rPr>
          <w:rFonts w:ascii="Bookman Old Style" w:eastAsia="Arial Unicode MS" w:hAnsi="Bookman Old Style" w:cs="Arial Unicode MS"/>
          <w:sz w:val="24"/>
          <w:szCs w:val="24"/>
        </w:rPr>
        <w:t xml:space="preserve"> alleged to be</w:t>
      </w:r>
      <w:r w:rsidR="00761B9E">
        <w:rPr>
          <w:rFonts w:ascii="Bookman Old Style" w:eastAsia="Arial Unicode MS" w:hAnsi="Bookman Old Style" w:cs="Arial Unicode MS"/>
          <w:sz w:val="24"/>
          <w:szCs w:val="24"/>
        </w:rPr>
        <w:t xml:space="preserve"> in</w:t>
      </w:r>
      <w:r w:rsidR="009E7E4C">
        <w:rPr>
          <w:rFonts w:ascii="Bookman Old Style" w:eastAsia="Arial Unicode MS" w:hAnsi="Bookman Old Style" w:cs="Arial Unicode MS"/>
          <w:sz w:val="24"/>
          <w:szCs w:val="24"/>
        </w:rPr>
        <w:t xml:space="preserve">volved in </w:t>
      </w:r>
      <w:r w:rsidR="00AB4B8F" w:rsidRPr="00AB4B8F">
        <w:rPr>
          <w:rFonts w:ascii="Bookman Old Style" w:eastAsia="Arial Unicode MS" w:hAnsi="Bookman Old Style" w:cs="Arial Unicode MS"/>
          <w:i/>
          <w:sz w:val="24"/>
          <w:szCs w:val="24"/>
        </w:rPr>
        <w:t>“</w:t>
      </w:r>
      <w:r w:rsidR="009E7E4C" w:rsidRPr="00AB4B8F">
        <w:rPr>
          <w:rFonts w:ascii="Bookman Old Style" w:eastAsia="Arial Unicode MS" w:hAnsi="Bookman Old Style" w:cs="Arial Unicode MS"/>
          <w:i/>
          <w:sz w:val="24"/>
          <w:szCs w:val="24"/>
        </w:rPr>
        <w:t>dirty politics,</w:t>
      </w:r>
      <w:r w:rsidR="00AB4B8F" w:rsidRPr="00AB4B8F">
        <w:rPr>
          <w:rFonts w:ascii="Bookman Old Style" w:eastAsia="Arial Unicode MS" w:hAnsi="Bookman Old Style" w:cs="Arial Unicode MS"/>
          <w:i/>
          <w:sz w:val="24"/>
          <w:szCs w:val="24"/>
        </w:rPr>
        <w:t>”</w:t>
      </w:r>
      <w:r w:rsidR="009E7E4C">
        <w:rPr>
          <w:rFonts w:ascii="Bookman Old Style" w:eastAsia="Arial Unicode MS" w:hAnsi="Bookman Old Style" w:cs="Arial Unicode MS"/>
          <w:sz w:val="24"/>
          <w:szCs w:val="24"/>
        </w:rPr>
        <w:t xml:space="preserve"> and does</w:t>
      </w:r>
      <w:r w:rsidR="00761B9E">
        <w:rPr>
          <w:rFonts w:ascii="Bookman Old Style" w:eastAsia="Arial Unicode MS" w:hAnsi="Bookman Old Style" w:cs="Arial Unicode MS"/>
          <w:sz w:val="24"/>
          <w:szCs w:val="24"/>
        </w:rPr>
        <w:t xml:space="preserve"> not </w:t>
      </w:r>
      <w:r w:rsidR="009E7E4C">
        <w:rPr>
          <w:rFonts w:ascii="Bookman Old Style" w:eastAsia="Arial Unicode MS" w:hAnsi="Bookman Old Style" w:cs="Arial Unicode MS"/>
          <w:sz w:val="24"/>
          <w:szCs w:val="24"/>
        </w:rPr>
        <w:t xml:space="preserve">believe </w:t>
      </w:r>
      <w:r w:rsidR="00761B9E">
        <w:rPr>
          <w:rFonts w:ascii="Bookman Old Style" w:eastAsia="Arial Unicode MS" w:hAnsi="Bookman Old Style" w:cs="Arial Unicode MS"/>
          <w:sz w:val="24"/>
          <w:szCs w:val="24"/>
        </w:rPr>
        <w:t xml:space="preserve">in </w:t>
      </w:r>
      <w:r w:rsidR="009E7E4C">
        <w:rPr>
          <w:rFonts w:ascii="Bookman Old Style" w:eastAsia="Arial Unicode MS" w:hAnsi="Bookman Old Style" w:cs="Arial Unicode MS"/>
          <w:sz w:val="24"/>
          <w:szCs w:val="24"/>
        </w:rPr>
        <w:t xml:space="preserve">the </w:t>
      </w:r>
      <w:r w:rsidR="0016683D">
        <w:rPr>
          <w:rFonts w:ascii="Bookman Old Style" w:eastAsia="Arial Unicode MS" w:hAnsi="Bookman Old Style" w:cs="Arial Unicode MS"/>
          <w:sz w:val="24"/>
          <w:szCs w:val="24"/>
        </w:rPr>
        <w:t xml:space="preserve">tenets of </w:t>
      </w:r>
      <w:r w:rsidR="00761B9E">
        <w:rPr>
          <w:rFonts w:ascii="Bookman Old Style" w:eastAsia="Arial Unicode MS" w:hAnsi="Bookman Old Style" w:cs="Arial Unicode MS"/>
          <w:sz w:val="24"/>
          <w:szCs w:val="24"/>
        </w:rPr>
        <w:t>democracy in this day</w:t>
      </w:r>
      <w:r w:rsidR="009E7E4C">
        <w:rPr>
          <w:rFonts w:ascii="Bookman Old Style" w:eastAsia="Arial Unicode MS" w:hAnsi="Bookman Old Style" w:cs="Arial Unicode MS"/>
          <w:sz w:val="24"/>
          <w:szCs w:val="24"/>
        </w:rPr>
        <w:t>,</w:t>
      </w:r>
      <w:r w:rsidR="00761B9E">
        <w:rPr>
          <w:rFonts w:ascii="Bookman Old Style" w:eastAsia="Arial Unicode MS" w:hAnsi="Bookman Old Style" w:cs="Arial Unicode MS"/>
          <w:sz w:val="24"/>
          <w:szCs w:val="24"/>
        </w:rPr>
        <w:t xml:space="preserve"> and age. </w:t>
      </w:r>
      <w:r w:rsidR="00AD1B54">
        <w:rPr>
          <w:rFonts w:ascii="Bookman Old Style" w:eastAsia="Arial Unicode MS" w:hAnsi="Bookman Old Style" w:cs="Arial Unicode MS"/>
          <w:sz w:val="24"/>
          <w:szCs w:val="24"/>
        </w:rPr>
        <w:t xml:space="preserve">I have </w:t>
      </w:r>
      <w:r w:rsidR="009E7E4C">
        <w:rPr>
          <w:rFonts w:ascii="Bookman Old Style" w:eastAsia="Arial Unicode MS" w:hAnsi="Bookman Old Style" w:cs="Arial Unicode MS"/>
          <w:sz w:val="24"/>
          <w:szCs w:val="24"/>
        </w:rPr>
        <w:t xml:space="preserve">therefore </w:t>
      </w:r>
      <w:r w:rsidR="00AD1B54">
        <w:rPr>
          <w:rFonts w:ascii="Bookman Old Style" w:eastAsia="Arial Unicode MS" w:hAnsi="Bookman Old Style" w:cs="Arial Unicode MS"/>
          <w:sz w:val="24"/>
          <w:szCs w:val="24"/>
        </w:rPr>
        <w:t xml:space="preserve">no doubt in my mind that the </w:t>
      </w:r>
      <w:r>
        <w:rPr>
          <w:rFonts w:ascii="Bookman Old Style" w:eastAsia="Arial Unicode MS" w:hAnsi="Bookman Old Style" w:cs="Arial Unicode MS"/>
          <w:sz w:val="24"/>
          <w:szCs w:val="24"/>
        </w:rPr>
        <w:t xml:space="preserve">preceding allegations </w:t>
      </w:r>
      <w:r w:rsidR="00AD1B54">
        <w:rPr>
          <w:rFonts w:ascii="Bookman Old Style" w:eastAsia="Arial Unicode MS" w:hAnsi="Bookman Old Style" w:cs="Arial Unicode MS"/>
          <w:sz w:val="24"/>
          <w:szCs w:val="24"/>
        </w:rPr>
        <w:t>are bound to lower the estimation of the plaintif</w:t>
      </w:r>
      <w:r w:rsidR="00761B9E">
        <w:rPr>
          <w:rFonts w:ascii="Bookman Old Style" w:eastAsia="Arial Unicode MS" w:hAnsi="Bookman Old Style" w:cs="Arial Unicode MS"/>
          <w:sz w:val="24"/>
          <w:szCs w:val="24"/>
        </w:rPr>
        <w:t>f in the eyes of right thinking</w:t>
      </w:r>
      <w:r w:rsidR="00AD1B54">
        <w:rPr>
          <w:rFonts w:ascii="Bookman Old Style" w:eastAsia="Arial Unicode MS" w:hAnsi="Bookman Old Style" w:cs="Arial Unicode MS"/>
          <w:sz w:val="24"/>
          <w:szCs w:val="24"/>
        </w:rPr>
        <w:t xml:space="preserve"> members of society. My finding there</w:t>
      </w:r>
      <w:r w:rsidR="00E06DB5">
        <w:rPr>
          <w:rFonts w:ascii="Bookman Old Style" w:eastAsia="Arial Unicode MS" w:hAnsi="Bookman Old Style" w:cs="Arial Unicode MS"/>
          <w:sz w:val="24"/>
          <w:szCs w:val="24"/>
        </w:rPr>
        <w:t>fore</w:t>
      </w:r>
      <w:r w:rsidR="00AD1B54">
        <w:rPr>
          <w:rFonts w:ascii="Bookman Old Style" w:eastAsia="Arial Unicode MS" w:hAnsi="Bookman Old Style" w:cs="Arial Unicode MS"/>
          <w:sz w:val="24"/>
          <w:szCs w:val="24"/>
        </w:rPr>
        <w:t xml:space="preserve"> is that </w:t>
      </w:r>
      <w:r>
        <w:rPr>
          <w:rFonts w:ascii="Bookman Old Style" w:eastAsia="Arial Unicode MS" w:hAnsi="Bookman Old Style" w:cs="Arial Unicode MS"/>
          <w:sz w:val="24"/>
          <w:szCs w:val="24"/>
        </w:rPr>
        <w:t xml:space="preserve">save for matters relating to the content of “CC5” and “CC6,” </w:t>
      </w:r>
      <w:r w:rsidR="00AD1B54">
        <w:rPr>
          <w:rFonts w:ascii="Bookman Old Style" w:eastAsia="Arial Unicode MS" w:hAnsi="Bookman Old Style" w:cs="Arial Unicode MS"/>
          <w:sz w:val="24"/>
          <w:szCs w:val="24"/>
        </w:rPr>
        <w:t xml:space="preserve">the portion of the statement referred to above </w:t>
      </w:r>
      <w:r w:rsidR="00761B9E">
        <w:rPr>
          <w:rFonts w:ascii="Bookman Old Style" w:eastAsia="Arial Unicode MS" w:hAnsi="Bookman Old Style" w:cs="Arial Unicode MS"/>
          <w:sz w:val="24"/>
          <w:szCs w:val="24"/>
        </w:rPr>
        <w:t>i</w:t>
      </w:r>
      <w:r w:rsidR="00E06DB5">
        <w:rPr>
          <w:rFonts w:ascii="Bookman Old Style" w:eastAsia="Arial Unicode MS" w:hAnsi="Bookman Old Style" w:cs="Arial Unicode MS"/>
          <w:sz w:val="24"/>
          <w:szCs w:val="24"/>
        </w:rPr>
        <w:t xml:space="preserve">s </w:t>
      </w:r>
      <w:r w:rsidR="00AD1B54">
        <w:rPr>
          <w:rFonts w:ascii="Bookman Old Style" w:eastAsia="Arial Unicode MS" w:hAnsi="Bookman Old Style" w:cs="Arial Unicode MS"/>
          <w:sz w:val="24"/>
          <w:szCs w:val="24"/>
        </w:rPr>
        <w:t xml:space="preserve">defamatory. </w:t>
      </w:r>
    </w:p>
    <w:p w:rsidR="00C15885" w:rsidRDefault="00C15885"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 the second instalment it is said that:</w:t>
      </w:r>
    </w:p>
    <w:p w:rsidR="00855B46" w:rsidRPr="00EC62F2" w:rsidRDefault="00C15885" w:rsidP="00EC62F2">
      <w:pPr>
        <w:spacing w:before="240" w:line="240" w:lineRule="auto"/>
        <w:jc w:val="both"/>
        <w:rPr>
          <w:rFonts w:ascii="Bookman Old Style" w:eastAsia="Arial Unicode MS" w:hAnsi="Bookman Old Style" w:cs="Arial Unicode MS"/>
          <w:i/>
          <w:sz w:val="24"/>
          <w:szCs w:val="24"/>
        </w:rPr>
      </w:pPr>
      <w:r w:rsidRPr="00EC62F2">
        <w:rPr>
          <w:rFonts w:ascii="Bookman Old Style" w:eastAsia="Arial Unicode MS" w:hAnsi="Bookman Old Style" w:cs="Arial Unicode MS"/>
          <w:i/>
          <w:sz w:val="24"/>
          <w:szCs w:val="24"/>
        </w:rPr>
        <w:t>“....Sata is also reported to have caused a lot of confusion in the Lusaka City Council. The Weekly Post Edition Number 113 of September, 2 to 9, 1993, had this as one of its headlines. “Lusaka’s Great Political Circus.” Reading through this article Sata who had been transferred</w:t>
      </w:r>
      <w:r w:rsidR="00F61AA4" w:rsidRPr="00EC62F2">
        <w:rPr>
          <w:rFonts w:ascii="Bookman Old Style" w:eastAsia="Arial Unicode MS" w:hAnsi="Bookman Old Style" w:cs="Arial Unicode MS"/>
          <w:i/>
          <w:sz w:val="24"/>
          <w:szCs w:val="24"/>
        </w:rPr>
        <w:t xml:space="preserve"> </w:t>
      </w:r>
      <w:r w:rsidRPr="00EC62F2">
        <w:rPr>
          <w:rFonts w:ascii="Bookman Old Style" w:eastAsia="Arial Unicode MS" w:hAnsi="Bookman Old Style" w:cs="Arial Unicode MS"/>
          <w:i/>
          <w:sz w:val="24"/>
          <w:szCs w:val="24"/>
        </w:rPr>
        <w:t>from the Ministry of Local Government and Housing to Labour an</w:t>
      </w:r>
      <w:r w:rsidR="00F61AA4" w:rsidRPr="00EC62F2">
        <w:rPr>
          <w:rFonts w:ascii="Bookman Old Style" w:eastAsia="Arial Unicode MS" w:hAnsi="Bookman Old Style" w:cs="Arial Unicode MS"/>
          <w:i/>
          <w:sz w:val="24"/>
          <w:szCs w:val="24"/>
        </w:rPr>
        <w:t xml:space="preserve">d also Kabwata Member of Parliament, and the Town Clerk Wynter Kabimba had taken </w:t>
      </w:r>
      <w:r w:rsidR="00EC62F2" w:rsidRPr="00EC62F2">
        <w:rPr>
          <w:rFonts w:ascii="Bookman Old Style" w:eastAsia="Arial Unicode MS" w:hAnsi="Bookman Old Style" w:cs="Arial Unicode MS"/>
          <w:i/>
          <w:sz w:val="24"/>
          <w:szCs w:val="24"/>
        </w:rPr>
        <w:t>centre</w:t>
      </w:r>
      <w:r w:rsidR="00F61AA4" w:rsidRPr="00EC62F2">
        <w:rPr>
          <w:rFonts w:ascii="Bookman Old Style" w:eastAsia="Arial Unicode MS" w:hAnsi="Bookman Old Style" w:cs="Arial Unicode MS"/>
          <w:i/>
          <w:sz w:val="24"/>
          <w:szCs w:val="24"/>
        </w:rPr>
        <w:t xml:space="preserve"> stage. Kabimba was viewed by most councillor’s as a Sata’s man</w:t>
      </w:r>
      <w:r w:rsidR="00EC62F2" w:rsidRPr="00EC62F2">
        <w:rPr>
          <w:rFonts w:ascii="Bookman Old Style" w:eastAsia="Arial Unicode MS" w:hAnsi="Bookman Old Style" w:cs="Arial Unicode MS"/>
          <w:i/>
          <w:sz w:val="24"/>
          <w:szCs w:val="24"/>
        </w:rPr>
        <w:t>”</w:t>
      </w:r>
    </w:p>
    <w:p w:rsidR="00EC62F2" w:rsidRPr="00EC62F2" w:rsidRDefault="00EC62F2" w:rsidP="00EC62F2">
      <w:pPr>
        <w:spacing w:before="240" w:line="240" w:lineRule="auto"/>
        <w:jc w:val="both"/>
        <w:rPr>
          <w:rFonts w:ascii="Bookman Old Style" w:eastAsia="Arial Unicode MS" w:hAnsi="Bookman Old Style" w:cs="Arial Unicode MS"/>
          <w:i/>
          <w:sz w:val="24"/>
          <w:szCs w:val="24"/>
        </w:rPr>
      </w:pPr>
      <w:r w:rsidRPr="00EC62F2">
        <w:rPr>
          <w:rFonts w:ascii="Bookman Old Style" w:eastAsia="Arial Unicode MS" w:hAnsi="Bookman Old Style" w:cs="Arial Unicode MS"/>
          <w:i/>
          <w:sz w:val="24"/>
          <w:szCs w:val="24"/>
        </w:rPr>
        <w:lastRenderedPageBreak/>
        <w:t>“Yes this article by Masautso Phiri revealed tell signs of wrong doing and under hand methods not only on Sata but Kabimba as well. There was the issue of the Nalubito road and inde</w:t>
      </w:r>
      <w:r w:rsidR="00761B9E">
        <w:rPr>
          <w:rFonts w:ascii="Bookman Old Style" w:eastAsia="Arial Unicode MS" w:hAnsi="Bookman Old Style" w:cs="Arial Unicode MS"/>
          <w:i/>
          <w:sz w:val="24"/>
          <w:szCs w:val="24"/>
        </w:rPr>
        <w:t>pendence avenue houses, Hotel b</w:t>
      </w:r>
      <w:r w:rsidRPr="00EC62F2">
        <w:rPr>
          <w:rFonts w:ascii="Bookman Old Style" w:eastAsia="Arial Unicode MS" w:hAnsi="Bookman Old Style" w:cs="Arial Unicode MS"/>
          <w:i/>
          <w:sz w:val="24"/>
          <w:szCs w:val="24"/>
        </w:rPr>
        <w:t xml:space="preserve">ills and most of </w:t>
      </w:r>
      <w:r w:rsidR="00232A59">
        <w:rPr>
          <w:rFonts w:ascii="Bookman Old Style" w:eastAsia="Arial Unicode MS" w:hAnsi="Bookman Old Style" w:cs="Arial Unicode MS"/>
          <w:i/>
          <w:sz w:val="24"/>
          <w:szCs w:val="24"/>
        </w:rPr>
        <w:t>all</w:t>
      </w:r>
      <w:r w:rsidR="00761B9E">
        <w:rPr>
          <w:rFonts w:ascii="Bookman Old Style" w:eastAsia="Arial Unicode MS" w:hAnsi="Bookman Old Style" w:cs="Arial Unicode MS"/>
          <w:i/>
          <w:sz w:val="24"/>
          <w:szCs w:val="24"/>
        </w:rPr>
        <w:t>,</w:t>
      </w:r>
      <w:r w:rsidR="00232A59">
        <w:rPr>
          <w:rFonts w:ascii="Bookman Old Style" w:eastAsia="Arial Unicode MS" w:hAnsi="Bookman Old Style" w:cs="Arial Unicode MS"/>
          <w:i/>
          <w:sz w:val="24"/>
          <w:szCs w:val="24"/>
        </w:rPr>
        <w:t xml:space="preserve"> </w:t>
      </w:r>
      <w:r w:rsidRPr="00EC62F2">
        <w:rPr>
          <w:rFonts w:ascii="Bookman Old Style" w:eastAsia="Arial Unicode MS" w:hAnsi="Bookman Old Style" w:cs="Arial Unicode MS"/>
          <w:i/>
          <w:sz w:val="24"/>
          <w:szCs w:val="24"/>
        </w:rPr>
        <w:t>the contract in relation to the Mezaf Flats in Lusaka’s Chilenje Township.”</w:t>
      </w:r>
    </w:p>
    <w:p w:rsidR="00EC62F2" w:rsidRDefault="00EC62F2" w:rsidP="0008482F">
      <w:pPr>
        <w:spacing w:before="240" w:line="360" w:lineRule="auto"/>
        <w:jc w:val="both"/>
        <w:rPr>
          <w:rFonts w:ascii="Bookman Old Style" w:eastAsia="Arial Unicode MS" w:hAnsi="Bookman Old Style" w:cs="Arial Unicode MS"/>
          <w:sz w:val="24"/>
          <w:szCs w:val="24"/>
        </w:rPr>
      </w:pPr>
    </w:p>
    <w:p w:rsidR="00880C59" w:rsidRDefault="00EC62F2"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specific complaint in relation to the preceding portion of the statement is that the plaintiff caused confusion in the oper</w:t>
      </w:r>
      <w:r w:rsidR="00232A59">
        <w:rPr>
          <w:rFonts w:ascii="Bookman Old Style" w:eastAsia="Arial Unicode MS" w:hAnsi="Bookman Old Style" w:cs="Arial Unicode MS"/>
          <w:sz w:val="24"/>
          <w:szCs w:val="24"/>
        </w:rPr>
        <w:t>ation of the Lusaka City Council</w:t>
      </w:r>
      <w:r>
        <w:rPr>
          <w:rFonts w:ascii="Bookman Old Style" w:eastAsia="Arial Unicode MS" w:hAnsi="Bookman Old Style" w:cs="Arial Unicode MS"/>
          <w:sz w:val="24"/>
          <w:szCs w:val="24"/>
        </w:rPr>
        <w:t xml:space="preserve"> and in the sale of Nalubuto Road, Independence Avenue houses, and Mezaf Flats.</w:t>
      </w:r>
      <w:r w:rsidR="00DC5D8D">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The gist of the complaint</w:t>
      </w:r>
      <w:r w:rsidR="00232A59">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as I see it, is that sometime in 1993, </w:t>
      </w:r>
      <w:r w:rsidR="00232A59">
        <w:rPr>
          <w:rFonts w:ascii="Bookman Old Style" w:eastAsia="Arial Unicode MS" w:hAnsi="Bookman Old Style" w:cs="Arial Unicode MS"/>
          <w:sz w:val="24"/>
          <w:szCs w:val="24"/>
        </w:rPr>
        <w:t xml:space="preserve">the </w:t>
      </w:r>
      <w:r>
        <w:rPr>
          <w:rFonts w:ascii="Bookman Old Style" w:eastAsia="Arial Unicode MS" w:hAnsi="Bookman Old Style" w:cs="Arial Unicode MS"/>
          <w:sz w:val="24"/>
          <w:szCs w:val="24"/>
        </w:rPr>
        <w:t>plaintiff caused confusion in the operation of the Lusaka City</w:t>
      </w:r>
      <w:r w:rsidR="00232A59">
        <w:rPr>
          <w:rFonts w:ascii="Bookman Old Style" w:eastAsia="Arial Unicode MS" w:hAnsi="Bookman Old Style" w:cs="Arial Unicode MS"/>
          <w:sz w:val="24"/>
          <w:szCs w:val="24"/>
        </w:rPr>
        <w:t xml:space="preserve"> Counsel, and was also involved </w:t>
      </w:r>
      <w:r>
        <w:rPr>
          <w:rFonts w:ascii="Bookman Old Style" w:eastAsia="Arial Unicode MS" w:hAnsi="Bookman Old Style" w:cs="Arial Unicode MS"/>
          <w:sz w:val="24"/>
          <w:szCs w:val="24"/>
        </w:rPr>
        <w:t>in wrong doing in concert with Mr. Wynter Kabimba. Again, I have no doubt in mi</w:t>
      </w:r>
      <w:r w:rsidR="00232A59">
        <w:rPr>
          <w:rFonts w:ascii="Bookman Old Style" w:eastAsia="Arial Unicode MS" w:hAnsi="Bookman Old Style" w:cs="Arial Unicode MS"/>
          <w:sz w:val="24"/>
          <w:szCs w:val="24"/>
        </w:rPr>
        <w:t>n</w:t>
      </w:r>
      <w:r>
        <w:rPr>
          <w:rFonts w:ascii="Bookman Old Style" w:eastAsia="Arial Unicode MS" w:hAnsi="Bookman Old Style" w:cs="Arial Unicode MS"/>
          <w:sz w:val="24"/>
          <w:szCs w:val="24"/>
        </w:rPr>
        <w:t xml:space="preserve">d that these aspersions are bound to lower the estimation of the plaintiff </w:t>
      </w:r>
      <w:r w:rsidR="00880C59">
        <w:rPr>
          <w:rFonts w:ascii="Bookman Old Style" w:eastAsia="Arial Unicode MS" w:hAnsi="Bookman Old Style" w:cs="Arial Unicode MS"/>
          <w:sz w:val="24"/>
          <w:szCs w:val="24"/>
        </w:rPr>
        <w:t>in the eyes of right thinking members of society. This is so because right thinking members of society frown up wrong doing g</w:t>
      </w:r>
      <w:r w:rsidR="00232A59">
        <w:rPr>
          <w:rFonts w:ascii="Bookman Old Style" w:eastAsia="Arial Unicode MS" w:hAnsi="Bookman Old Style" w:cs="Arial Unicode MS"/>
          <w:sz w:val="24"/>
          <w:szCs w:val="24"/>
        </w:rPr>
        <w:t>enerally. I therefore find that the portion</w:t>
      </w:r>
      <w:r w:rsidR="00880C59">
        <w:rPr>
          <w:rFonts w:ascii="Bookman Old Style" w:eastAsia="Arial Unicode MS" w:hAnsi="Bookman Old Style" w:cs="Arial Unicode MS"/>
          <w:sz w:val="24"/>
          <w:szCs w:val="24"/>
        </w:rPr>
        <w:t xml:space="preserve"> of the</w:t>
      </w:r>
      <w:r w:rsidR="00232A59">
        <w:rPr>
          <w:rFonts w:ascii="Bookman Old Style" w:eastAsia="Arial Unicode MS" w:hAnsi="Bookman Old Style" w:cs="Arial Unicode MS"/>
          <w:sz w:val="24"/>
          <w:szCs w:val="24"/>
        </w:rPr>
        <w:t xml:space="preserve"> statement referred to above is</w:t>
      </w:r>
      <w:r w:rsidR="00880C59">
        <w:rPr>
          <w:rFonts w:ascii="Bookman Old Style" w:eastAsia="Arial Unicode MS" w:hAnsi="Bookman Old Style" w:cs="Arial Unicode MS"/>
          <w:sz w:val="24"/>
          <w:szCs w:val="24"/>
        </w:rPr>
        <w:t xml:space="preserve"> defamatory. </w:t>
      </w:r>
    </w:p>
    <w:p w:rsidR="00880C59" w:rsidRDefault="00880C59"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third instalment of the statement</w:t>
      </w:r>
      <w:r w:rsidR="00232A59">
        <w:rPr>
          <w:rFonts w:ascii="Bookman Old Style" w:eastAsia="Arial Unicode MS" w:hAnsi="Bookman Old Style" w:cs="Arial Unicode MS"/>
          <w:sz w:val="24"/>
          <w:szCs w:val="24"/>
        </w:rPr>
        <w:t xml:space="preserve"> comprises the following</w:t>
      </w:r>
      <w:r>
        <w:rPr>
          <w:rFonts w:ascii="Bookman Old Style" w:eastAsia="Arial Unicode MS" w:hAnsi="Bookman Old Style" w:cs="Arial Unicode MS"/>
          <w:sz w:val="24"/>
          <w:szCs w:val="24"/>
        </w:rPr>
        <w:t>:</w:t>
      </w:r>
    </w:p>
    <w:p w:rsidR="00A14A66" w:rsidRPr="00372160" w:rsidRDefault="00880C59" w:rsidP="00372160">
      <w:pPr>
        <w:spacing w:before="240" w:line="240" w:lineRule="auto"/>
        <w:jc w:val="both"/>
        <w:rPr>
          <w:rFonts w:ascii="Bookman Old Style" w:eastAsia="Arial Unicode MS" w:hAnsi="Bookman Old Style" w:cs="Arial Unicode MS"/>
          <w:i/>
          <w:sz w:val="24"/>
          <w:szCs w:val="24"/>
        </w:rPr>
      </w:pPr>
      <w:r w:rsidRPr="00372160">
        <w:rPr>
          <w:rFonts w:ascii="Bookman Old Style" w:eastAsia="Arial Unicode MS" w:hAnsi="Bookman Old Style" w:cs="Arial Unicode MS"/>
          <w:i/>
          <w:sz w:val="24"/>
          <w:szCs w:val="24"/>
        </w:rPr>
        <w:t>“Your see, Sata’s scheming and dirty politics go back a long long way. In the UNIP one party era he is said to have gone to an opponent’s grocery store somewhere in Chilenje Township, and bought off all the stocks which he immediately distributed to his supporte</w:t>
      </w:r>
      <w:r w:rsidR="00742C1A">
        <w:rPr>
          <w:rFonts w:ascii="Bookman Old Style" w:eastAsia="Arial Unicode MS" w:hAnsi="Bookman Old Style" w:cs="Arial Unicode MS"/>
          <w:i/>
          <w:sz w:val="24"/>
          <w:szCs w:val="24"/>
        </w:rPr>
        <w:t xml:space="preserve">rs. According to eye witnesses </w:t>
      </w:r>
      <w:r w:rsidRPr="00372160">
        <w:rPr>
          <w:rFonts w:ascii="Bookman Old Style" w:eastAsia="Arial Unicode MS" w:hAnsi="Bookman Old Style" w:cs="Arial Unicode MS"/>
          <w:i/>
          <w:sz w:val="24"/>
          <w:szCs w:val="24"/>
        </w:rPr>
        <w:t>his opponents shop was le</w:t>
      </w:r>
      <w:r w:rsidR="00232A59">
        <w:rPr>
          <w:rFonts w:ascii="Bookman Old Style" w:eastAsia="Arial Unicode MS" w:hAnsi="Bookman Old Style" w:cs="Arial Unicode MS"/>
          <w:i/>
          <w:sz w:val="24"/>
          <w:szCs w:val="24"/>
        </w:rPr>
        <w:t>f</w:t>
      </w:r>
      <w:r w:rsidRPr="00372160">
        <w:rPr>
          <w:rFonts w:ascii="Bookman Old Style" w:eastAsia="Arial Unicode MS" w:hAnsi="Bookman Old Style" w:cs="Arial Unicode MS"/>
          <w:i/>
          <w:sz w:val="24"/>
          <w:szCs w:val="24"/>
        </w:rPr>
        <w:t>t empty, and remained so for many mon</w:t>
      </w:r>
      <w:r w:rsidR="000D4449" w:rsidRPr="00372160">
        <w:rPr>
          <w:rFonts w:ascii="Bookman Old Style" w:eastAsia="Arial Unicode MS" w:hAnsi="Bookman Old Style" w:cs="Arial Unicode MS"/>
          <w:i/>
          <w:sz w:val="24"/>
          <w:szCs w:val="24"/>
        </w:rPr>
        <w:t>th</w:t>
      </w:r>
      <w:r w:rsidRPr="00372160">
        <w:rPr>
          <w:rFonts w:ascii="Bookman Old Style" w:eastAsia="Arial Unicode MS" w:hAnsi="Bookman Old Style" w:cs="Arial Unicode MS"/>
          <w:i/>
          <w:sz w:val="24"/>
          <w:szCs w:val="24"/>
        </w:rPr>
        <w:t>s.</w:t>
      </w:r>
      <w:r w:rsidR="000D4449" w:rsidRPr="00372160">
        <w:rPr>
          <w:rFonts w:ascii="Bookman Old Style" w:eastAsia="Arial Unicode MS" w:hAnsi="Bookman Old Style" w:cs="Arial Unicode MS"/>
          <w:i/>
          <w:sz w:val="24"/>
          <w:szCs w:val="24"/>
        </w:rPr>
        <w:t xml:space="preserve"> When Mpulungu Member of Parliament Lameck Chibombamilimo passed on, Sata issued all sorts of statements in effect pointin</w:t>
      </w:r>
      <w:r w:rsidR="00742C1A">
        <w:rPr>
          <w:rFonts w:ascii="Bookman Old Style" w:eastAsia="Arial Unicode MS" w:hAnsi="Bookman Old Style" w:cs="Arial Unicode MS"/>
          <w:i/>
          <w:sz w:val="24"/>
          <w:szCs w:val="24"/>
        </w:rPr>
        <w:t>g a finger at Rupiah Banda</w:t>
      </w:r>
      <w:r w:rsidR="000D4449" w:rsidRPr="00372160">
        <w:rPr>
          <w:rFonts w:ascii="Bookman Old Style" w:eastAsia="Arial Unicode MS" w:hAnsi="Bookman Old Style" w:cs="Arial Unicode MS"/>
          <w:i/>
          <w:sz w:val="24"/>
          <w:szCs w:val="24"/>
        </w:rPr>
        <w:t>’s administration as being responsible for the MP’s passing</w:t>
      </w:r>
      <w:r w:rsidR="00232A59">
        <w:rPr>
          <w:rFonts w:ascii="Bookman Old Style" w:eastAsia="Arial Unicode MS" w:hAnsi="Bookman Old Style" w:cs="Arial Unicode MS"/>
          <w:i/>
          <w:sz w:val="24"/>
          <w:szCs w:val="24"/>
        </w:rPr>
        <w:t>. Y</w:t>
      </w:r>
      <w:r w:rsidR="000D4449" w:rsidRPr="00372160">
        <w:rPr>
          <w:rFonts w:ascii="Bookman Old Style" w:eastAsia="Arial Unicode MS" w:hAnsi="Bookman Old Style" w:cs="Arial Unicode MS"/>
          <w:i/>
          <w:sz w:val="24"/>
          <w:szCs w:val="24"/>
        </w:rPr>
        <w:t>et Sata, in 1994</w:t>
      </w:r>
      <w:r w:rsidR="00742C1A">
        <w:rPr>
          <w:rFonts w:ascii="Bookman Old Style" w:eastAsia="Arial Unicode MS" w:hAnsi="Bookman Old Style" w:cs="Arial Unicode MS"/>
          <w:i/>
          <w:sz w:val="24"/>
          <w:szCs w:val="24"/>
        </w:rPr>
        <w:t>,</w:t>
      </w:r>
      <w:r w:rsidR="000D4449" w:rsidRPr="00372160">
        <w:rPr>
          <w:rFonts w:ascii="Bookman Old Style" w:eastAsia="Arial Unicode MS" w:hAnsi="Bookman Old Style" w:cs="Arial Unicode MS"/>
          <w:i/>
          <w:sz w:val="24"/>
          <w:szCs w:val="24"/>
        </w:rPr>
        <w:t xml:space="preserve"> was said to have been behind the dirty tricks that led Chibombamilimo’s losing his position as MMD Lusaka Provincial Secretary. It is believed that the two could not see eye to eye and it remained so for a long time. I doubt if there was any reconciliation.</w:t>
      </w:r>
      <w:r w:rsidR="00A14A66" w:rsidRPr="00372160">
        <w:rPr>
          <w:rFonts w:ascii="Bookman Old Style" w:eastAsia="Arial Unicode MS" w:hAnsi="Bookman Old Style" w:cs="Arial Unicode MS"/>
          <w:i/>
          <w:sz w:val="24"/>
          <w:szCs w:val="24"/>
        </w:rPr>
        <w:t>”</w:t>
      </w:r>
    </w:p>
    <w:p w:rsidR="00A14A66" w:rsidRDefault="00A14A66" w:rsidP="0008482F">
      <w:pPr>
        <w:spacing w:before="240" w:line="360" w:lineRule="auto"/>
        <w:jc w:val="both"/>
        <w:rPr>
          <w:rFonts w:ascii="Bookman Old Style" w:eastAsia="Arial Unicode MS" w:hAnsi="Bookman Old Style" w:cs="Arial Unicode MS"/>
          <w:sz w:val="24"/>
          <w:szCs w:val="24"/>
        </w:rPr>
      </w:pPr>
    </w:p>
    <w:p w:rsidR="00372160" w:rsidRDefault="00232A59"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complaint </w:t>
      </w:r>
      <w:r w:rsidR="00A14A66">
        <w:rPr>
          <w:rFonts w:ascii="Bookman Old Style" w:eastAsia="Arial Unicode MS" w:hAnsi="Bookman Old Style" w:cs="Arial Unicode MS"/>
          <w:sz w:val="24"/>
          <w:szCs w:val="24"/>
        </w:rPr>
        <w:t xml:space="preserve">here is that the plaintiff’s condemnation of the </w:t>
      </w:r>
      <w:r>
        <w:rPr>
          <w:rFonts w:ascii="Bookman Old Style" w:eastAsia="Arial Unicode MS" w:hAnsi="Bookman Old Style" w:cs="Arial Unicode MS"/>
          <w:sz w:val="24"/>
          <w:szCs w:val="24"/>
        </w:rPr>
        <w:t xml:space="preserve">manner the MMD treated the </w:t>
      </w:r>
      <w:r w:rsidR="00A14A66">
        <w:rPr>
          <w:rFonts w:ascii="Bookman Old Style" w:eastAsia="Arial Unicode MS" w:hAnsi="Bookman Old Style" w:cs="Arial Unicode MS"/>
          <w:sz w:val="24"/>
          <w:szCs w:val="24"/>
        </w:rPr>
        <w:t>Member of Parliament for Mpulungu</w:t>
      </w:r>
      <w:r w:rsidR="00742C1A">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Mr. </w:t>
      </w:r>
      <w:r w:rsidR="00A14A66">
        <w:rPr>
          <w:rFonts w:ascii="Bookman Old Style" w:eastAsia="Arial Unicode MS" w:hAnsi="Bookman Old Style" w:cs="Arial Unicode MS"/>
          <w:sz w:val="24"/>
          <w:szCs w:val="24"/>
        </w:rPr>
        <w:t xml:space="preserve">Chibombamilimo </w:t>
      </w:r>
      <w:r>
        <w:rPr>
          <w:rFonts w:ascii="Bookman Old Style" w:eastAsia="Arial Unicode MS" w:hAnsi="Bookman Old Style" w:cs="Arial Unicode MS"/>
          <w:sz w:val="24"/>
          <w:szCs w:val="24"/>
        </w:rPr>
        <w:t xml:space="preserve">(deceased) </w:t>
      </w:r>
      <w:r w:rsidR="00A14A66">
        <w:rPr>
          <w:rFonts w:ascii="Bookman Old Style" w:eastAsia="Arial Unicode MS" w:hAnsi="Bookman Old Style" w:cs="Arial Unicode MS"/>
          <w:sz w:val="24"/>
          <w:szCs w:val="24"/>
        </w:rPr>
        <w:t xml:space="preserve">was not </w:t>
      </w:r>
      <w:r w:rsidR="00A14A66" w:rsidRPr="00232A59">
        <w:rPr>
          <w:rFonts w:ascii="Bookman Old Style" w:eastAsia="Arial Unicode MS" w:hAnsi="Bookman Old Style" w:cs="Arial Unicode MS"/>
          <w:i/>
          <w:sz w:val="24"/>
          <w:szCs w:val="24"/>
        </w:rPr>
        <w:t>bona fide.</w:t>
      </w:r>
      <w:r w:rsidR="00A14A66">
        <w:rPr>
          <w:rFonts w:ascii="Bookman Old Style" w:eastAsia="Arial Unicode MS" w:hAnsi="Bookman Old Style" w:cs="Arial Unicode MS"/>
          <w:sz w:val="24"/>
          <w:szCs w:val="24"/>
        </w:rPr>
        <w:t xml:space="preserve"> I must state at once that I find this particular </w:t>
      </w:r>
      <w:r w:rsidR="00A14A66">
        <w:rPr>
          <w:rFonts w:ascii="Bookman Old Style" w:eastAsia="Arial Unicode MS" w:hAnsi="Bookman Old Style" w:cs="Arial Unicode MS"/>
          <w:sz w:val="24"/>
          <w:szCs w:val="24"/>
        </w:rPr>
        <w:lastRenderedPageBreak/>
        <w:t>pleading nebulo</w:t>
      </w:r>
      <w:r>
        <w:rPr>
          <w:rFonts w:ascii="Bookman Old Style" w:eastAsia="Arial Unicode MS" w:hAnsi="Bookman Old Style" w:cs="Arial Unicode MS"/>
          <w:sz w:val="24"/>
          <w:szCs w:val="24"/>
        </w:rPr>
        <w:t xml:space="preserve">us. </w:t>
      </w:r>
      <w:r w:rsidR="0086597E">
        <w:rPr>
          <w:rFonts w:ascii="Bookman Old Style" w:eastAsia="Arial Unicode MS" w:hAnsi="Bookman Old Style" w:cs="Arial Unicode MS"/>
          <w:sz w:val="24"/>
          <w:szCs w:val="24"/>
        </w:rPr>
        <w:t xml:space="preserve">Notwithstanding, </w:t>
      </w:r>
      <w:r>
        <w:rPr>
          <w:rFonts w:ascii="Bookman Old Style" w:eastAsia="Arial Unicode MS" w:hAnsi="Bookman Old Style" w:cs="Arial Unicode MS"/>
          <w:sz w:val="24"/>
          <w:szCs w:val="24"/>
        </w:rPr>
        <w:t xml:space="preserve">I </w:t>
      </w:r>
      <w:r w:rsidR="0086597E">
        <w:rPr>
          <w:rFonts w:ascii="Bookman Old Style" w:eastAsia="Arial Unicode MS" w:hAnsi="Bookman Old Style" w:cs="Arial Unicode MS"/>
          <w:sz w:val="24"/>
          <w:szCs w:val="24"/>
        </w:rPr>
        <w:t>still consider</w:t>
      </w:r>
      <w:r w:rsidR="00A14A66">
        <w:rPr>
          <w:rFonts w:ascii="Bookman Old Style" w:eastAsia="Arial Unicode MS" w:hAnsi="Bookman Old Style" w:cs="Arial Unicode MS"/>
          <w:sz w:val="24"/>
          <w:szCs w:val="24"/>
        </w:rPr>
        <w:t xml:space="preserve"> the suggestion that the plaintiff </w:t>
      </w:r>
      <w:r w:rsidR="0086597E">
        <w:rPr>
          <w:rFonts w:ascii="Bookman Old Style" w:eastAsia="Arial Unicode MS" w:hAnsi="Bookman Old Style" w:cs="Arial Unicode MS"/>
          <w:sz w:val="24"/>
          <w:szCs w:val="24"/>
        </w:rPr>
        <w:t xml:space="preserve">‘s </w:t>
      </w:r>
      <w:r w:rsidR="0086430B" w:rsidRPr="0086430B">
        <w:rPr>
          <w:rFonts w:ascii="Bookman Old Style" w:eastAsia="Arial Unicode MS" w:hAnsi="Bookman Old Style" w:cs="Arial Unicode MS"/>
          <w:i/>
          <w:sz w:val="24"/>
          <w:szCs w:val="24"/>
        </w:rPr>
        <w:t>“dirty politics g</w:t>
      </w:r>
      <w:r w:rsidR="0086597E" w:rsidRPr="0086430B">
        <w:rPr>
          <w:rFonts w:ascii="Bookman Old Style" w:eastAsia="Arial Unicode MS" w:hAnsi="Bookman Old Style" w:cs="Arial Unicode MS"/>
          <w:i/>
          <w:sz w:val="24"/>
          <w:szCs w:val="24"/>
        </w:rPr>
        <w:t>o back a long way</w:t>
      </w:r>
      <w:r w:rsidR="0086430B" w:rsidRPr="0086430B">
        <w:rPr>
          <w:rFonts w:ascii="Bookman Old Style" w:eastAsia="Arial Unicode MS" w:hAnsi="Bookman Old Style" w:cs="Arial Unicode MS"/>
          <w:i/>
          <w:sz w:val="24"/>
          <w:szCs w:val="24"/>
        </w:rPr>
        <w:t>,”</w:t>
      </w:r>
      <w:r w:rsidR="0086597E">
        <w:rPr>
          <w:rFonts w:ascii="Bookman Old Style" w:eastAsia="Arial Unicode MS" w:hAnsi="Bookman Old Style" w:cs="Arial Unicode MS"/>
          <w:sz w:val="24"/>
          <w:szCs w:val="24"/>
        </w:rPr>
        <w:t xml:space="preserve"> and that the plaintiff </w:t>
      </w:r>
      <w:r w:rsidR="00A14A66">
        <w:rPr>
          <w:rFonts w:ascii="Bookman Old Style" w:eastAsia="Arial Unicode MS" w:hAnsi="Bookman Old Style" w:cs="Arial Unicode MS"/>
          <w:sz w:val="24"/>
          <w:szCs w:val="24"/>
        </w:rPr>
        <w:t xml:space="preserve">was said to be behind the </w:t>
      </w:r>
      <w:r w:rsidR="004C64E8">
        <w:rPr>
          <w:rFonts w:ascii="Bookman Old Style" w:eastAsia="Arial Unicode MS" w:hAnsi="Bookman Old Style" w:cs="Arial Unicode MS"/>
          <w:sz w:val="24"/>
          <w:szCs w:val="24"/>
        </w:rPr>
        <w:t>“</w:t>
      </w:r>
      <w:r w:rsidR="00A14A66" w:rsidRPr="004C64E8">
        <w:rPr>
          <w:rFonts w:ascii="Bookman Old Style" w:eastAsia="Arial Unicode MS" w:hAnsi="Bookman Old Style" w:cs="Arial Unicode MS"/>
          <w:i/>
          <w:sz w:val="24"/>
          <w:szCs w:val="24"/>
        </w:rPr>
        <w:t>dirty tricks</w:t>
      </w:r>
      <w:r w:rsidR="004C64E8">
        <w:rPr>
          <w:rFonts w:ascii="Bookman Old Style" w:eastAsia="Arial Unicode MS" w:hAnsi="Bookman Old Style" w:cs="Arial Unicode MS"/>
          <w:sz w:val="24"/>
          <w:szCs w:val="24"/>
        </w:rPr>
        <w:t>”</w:t>
      </w:r>
      <w:r w:rsidR="00A14A66">
        <w:rPr>
          <w:rFonts w:ascii="Bookman Old Style" w:eastAsia="Arial Unicode MS" w:hAnsi="Bookman Old Style" w:cs="Arial Unicode MS"/>
          <w:sz w:val="24"/>
          <w:szCs w:val="24"/>
        </w:rPr>
        <w:t xml:space="preserve"> that led to Chibombamilimo’s losing his position as MMD Provincial Secretary</w:t>
      </w:r>
      <w:r w:rsidR="004B2AD7">
        <w:rPr>
          <w:rFonts w:ascii="Bookman Old Style" w:eastAsia="Arial Unicode MS" w:hAnsi="Bookman Old Style" w:cs="Arial Unicode MS"/>
          <w:sz w:val="24"/>
          <w:szCs w:val="24"/>
        </w:rPr>
        <w:t>, to be</w:t>
      </w:r>
      <w:r>
        <w:rPr>
          <w:rFonts w:ascii="Bookman Old Style" w:eastAsia="Arial Unicode MS" w:hAnsi="Bookman Old Style" w:cs="Arial Unicode MS"/>
          <w:sz w:val="24"/>
          <w:szCs w:val="24"/>
        </w:rPr>
        <w:t xml:space="preserve"> plainly defamatory.</w:t>
      </w:r>
      <w:r w:rsidR="004B2AD7">
        <w:rPr>
          <w:rFonts w:ascii="Bookman Old Style" w:eastAsia="Arial Unicode MS" w:hAnsi="Bookman Old Style" w:cs="Arial Unicode MS"/>
          <w:sz w:val="24"/>
          <w:szCs w:val="24"/>
        </w:rPr>
        <w:t xml:space="preserve"> </w:t>
      </w:r>
    </w:p>
    <w:p w:rsidR="00372160" w:rsidRDefault="00372160"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fourth instalment of the sta</w:t>
      </w:r>
      <w:r w:rsidR="00232A59">
        <w:rPr>
          <w:rFonts w:ascii="Bookman Old Style" w:eastAsia="Arial Unicode MS" w:hAnsi="Bookman Old Style" w:cs="Arial Unicode MS"/>
          <w:sz w:val="24"/>
          <w:szCs w:val="24"/>
        </w:rPr>
        <w:t>te</w:t>
      </w:r>
      <w:r>
        <w:rPr>
          <w:rFonts w:ascii="Bookman Old Style" w:eastAsia="Arial Unicode MS" w:hAnsi="Bookman Old Style" w:cs="Arial Unicode MS"/>
          <w:sz w:val="24"/>
          <w:szCs w:val="24"/>
        </w:rPr>
        <w:t>men</w:t>
      </w:r>
      <w:r w:rsidR="00232A59">
        <w:rPr>
          <w:rFonts w:ascii="Bookman Old Style" w:eastAsia="Arial Unicode MS" w:hAnsi="Bookman Old Style" w:cs="Arial Unicode MS"/>
          <w:sz w:val="24"/>
          <w:szCs w:val="24"/>
        </w:rPr>
        <w:t>t</w:t>
      </w:r>
      <w:r>
        <w:rPr>
          <w:rFonts w:ascii="Bookman Old Style" w:eastAsia="Arial Unicode MS" w:hAnsi="Bookman Old Style" w:cs="Arial Unicode MS"/>
          <w:sz w:val="24"/>
          <w:szCs w:val="24"/>
        </w:rPr>
        <w:t xml:space="preserve"> states as follows:</w:t>
      </w:r>
    </w:p>
    <w:p w:rsidR="00372160" w:rsidRPr="00372160" w:rsidRDefault="00372160" w:rsidP="00372160">
      <w:pPr>
        <w:spacing w:before="240" w:line="240" w:lineRule="auto"/>
        <w:jc w:val="both"/>
        <w:rPr>
          <w:rFonts w:ascii="Bookman Old Style" w:eastAsia="Arial Unicode MS" w:hAnsi="Bookman Old Style" w:cs="Arial Unicode MS"/>
          <w:i/>
          <w:sz w:val="24"/>
          <w:szCs w:val="24"/>
        </w:rPr>
      </w:pPr>
      <w:r w:rsidRPr="00372160">
        <w:rPr>
          <w:rFonts w:ascii="Bookman Old Style" w:eastAsia="Arial Unicode MS" w:hAnsi="Bookman Old Style" w:cs="Arial Unicode MS"/>
          <w:i/>
          <w:sz w:val="24"/>
          <w:szCs w:val="24"/>
        </w:rPr>
        <w:t>“Right now Sata’s Patriotic Fro</w:t>
      </w:r>
      <w:r w:rsidR="00232A59">
        <w:rPr>
          <w:rFonts w:ascii="Bookman Old Style" w:eastAsia="Arial Unicode MS" w:hAnsi="Bookman Old Style" w:cs="Arial Unicode MS"/>
          <w:i/>
          <w:sz w:val="24"/>
          <w:szCs w:val="24"/>
        </w:rPr>
        <w:t>nt is embroiled in a serious feud with Hakainde Hic</w:t>
      </w:r>
      <w:r w:rsidRPr="00372160">
        <w:rPr>
          <w:rFonts w:ascii="Bookman Old Style" w:eastAsia="Arial Unicode MS" w:hAnsi="Bookman Old Style" w:cs="Arial Unicode MS"/>
          <w:i/>
          <w:sz w:val="24"/>
          <w:szCs w:val="24"/>
        </w:rPr>
        <w:t xml:space="preserve">hilema’s UPND in </w:t>
      </w:r>
      <w:r w:rsidR="005C2650">
        <w:rPr>
          <w:rFonts w:ascii="Bookman Old Style" w:eastAsia="Arial Unicode MS" w:hAnsi="Bookman Old Style" w:cs="Arial Unicode MS"/>
          <w:i/>
          <w:sz w:val="24"/>
          <w:szCs w:val="24"/>
        </w:rPr>
        <w:t xml:space="preserve">a </w:t>
      </w:r>
      <w:r w:rsidRPr="00372160">
        <w:rPr>
          <w:rFonts w:ascii="Bookman Old Style" w:eastAsia="Arial Unicode MS" w:hAnsi="Bookman Old Style" w:cs="Arial Unicode MS"/>
          <w:i/>
          <w:sz w:val="24"/>
          <w:szCs w:val="24"/>
        </w:rPr>
        <w:t>relationship referred to as the PF/UPND pact.....</w:t>
      </w:r>
    </w:p>
    <w:p w:rsidR="00372160" w:rsidRPr="00372160" w:rsidRDefault="00372160" w:rsidP="00372160">
      <w:pPr>
        <w:spacing w:before="240" w:line="240" w:lineRule="auto"/>
        <w:jc w:val="both"/>
        <w:rPr>
          <w:rFonts w:ascii="Bookman Old Style" w:eastAsia="Arial Unicode MS" w:hAnsi="Bookman Old Style" w:cs="Arial Unicode MS"/>
          <w:i/>
          <w:sz w:val="24"/>
          <w:szCs w:val="24"/>
        </w:rPr>
      </w:pPr>
      <w:r w:rsidRPr="00372160">
        <w:rPr>
          <w:rFonts w:ascii="Bookman Old Style" w:eastAsia="Arial Unicode MS" w:hAnsi="Bookman Old Style" w:cs="Arial Unicode MS"/>
          <w:i/>
          <w:sz w:val="24"/>
          <w:szCs w:val="24"/>
        </w:rPr>
        <w:t>.....The pact is being described in t</w:t>
      </w:r>
      <w:r w:rsidR="00232A59">
        <w:rPr>
          <w:rFonts w:ascii="Bookman Old Style" w:eastAsia="Arial Unicode MS" w:hAnsi="Bookman Old Style" w:cs="Arial Unicode MS"/>
          <w:i/>
          <w:sz w:val="24"/>
          <w:szCs w:val="24"/>
        </w:rPr>
        <w:t>his manner by some people I am getting in</w:t>
      </w:r>
      <w:r w:rsidRPr="00372160">
        <w:rPr>
          <w:rFonts w:ascii="Bookman Old Style" w:eastAsia="Arial Unicode MS" w:hAnsi="Bookman Old Style" w:cs="Arial Unicode MS"/>
          <w:i/>
          <w:sz w:val="24"/>
          <w:szCs w:val="24"/>
        </w:rPr>
        <w:t xml:space="preserve"> contact with who say they are keen followers of “Stand up for Zambia.” Other are simply wondering if a ruffian or looper and a gentleman can really co-exist....</w:t>
      </w:r>
    </w:p>
    <w:p w:rsidR="00372160" w:rsidRDefault="00372160"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statement goes on to state that:</w:t>
      </w:r>
    </w:p>
    <w:p w:rsidR="00372160" w:rsidRPr="0039099F" w:rsidRDefault="00372160" w:rsidP="0039099F">
      <w:pPr>
        <w:spacing w:before="240" w:line="240" w:lineRule="auto"/>
        <w:jc w:val="both"/>
        <w:rPr>
          <w:rFonts w:ascii="Bookman Old Style" w:eastAsia="Arial Unicode MS" w:hAnsi="Bookman Old Style" w:cs="Arial Unicode MS"/>
          <w:i/>
          <w:sz w:val="24"/>
          <w:szCs w:val="24"/>
        </w:rPr>
      </w:pPr>
      <w:r w:rsidRPr="0039099F">
        <w:rPr>
          <w:rFonts w:ascii="Bookman Old Style" w:eastAsia="Arial Unicode MS" w:hAnsi="Bookman Old Style" w:cs="Arial Unicode MS"/>
          <w:i/>
          <w:sz w:val="24"/>
          <w:szCs w:val="24"/>
        </w:rPr>
        <w:t>“One thing that we all ought to bear in mind, always remember that Zambia is not only about two tribe</w:t>
      </w:r>
      <w:r w:rsidR="00232A59">
        <w:rPr>
          <w:rFonts w:ascii="Bookman Old Style" w:eastAsia="Arial Unicode MS" w:hAnsi="Bookman Old Style" w:cs="Arial Unicode MS"/>
          <w:i/>
          <w:sz w:val="24"/>
          <w:szCs w:val="24"/>
        </w:rPr>
        <w:t>s</w:t>
      </w:r>
      <w:r w:rsidRPr="0039099F">
        <w:rPr>
          <w:rFonts w:ascii="Bookman Old Style" w:eastAsia="Arial Unicode MS" w:hAnsi="Bookman Old Style" w:cs="Arial Unicode MS"/>
          <w:i/>
          <w:sz w:val="24"/>
          <w:szCs w:val="24"/>
        </w:rPr>
        <w:t>; Tonga and Bemba. No matter how big they may be perceived to be</w:t>
      </w:r>
      <w:r w:rsidR="00232A59">
        <w:rPr>
          <w:rFonts w:ascii="Bookman Old Style" w:eastAsia="Arial Unicode MS" w:hAnsi="Bookman Old Style" w:cs="Arial Unicode MS"/>
          <w:i/>
          <w:sz w:val="24"/>
          <w:szCs w:val="24"/>
        </w:rPr>
        <w:t>,</w:t>
      </w:r>
      <w:r w:rsidRPr="0039099F">
        <w:rPr>
          <w:rFonts w:ascii="Bookman Old Style" w:eastAsia="Arial Unicode MS" w:hAnsi="Bookman Old Style" w:cs="Arial Unicode MS"/>
          <w:i/>
          <w:sz w:val="24"/>
          <w:szCs w:val="24"/>
        </w:rPr>
        <w:t xml:space="preserve"> Zambia is run by 73 tribes and perhaps a little more, all working together for mother Zambia. Now if Sata and H</w:t>
      </w:r>
      <w:r w:rsidR="00232A59">
        <w:rPr>
          <w:rFonts w:ascii="Bookman Old Style" w:eastAsia="Arial Unicode MS" w:hAnsi="Bookman Old Style" w:cs="Arial Unicode MS"/>
          <w:i/>
          <w:sz w:val="24"/>
          <w:szCs w:val="24"/>
        </w:rPr>
        <w:t>ichilema think they can get to S</w:t>
      </w:r>
      <w:r w:rsidRPr="0039099F">
        <w:rPr>
          <w:rFonts w:ascii="Bookman Old Style" w:eastAsia="Arial Unicode MS" w:hAnsi="Bookman Old Style" w:cs="Arial Unicode MS"/>
          <w:i/>
          <w:sz w:val="24"/>
          <w:szCs w:val="24"/>
        </w:rPr>
        <w:t>tate House riding on the tribal factor, they are wasting their time, and energy</w:t>
      </w:r>
      <w:r w:rsidR="005C2650">
        <w:rPr>
          <w:rFonts w:ascii="Bookman Old Style" w:eastAsia="Arial Unicode MS" w:hAnsi="Bookman Old Style" w:cs="Arial Unicode MS"/>
          <w:i/>
          <w:sz w:val="24"/>
          <w:szCs w:val="24"/>
        </w:rPr>
        <w:t>.</w:t>
      </w:r>
      <w:r w:rsidRPr="0039099F">
        <w:rPr>
          <w:rFonts w:ascii="Bookman Old Style" w:eastAsia="Arial Unicode MS" w:hAnsi="Bookman Old Style" w:cs="Arial Unicode MS"/>
          <w:i/>
          <w:sz w:val="24"/>
          <w:szCs w:val="24"/>
        </w:rPr>
        <w:t>”</w:t>
      </w:r>
    </w:p>
    <w:p w:rsidR="00372160" w:rsidRDefault="00372160" w:rsidP="0008482F">
      <w:pPr>
        <w:spacing w:before="240" w:line="360" w:lineRule="auto"/>
        <w:jc w:val="both"/>
        <w:rPr>
          <w:rFonts w:ascii="Bookman Old Style" w:eastAsia="Arial Unicode MS" w:hAnsi="Bookman Old Style" w:cs="Arial Unicode MS"/>
          <w:sz w:val="24"/>
          <w:szCs w:val="24"/>
        </w:rPr>
      </w:pPr>
    </w:p>
    <w:p w:rsidR="0039099F" w:rsidRDefault="00372160"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plaintiff’s com</w:t>
      </w:r>
      <w:r w:rsidR="009B0838">
        <w:rPr>
          <w:rFonts w:ascii="Bookman Old Style" w:eastAsia="Arial Unicode MS" w:hAnsi="Bookman Old Style" w:cs="Arial Unicode MS"/>
          <w:sz w:val="24"/>
          <w:szCs w:val="24"/>
        </w:rPr>
        <w:t xml:space="preserve">plaint in this regard arises from </w:t>
      </w:r>
      <w:r w:rsidR="004C64E8">
        <w:rPr>
          <w:rFonts w:ascii="Bookman Old Style" w:eastAsia="Arial Unicode MS" w:hAnsi="Bookman Old Style" w:cs="Arial Unicode MS"/>
          <w:sz w:val="24"/>
          <w:szCs w:val="24"/>
        </w:rPr>
        <w:t xml:space="preserve">the suggestion </w:t>
      </w:r>
      <w:r w:rsidR="00232A59">
        <w:rPr>
          <w:rFonts w:ascii="Bookman Old Style" w:eastAsia="Arial Unicode MS" w:hAnsi="Bookman Old Style" w:cs="Arial Unicode MS"/>
          <w:sz w:val="24"/>
          <w:szCs w:val="24"/>
        </w:rPr>
        <w:t>that</w:t>
      </w:r>
      <w:r w:rsidR="005C2650">
        <w:rPr>
          <w:rFonts w:ascii="Bookman Old Style" w:eastAsia="Arial Unicode MS" w:hAnsi="Bookman Old Style" w:cs="Arial Unicode MS"/>
          <w:sz w:val="24"/>
          <w:szCs w:val="24"/>
        </w:rPr>
        <w:t xml:space="preserve"> </w:t>
      </w:r>
      <w:r w:rsidR="0031606B">
        <w:rPr>
          <w:rFonts w:ascii="Bookman Old Style" w:eastAsia="Arial Unicode MS" w:hAnsi="Bookman Old Style" w:cs="Arial Unicode MS"/>
          <w:sz w:val="24"/>
          <w:szCs w:val="24"/>
        </w:rPr>
        <w:t xml:space="preserve">he drove the </w:t>
      </w:r>
      <w:r w:rsidR="009A7B1B">
        <w:rPr>
          <w:rFonts w:ascii="Bookman Old Style" w:eastAsia="Arial Unicode MS" w:hAnsi="Bookman Old Style" w:cs="Arial Unicode MS"/>
          <w:sz w:val="24"/>
          <w:szCs w:val="24"/>
        </w:rPr>
        <w:t>Patriotic Front into the</w:t>
      </w:r>
      <w:r w:rsidR="0039099F">
        <w:rPr>
          <w:rFonts w:ascii="Bookman Old Style" w:eastAsia="Arial Unicode MS" w:hAnsi="Bookman Old Style" w:cs="Arial Unicode MS"/>
          <w:sz w:val="24"/>
          <w:szCs w:val="24"/>
        </w:rPr>
        <w:t xml:space="preserve"> pact with UPND on</w:t>
      </w:r>
      <w:r w:rsidR="00232A59">
        <w:rPr>
          <w:rFonts w:ascii="Bookman Old Style" w:eastAsia="Arial Unicode MS" w:hAnsi="Bookman Old Style" w:cs="Arial Unicode MS"/>
          <w:sz w:val="24"/>
          <w:szCs w:val="24"/>
        </w:rPr>
        <w:t xml:space="preserve"> the basis of</w:t>
      </w:r>
      <w:r w:rsidR="0039099F">
        <w:rPr>
          <w:rFonts w:ascii="Bookman Old Style" w:eastAsia="Arial Unicode MS" w:hAnsi="Bookman Old Style" w:cs="Arial Unicode MS"/>
          <w:sz w:val="24"/>
          <w:szCs w:val="24"/>
        </w:rPr>
        <w:t xml:space="preserve"> tribali</w:t>
      </w:r>
      <w:r w:rsidR="00742C1A">
        <w:rPr>
          <w:rFonts w:ascii="Bookman Old Style" w:eastAsia="Arial Unicode MS" w:hAnsi="Bookman Old Style" w:cs="Arial Unicode MS"/>
          <w:sz w:val="24"/>
          <w:szCs w:val="24"/>
        </w:rPr>
        <w:t>sm. The practice of tribalism in</w:t>
      </w:r>
      <w:r w:rsidR="0039099F">
        <w:rPr>
          <w:rFonts w:ascii="Bookman Old Style" w:eastAsia="Arial Unicode MS" w:hAnsi="Bookman Old Style" w:cs="Arial Unicode MS"/>
          <w:sz w:val="24"/>
          <w:szCs w:val="24"/>
        </w:rPr>
        <w:t xml:space="preserve"> politics is </w:t>
      </w:r>
      <w:r w:rsidR="0031606B">
        <w:rPr>
          <w:rFonts w:ascii="Bookman Old Style" w:eastAsia="Arial Unicode MS" w:hAnsi="Bookman Old Style" w:cs="Arial Unicode MS"/>
          <w:sz w:val="24"/>
          <w:szCs w:val="24"/>
        </w:rPr>
        <w:t xml:space="preserve">no doubt </w:t>
      </w:r>
      <w:r w:rsidR="0039099F">
        <w:rPr>
          <w:rFonts w:ascii="Bookman Old Style" w:eastAsia="Arial Unicode MS" w:hAnsi="Bookman Old Style" w:cs="Arial Unicode MS"/>
          <w:sz w:val="24"/>
          <w:szCs w:val="24"/>
        </w:rPr>
        <w:t>frowned upon. Therefore</w:t>
      </w:r>
      <w:r w:rsidR="00232A59">
        <w:rPr>
          <w:rFonts w:ascii="Bookman Old Style" w:eastAsia="Arial Unicode MS" w:hAnsi="Bookman Old Style" w:cs="Arial Unicode MS"/>
          <w:sz w:val="24"/>
          <w:szCs w:val="24"/>
        </w:rPr>
        <w:t>,</w:t>
      </w:r>
      <w:r w:rsidR="0039099F">
        <w:rPr>
          <w:rFonts w:ascii="Bookman Old Style" w:eastAsia="Arial Unicode MS" w:hAnsi="Bookman Old Style" w:cs="Arial Unicode MS"/>
          <w:sz w:val="24"/>
          <w:szCs w:val="24"/>
        </w:rPr>
        <w:t xml:space="preserve"> the aspersion that the pact was founded on tribalism is likely to b</w:t>
      </w:r>
      <w:r w:rsidR="0031606B">
        <w:rPr>
          <w:rFonts w:ascii="Bookman Old Style" w:eastAsia="Arial Unicode MS" w:hAnsi="Bookman Old Style" w:cs="Arial Unicode MS"/>
          <w:sz w:val="24"/>
          <w:szCs w:val="24"/>
        </w:rPr>
        <w:t>e viewed dimly by right thinking</w:t>
      </w:r>
      <w:r w:rsidR="0039099F">
        <w:rPr>
          <w:rFonts w:ascii="Bookman Old Style" w:eastAsia="Arial Unicode MS" w:hAnsi="Bookman Old Style" w:cs="Arial Unicode MS"/>
          <w:sz w:val="24"/>
          <w:szCs w:val="24"/>
        </w:rPr>
        <w:t xml:space="preserve"> members of society. I also in this context</w:t>
      </w:r>
      <w:r w:rsidR="00742C1A">
        <w:rPr>
          <w:rFonts w:ascii="Bookman Old Style" w:eastAsia="Arial Unicode MS" w:hAnsi="Bookman Old Style" w:cs="Arial Unicode MS"/>
          <w:sz w:val="24"/>
          <w:szCs w:val="24"/>
        </w:rPr>
        <w:t xml:space="preserve"> note</w:t>
      </w:r>
      <w:r w:rsidR="0039099F">
        <w:rPr>
          <w:rFonts w:ascii="Bookman Old Style" w:eastAsia="Arial Unicode MS" w:hAnsi="Bookman Old Style" w:cs="Arial Unicode MS"/>
          <w:sz w:val="24"/>
          <w:szCs w:val="24"/>
        </w:rPr>
        <w:t xml:space="preserve"> the suggestion</w:t>
      </w:r>
      <w:r w:rsidR="00232A59">
        <w:rPr>
          <w:rFonts w:ascii="Bookman Old Style" w:eastAsia="Arial Unicode MS" w:hAnsi="Bookman Old Style" w:cs="Arial Unicode MS"/>
          <w:sz w:val="24"/>
          <w:szCs w:val="24"/>
        </w:rPr>
        <w:t xml:space="preserve"> by the defendants that the plaintiff is a “</w:t>
      </w:r>
      <w:r w:rsidR="00232A59" w:rsidRPr="00742C1A">
        <w:rPr>
          <w:rFonts w:ascii="Bookman Old Style" w:eastAsia="Arial Unicode MS" w:hAnsi="Bookman Old Style" w:cs="Arial Unicode MS"/>
          <w:i/>
          <w:sz w:val="24"/>
          <w:szCs w:val="24"/>
        </w:rPr>
        <w:t>ruffian</w:t>
      </w:r>
      <w:r w:rsidR="00232A59">
        <w:rPr>
          <w:rFonts w:ascii="Bookman Old Style" w:eastAsia="Arial Unicode MS" w:hAnsi="Bookman Old Style" w:cs="Arial Unicode MS"/>
          <w:sz w:val="24"/>
          <w:szCs w:val="24"/>
        </w:rPr>
        <w:t>.</w:t>
      </w:r>
      <w:r w:rsidR="0039099F">
        <w:rPr>
          <w:rFonts w:ascii="Bookman Old Style" w:eastAsia="Arial Unicode MS" w:hAnsi="Bookman Old Style" w:cs="Arial Unicode MS"/>
          <w:sz w:val="24"/>
          <w:szCs w:val="24"/>
        </w:rPr>
        <w:t>”</w:t>
      </w:r>
      <w:r w:rsidR="005C2650">
        <w:rPr>
          <w:rFonts w:ascii="Bookman Old Style" w:eastAsia="Arial Unicode MS" w:hAnsi="Bookman Old Style" w:cs="Arial Unicode MS"/>
          <w:sz w:val="24"/>
          <w:szCs w:val="24"/>
        </w:rPr>
        <w:t xml:space="preserve"> </w:t>
      </w:r>
      <w:r w:rsidR="0031606B">
        <w:rPr>
          <w:rFonts w:ascii="Bookman Old Style" w:eastAsia="Arial Unicode MS" w:hAnsi="Bookman Old Style" w:cs="Arial Unicode MS"/>
          <w:sz w:val="24"/>
          <w:szCs w:val="24"/>
        </w:rPr>
        <w:t>I will address</w:t>
      </w:r>
      <w:r w:rsidR="0016683D">
        <w:rPr>
          <w:rFonts w:ascii="Bookman Old Style" w:eastAsia="Arial Unicode MS" w:hAnsi="Bookman Old Style" w:cs="Arial Unicode MS"/>
          <w:sz w:val="24"/>
          <w:szCs w:val="24"/>
        </w:rPr>
        <w:t xml:space="preserve"> this</w:t>
      </w:r>
      <w:r w:rsidR="0031606B">
        <w:rPr>
          <w:rFonts w:ascii="Bookman Old Style" w:eastAsia="Arial Unicode MS" w:hAnsi="Bookman Old Style" w:cs="Arial Unicode MS"/>
          <w:sz w:val="24"/>
          <w:szCs w:val="24"/>
        </w:rPr>
        <w:t xml:space="preserve"> aspersion in more detail later</w:t>
      </w:r>
      <w:r w:rsidR="0016683D">
        <w:rPr>
          <w:rFonts w:ascii="Bookman Old Style" w:eastAsia="Arial Unicode MS" w:hAnsi="Bookman Old Style" w:cs="Arial Unicode MS"/>
          <w:sz w:val="24"/>
          <w:szCs w:val="24"/>
        </w:rPr>
        <w:t>.</w:t>
      </w:r>
      <w:r w:rsidR="0031606B">
        <w:rPr>
          <w:rFonts w:ascii="Bookman Old Style" w:eastAsia="Arial Unicode MS" w:hAnsi="Bookman Old Style" w:cs="Arial Unicode MS"/>
          <w:sz w:val="24"/>
          <w:szCs w:val="24"/>
        </w:rPr>
        <w:t xml:space="preserve"> </w:t>
      </w:r>
      <w:r w:rsidR="005C2650">
        <w:rPr>
          <w:rFonts w:ascii="Bookman Old Style" w:eastAsia="Arial Unicode MS" w:hAnsi="Bookman Old Style" w:cs="Arial Unicode MS"/>
          <w:sz w:val="24"/>
          <w:szCs w:val="24"/>
        </w:rPr>
        <w:t>Accordingly</w:t>
      </w:r>
      <w:r w:rsidR="0016683D">
        <w:rPr>
          <w:rFonts w:ascii="Bookman Old Style" w:eastAsia="Arial Unicode MS" w:hAnsi="Bookman Old Style" w:cs="Arial Unicode MS"/>
          <w:sz w:val="24"/>
          <w:szCs w:val="24"/>
        </w:rPr>
        <w:t>,</w:t>
      </w:r>
      <w:r w:rsidR="005C2650">
        <w:rPr>
          <w:rFonts w:ascii="Bookman Old Style" w:eastAsia="Arial Unicode MS" w:hAnsi="Bookman Old Style" w:cs="Arial Unicode MS"/>
          <w:sz w:val="24"/>
          <w:szCs w:val="24"/>
        </w:rPr>
        <w:t xml:space="preserve"> I find</w:t>
      </w:r>
      <w:r w:rsidR="00232A59">
        <w:rPr>
          <w:rFonts w:ascii="Bookman Old Style" w:eastAsia="Arial Unicode MS" w:hAnsi="Bookman Old Style" w:cs="Arial Unicode MS"/>
          <w:sz w:val="24"/>
          <w:szCs w:val="24"/>
        </w:rPr>
        <w:t xml:space="preserve"> the preceding instalment of the statement </w:t>
      </w:r>
      <w:r w:rsidR="005C2650">
        <w:rPr>
          <w:rFonts w:ascii="Bookman Old Style" w:eastAsia="Arial Unicode MS" w:hAnsi="Bookman Old Style" w:cs="Arial Unicode MS"/>
          <w:sz w:val="24"/>
          <w:szCs w:val="24"/>
        </w:rPr>
        <w:t xml:space="preserve">to be </w:t>
      </w:r>
      <w:r w:rsidR="00232A59">
        <w:rPr>
          <w:rFonts w:ascii="Bookman Old Style" w:eastAsia="Arial Unicode MS" w:hAnsi="Bookman Old Style" w:cs="Arial Unicode MS"/>
          <w:sz w:val="24"/>
          <w:szCs w:val="24"/>
        </w:rPr>
        <w:t xml:space="preserve">defamatory. </w:t>
      </w:r>
    </w:p>
    <w:p w:rsidR="0039099F" w:rsidRDefault="0039099F" w:rsidP="0008482F">
      <w:pPr>
        <w:spacing w:before="240" w:line="360" w:lineRule="auto"/>
        <w:jc w:val="both"/>
        <w:rPr>
          <w:rFonts w:ascii="Bookman Old Style" w:eastAsia="Arial Unicode MS" w:hAnsi="Bookman Old Style" w:cs="Arial Unicode MS"/>
          <w:sz w:val="24"/>
          <w:szCs w:val="24"/>
        </w:rPr>
      </w:pPr>
    </w:p>
    <w:p w:rsidR="0039099F" w:rsidRDefault="0039099F"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fifth instalment states as follows:</w:t>
      </w:r>
    </w:p>
    <w:p w:rsidR="00483D2F" w:rsidRPr="003A4909" w:rsidRDefault="0039099F" w:rsidP="003A4909">
      <w:pPr>
        <w:spacing w:before="240" w:line="240" w:lineRule="auto"/>
        <w:jc w:val="both"/>
        <w:rPr>
          <w:rFonts w:ascii="Bookman Old Style" w:eastAsia="Arial Unicode MS" w:hAnsi="Bookman Old Style" w:cs="Arial Unicode MS"/>
          <w:i/>
          <w:sz w:val="24"/>
          <w:szCs w:val="24"/>
        </w:rPr>
      </w:pPr>
      <w:r w:rsidRPr="003A4909">
        <w:rPr>
          <w:rFonts w:ascii="Bookman Old Style" w:eastAsia="Arial Unicode MS" w:hAnsi="Bookman Old Style" w:cs="Arial Unicode MS"/>
          <w:i/>
          <w:sz w:val="24"/>
          <w:szCs w:val="24"/>
        </w:rPr>
        <w:lastRenderedPageBreak/>
        <w:t>“The whole thing about the Red Card campaign is not Father Bwalya’s own ba</w:t>
      </w:r>
      <w:r w:rsidR="00232A59">
        <w:rPr>
          <w:rFonts w:ascii="Bookman Old Style" w:eastAsia="Arial Unicode MS" w:hAnsi="Bookman Old Style" w:cs="Arial Unicode MS"/>
          <w:i/>
          <w:sz w:val="24"/>
          <w:szCs w:val="24"/>
        </w:rPr>
        <w:t>b</w:t>
      </w:r>
      <w:r w:rsidRPr="003A4909">
        <w:rPr>
          <w:rFonts w:ascii="Bookman Old Style" w:eastAsia="Arial Unicode MS" w:hAnsi="Bookman Old Style" w:cs="Arial Unicode MS"/>
          <w:i/>
          <w:sz w:val="24"/>
          <w:szCs w:val="24"/>
        </w:rPr>
        <w:t>y as such but was coined by the Patr</w:t>
      </w:r>
      <w:r w:rsidR="00742C1A">
        <w:rPr>
          <w:rFonts w:ascii="Bookman Old Style" w:eastAsia="Arial Unicode MS" w:hAnsi="Bookman Old Style" w:cs="Arial Unicode MS"/>
          <w:i/>
          <w:sz w:val="24"/>
          <w:szCs w:val="24"/>
        </w:rPr>
        <w:t>iotic Front, the Post Newspaper</w:t>
      </w:r>
      <w:r w:rsidRPr="003A4909">
        <w:rPr>
          <w:rFonts w:ascii="Bookman Old Style" w:eastAsia="Arial Unicode MS" w:hAnsi="Bookman Old Style" w:cs="Arial Unicode MS"/>
          <w:i/>
          <w:sz w:val="24"/>
          <w:szCs w:val="24"/>
        </w:rPr>
        <w:t xml:space="preserve">, and in association with some leaders of the </w:t>
      </w:r>
      <w:r w:rsidR="003A4909" w:rsidRPr="003A4909">
        <w:rPr>
          <w:rFonts w:ascii="Bookman Old Style" w:eastAsia="Arial Unicode MS" w:hAnsi="Bookman Old Style" w:cs="Arial Unicode MS"/>
          <w:i/>
          <w:sz w:val="24"/>
          <w:szCs w:val="24"/>
        </w:rPr>
        <w:t>Catholic Church</w:t>
      </w:r>
      <w:r w:rsidRPr="003A4909">
        <w:rPr>
          <w:rFonts w:ascii="Bookman Old Style" w:eastAsia="Arial Unicode MS" w:hAnsi="Bookman Old Style" w:cs="Arial Unicode MS"/>
          <w:i/>
          <w:sz w:val="24"/>
          <w:szCs w:val="24"/>
        </w:rPr>
        <w:t>.”</w:t>
      </w:r>
    </w:p>
    <w:p w:rsidR="003A4909" w:rsidRDefault="00483D2F"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plaintiff</w:t>
      </w:r>
      <w:r w:rsidR="00E97DD3">
        <w:rPr>
          <w:rFonts w:ascii="Bookman Old Style" w:eastAsia="Arial Unicode MS" w:hAnsi="Bookman Old Style" w:cs="Arial Unicode MS"/>
          <w:sz w:val="24"/>
          <w:szCs w:val="24"/>
        </w:rPr>
        <w:t>’s</w:t>
      </w:r>
      <w:r>
        <w:rPr>
          <w:rFonts w:ascii="Bookman Old Style" w:eastAsia="Arial Unicode MS" w:hAnsi="Bookman Old Style" w:cs="Arial Unicode MS"/>
          <w:sz w:val="24"/>
          <w:szCs w:val="24"/>
        </w:rPr>
        <w:t xml:space="preserve"> complaint </w:t>
      </w:r>
      <w:r w:rsidR="00E97DD3">
        <w:rPr>
          <w:rFonts w:ascii="Bookman Old Style" w:eastAsia="Arial Unicode MS" w:hAnsi="Bookman Old Style" w:cs="Arial Unicode MS"/>
          <w:sz w:val="24"/>
          <w:szCs w:val="24"/>
        </w:rPr>
        <w:t xml:space="preserve">here </w:t>
      </w:r>
      <w:r>
        <w:rPr>
          <w:rFonts w:ascii="Bookman Old Style" w:eastAsia="Arial Unicode MS" w:hAnsi="Bookman Old Style" w:cs="Arial Unicode MS"/>
          <w:sz w:val="24"/>
          <w:szCs w:val="24"/>
        </w:rPr>
        <w:t>is twofold. First, that the plaintiff has schemed with civil soc</w:t>
      </w:r>
      <w:r w:rsidR="00E97DD3">
        <w:rPr>
          <w:rFonts w:ascii="Bookman Old Style" w:eastAsia="Arial Unicode MS" w:hAnsi="Bookman Old Style" w:cs="Arial Unicode MS"/>
          <w:sz w:val="24"/>
          <w:szCs w:val="24"/>
        </w:rPr>
        <w:t xml:space="preserve">iety, the Catholic Church, and </w:t>
      </w:r>
      <w:r w:rsidR="00E97DD3" w:rsidRPr="005C2650">
        <w:rPr>
          <w:rFonts w:ascii="Bookman Old Style" w:eastAsia="Arial Unicode MS" w:hAnsi="Bookman Old Style" w:cs="Arial Unicode MS"/>
          <w:i/>
          <w:sz w:val="24"/>
          <w:szCs w:val="24"/>
        </w:rPr>
        <w:t>Change for L</w:t>
      </w:r>
      <w:r w:rsidRPr="005C2650">
        <w:rPr>
          <w:rFonts w:ascii="Bookman Old Style" w:eastAsia="Arial Unicode MS" w:hAnsi="Bookman Old Style" w:cs="Arial Unicode MS"/>
          <w:i/>
          <w:sz w:val="24"/>
          <w:szCs w:val="24"/>
        </w:rPr>
        <w:t>ife</w:t>
      </w:r>
      <w:r w:rsidR="00742C1A">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to illegitimately remove the government of President Banda. Second, that he initiated the </w:t>
      </w:r>
      <w:r w:rsidRPr="005C2650">
        <w:rPr>
          <w:rFonts w:ascii="Bookman Old Style" w:eastAsia="Arial Unicode MS" w:hAnsi="Bookman Old Style" w:cs="Arial Unicode MS"/>
          <w:i/>
          <w:sz w:val="24"/>
          <w:szCs w:val="24"/>
        </w:rPr>
        <w:t>Red</w:t>
      </w:r>
      <w:r w:rsidR="005C2650">
        <w:rPr>
          <w:rFonts w:ascii="Bookman Old Style" w:eastAsia="Arial Unicode MS" w:hAnsi="Bookman Old Style" w:cs="Arial Unicode MS"/>
          <w:i/>
          <w:sz w:val="24"/>
          <w:szCs w:val="24"/>
        </w:rPr>
        <w:t xml:space="preserve"> C</w:t>
      </w:r>
      <w:r w:rsidR="00742C1A" w:rsidRPr="005C2650">
        <w:rPr>
          <w:rFonts w:ascii="Bookman Old Style" w:eastAsia="Arial Unicode MS" w:hAnsi="Bookman Old Style" w:cs="Arial Unicode MS"/>
          <w:i/>
          <w:sz w:val="24"/>
          <w:szCs w:val="24"/>
        </w:rPr>
        <w:t xml:space="preserve">ard </w:t>
      </w:r>
      <w:r w:rsidR="00742C1A">
        <w:rPr>
          <w:rFonts w:ascii="Bookman Old Style" w:eastAsia="Arial Unicode MS" w:hAnsi="Bookman Old Style" w:cs="Arial Unicode MS"/>
          <w:sz w:val="24"/>
          <w:szCs w:val="24"/>
        </w:rPr>
        <w:t>c</w:t>
      </w:r>
      <w:r>
        <w:rPr>
          <w:rFonts w:ascii="Bookman Old Style" w:eastAsia="Arial Unicode MS" w:hAnsi="Bookman Old Style" w:cs="Arial Unicode MS"/>
          <w:sz w:val="24"/>
          <w:szCs w:val="24"/>
        </w:rPr>
        <w:t>ampaign</w:t>
      </w:r>
      <w:r w:rsidR="00742C1A">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by Father Bwalya.</w:t>
      </w:r>
      <w:r w:rsidR="003A4909">
        <w:rPr>
          <w:rFonts w:ascii="Bookman Old Style" w:eastAsia="Arial Unicode MS" w:hAnsi="Bookman Old Style" w:cs="Arial Unicode MS"/>
          <w:sz w:val="24"/>
          <w:szCs w:val="24"/>
        </w:rPr>
        <w:t xml:space="preserve"> The first limb of the complaint </w:t>
      </w:r>
      <w:r w:rsidR="0086430B">
        <w:rPr>
          <w:rFonts w:ascii="Bookman Old Style" w:eastAsia="Arial Unicode MS" w:hAnsi="Bookman Old Style" w:cs="Arial Unicode MS"/>
          <w:sz w:val="24"/>
          <w:szCs w:val="24"/>
        </w:rPr>
        <w:t xml:space="preserve">is not founded </w:t>
      </w:r>
      <w:r w:rsidR="00D7763E">
        <w:rPr>
          <w:rFonts w:ascii="Bookman Old Style" w:eastAsia="Arial Unicode MS" w:hAnsi="Bookman Old Style" w:cs="Arial Unicode MS"/>
          <w:sz w:val="24"/>
          <w:szCs w:val="24"/>
        </w:rPr>
        <w:t xml:space="preserve">in my opinion </w:t>
      </w:r>
      <w:r w:rsidR="0086430B">
        <w:rPr>
          <w:rFonts w:ascii="Bookman Old Style" w:eastAsia="Arial Unicode MS" w:hAnsi="Bookman Old Style" w:cs="Arial Unicode MS"/>
          <w:sz w:val="24"/>
          <w:szCs w:val="24"/>
        </w:rPr>
        <w:t xml:space="preserve">on the statement complained </w:t>
      </w:r>
      <w:r w:rsidR="005C2650">
        <w:rPr>
          <w:rFonts w:ascii="Bookman Old Style" w:eastAsia="Arial Unicode MS" w:hAnsi="Bookman Old Style" w:cs="Arial Unicode MS"/>
          <w:sz w:val="24"/>
          <w:szCs w:val="24"/>
        </w:rPr>
        <w:t>of</w:t>
      </w:r>
      <w:r w:rsidR="00E97DD3">
        <w:rPr>
          <w:rFonts w:ascii="Bookman Old Style" w:eastAsia="Arial Unicode MS" w:hAnsi="Bookman Old Style" w:cs="Arial Unicode MS"/>
          <w:sz w:val="24"/>
          <w:szCs w:val="24"/>
        </w:rPr>
        <w:t xml:space="preserve">. </w:t>
      </w:r>
      <w:r w:rsidR="00742C1A">
        <w:rPr>
          <w:rFonts w:ascii="Bookman Old Style" w:eastAsia="Arial Unicode MS" w:hAnsi="Bookman Old Style" w:cs="Arial Unicode MS"/>
          <w:sz w:val="24"/>
          <w:szCs w:val="24"/>
        </w:rPr>
        <w:t xml:space="preserve">And therefore cannot be said to be defamatory. </w:t>
      </w:r>
      <w:r w:rsidR="00E97DD3">
        <w:rPr>
          <w:rFonts w:ascii="Bookman Old Style" w:eastAsia="Arial Unicode MS" w:hAnsi="Bookman Old Style" w:cs="Arial Unicode MS"/>
          <w:sz w:val="24"/>
          <w:szCs w:val="24"/>
        </w:rPr>
        <w:t>However, a</w:t>
      </w:r>
      <w:r w:rsidR="003A4909">
        <w:rPr>
          <w:rFonts w:ascii="Bookman Old Style" w:eastAsia="Arial Unicode MS" w:hAnsi="Bookman Old Style" w:cs="Arial Unicode MS"/>
          <w:sz w:val="24"/>
          <w:szCs w:val="24"/>
        </w:rPr>
        <w:t>s regards the second limb</w:t>
      </w:r>
      <w:r w:rsidR="00D7763E">
        <w:rPr>
          <w:rFonts w:ascii="Bookman Old Style" w:eastAsia="Arial Unicode MS" w:hAnsi="Bookman Old Style" w:cs="Arial Unicode MS"/>
          <w:sz w:val="24"/>
          <w:szCs w:val="24"/>
        </w:rPr>
        <w:t>,</w:t>
      </w:r>
      <w:r w:rsidR="003A4909">
        <w:rPr>
          <w:rFonts w:ascii="Bookman Old Style" w:eastAsia="Arial Unicode MS" w:hAnsi="Bookman Old Style" w:cs="Arial Unicode MS"/>
          <w:sz w:val="24"/>
          <w:szCs w:val="24"/>
        </w:rPr>
        <w:t xml:space="preserve"> </w:t>
      </w:r>
      <w:r w:rsidR="0086430B">
        <w:rPr>
          <w:rFonts w:ascii="Bookman Old Style" w:eastAsia="Arial Unicode MS" w:hAnsi="Bookman Old Style" w:cs="Arial Unicode MS"/>
          <w:sz w:val="24"/>
          <w:szCs w:val="24"/>
        </w:rPr>
        <w:t>while the statement</w:t>
      </w:r>
      <w:r w:rsidR="005C2650">
        <w:rPr>
          <w:rFonts w:ascii="Bookman Old Style" w:eastAsia="Arial Unicode MS" w:hAnsi="Bookman Old Style" w:cs="Arial Unicode MS"/>
          <w:sz w:val="24"/>
          <w:szCs w:val="24"/>
        </w:rPr>
        <w:t xml:space="preserve"> may not be factually correct</w:t>
      </w:r>
      <w:r w:rsidR="0086430B">
        <w:rPr>
          <w:rFonts w:ascii="Bookman Old Style" w:eastAsia="Arial Unicode MS" w:hAnsi="Bookman Old Style" w:cs="Arial Unicode MS"/>
          <w:sz w:val="24"/>
          <w:szCs w:val="24"/>
        </w:rPr>
        <w:t>,</w:t>
      </w:r>
      <w:r w:rsidR="005C2650">
        <w:rPr>
          <w:rFonts w:ascii="Bookman Old Style" w:eastAsia="Arial Unicode MS" w:hAnsi="Bookman Old Style" w:cs="Arial Unicode MS"/>
          <w:sz w:val="24"/>
          <w:szCs w:val="24"/>
        </w:rPr>
        <w:t xml:space="preserve"> </w:t>
      </w:r>
      <w:r w:rsidR="003A4909">
        <w:rPr>
          <w:rFonts w:ascii="Bookman Old Style" w:eastAsia="Arial Unicode MS" w:hAnsi="Bookman Old Style" w:cs="Arial Unicode MS"/>
          <w:sz w:val="24"/>
          <w:szCs w:val="24"/>
        </w:rPr>
        <w:t xml:space="preserve">I do not </w:t>
      </w:r>
      <w:r w:rsidR="0086430B">
        <w:rPr>
          <w:rFonts w:ascii="Bookman Old Style" w:eastAsia="Arial Unicode MS" w:hAnsi="Bookman Old Style" w:cs="Arial Unicode MS"/>
          <w:sz w:val="24"/>
          <w:szCs w:val="24"/>
        </w:rPr>
        <w:t xml:space="preserve">still </w:t>
      </w:r>
      <w:r w:rsidR="003A4909">
        <w:rPr>
          <w:rFonts w:ascii="Bookman Old Style" w:eastAsia="Arial Unicode MS" w:hAnsi="Bookman Old Style" w:cs="Arial Unicode MS"/>
          <w:sz w:val="24"/>
          <w:szCs w:val="24"/>
        </w:rPr>
        <w:t xml:space="preserve">consider it to be </w:t>
      </w:r>
      <w:r w:rsidR="00A94520">
        <w:rPr>
          <w:rFonts w:ascii="Bookman Old Style" w:eastAsia="Arial Unicode MS" w:hAnsi="Bookman Old Style" w:cs="Arial Unicode MS"/>
          <w:sz w:val="24"/>
          <w:szCs w:val="24"/>
        </w:rPr>
        <w:t xml:space="preserve">in any way </w:t>
      </w:r>
      <w:r w:rsidR="003A4909">
        <w:rPr>
          <w:rFonts w:ascii="Bookman Old Style" w:eastAsia="Arial Unicode MS" w:hAnsi="Bookman Old Style" w:cs="Arial Unicode MS"/>
          <w:sz w:val="24"/>
          <w:szCs w:val="24"/>
        </w:rPr>
        <w:t xml:space="preserve">defamatory of the plaintiff. </w:t>
      </w:r>
    </w:p>
    <w:p w:rsidR="003A4909" w:rsidRDefault="003A4909"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sixth instalment </w:t>
      </w:r>
      <w:r w:rsidR="00A94520">
        <w:rPr>
          <w:rFonts w:ascii="Bookman Old Style" w:eastAsia="Arial Unicode MS" w:hAnsi="Bookman Old Style" w:cs="Arial Unicode MS"/>
          <w:sz w:val="24"/>
          <w:szCs w:val="24"/>
        </w:rPr>
        <w:t xml:space="preserve">of the </w:t>
      </w:r>
      <w:r>
        <w:rPr>
          <w:rFonts w:ascii="Bookman Old Style" w:eastAsia="Arial Unicode MS" w:hAnsi="Bookman Old Style" w:cs="Arial Unicode MS"/>
          <w:sz w:val="24"/>
          <w:szCs w:val="24"/>
        </w:rPr>
        <w:t xml:space="preserve">statement </w:t>
      </w:r>
      <w:r w:rsidR="00A94520">
        <w:rPr>
          <w:rFonts w:ascii="Bookman Old Style" w:eastAsia="Arial Unicode MS" w:hAnsi="Bookman Old Style" w:cs="Arial Unicode MS"/>
          <w:sz w:val="24"/>
          <w:szCs w:val="24"/>
        </w:rPr>
        <w:t xml:space="preserve">states </w:t>
      </w:r>
      <w:r>
        <w:rPr>
          <w:rFonts w:ascii="Bookman Old Style" w:eastAsia="Arial Unicode MS" w:hAnsi="Bookman Old Style" w:cs="Arial Unicode MS"/>
          <w:sz w:val="24"/>
          <w:szCs w:val="24"/>
        </w:rPr>
        <w:t>that:</w:t>
      </w:r>
    </w:p>
    <w:p w:rsidR="00E23DED" w:rsidRDefault="003A4909" w:rsidP="00A94520">
      <w:pPr>
        <w:spacing w:before="240" w:line="24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t>
      </w:r>
      <w:r w:rsidRPr="00A94520">
        <w:rPr>
          <w:rFonts w:ascii="Bookman Old Style" w:eastAsia="Arial Unicode MS" w:hAnsi="Bookman Old Style" w:cs="Arial Unicode MS"/>
          <w:i/>
          <w:sz w:val="24"/>
          <w:szCs w:val="24"/>
        </w:rPr>
        <w:t>Sata’s appetite for plot one is so great that he has even brought to the party forme</w:t>
      </w:r>
      <w:r w:rsidR="00E97DD3" w:rsidRPr="00A94520">
        <w:rPr>
          <w:rFonts w:ascii="Bookman Old Style" w:eastAsia="Arial Unicode MS" w:hAnsi="Bookman Old Style" w:cs="Arial Unicode MS"/>
          <w:i/>
          <w:sz w:val="24"/>
          <w:szCs w:val="24"/>
        </w:rPr>
        <w:t>r fo</w:t>
      </w:r>
      <w:r w:rsidRPr="00A94520">
        <w:rPr>
          <w:rFonts w:ascii="Bookman Old Style" w:eastAsia="Arial Unicode MS" w:hAnsi="Bookman Old Style" w:cs="Arial Unicode MS"/>
          <w:i/>
          <w:sz w:val="24"/>
          <w:szCs w:val="24"/>
        </w:rPr>
        <w:t xml:space="preserve">es, and appointed them to senior positions in the </w:t>
      </w:r>
      <w:r w:rsidR="00E97DD3" w:rsidRPr="00A94520">
        <w:rPr>
          <w:rFonts w:ascii="Bookman Old Style" w:eastAsia="Arial Unicode MS" w:hAnsi="Bookman Old Style" w:cs="Arial Unicode MS"/>
          <w:i/>
          <w:sz w:val="24"/>
          <w:szCs w:val="24"/>
        </w:rPr>
        <w:t>Central Committee.”</w:t>
      </w:r>
    </w:p>
    <w:p w:rsidR="00E23DED" w:rsidRDefault="00E23DED" w:rsidP="0008482F">
      <w:pPr>
        <w:spacing w:before="240" w:line="360" w:lineRule="auto"/>
        <w:jc w:val="both"/>
        <w:rPr>
          <w:rFonts w:ascii="Bookman Old Style" w:eastAsia="Arial Unicode MS" w:hAnsi="Bookman Old Style" w:cs="Arial Unicode MS"/>
          <w:sz w:val="24"/>
          <w:szCs w:val="24"/>
        </w:rPr>
      </w:pPr>
    </w:p>
    <w:p w:rsidR="003E67F6" w:rsidRDefault="00E23DED"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w:t>
      </w:r>
      <w:r w:rsidR="008C1BCA">
        <w:rPr>
          <w:rFonts w:ascii="Bookman Old Style" w:eastAsia="Arial Unicode MS" w:hAnsi="Bookman Old Style" w:cs="Arial Unicode MS"/>
          <w:sz w:val="24"/>
          <w:szCs w:val="24"/>
        </w:rPr>
        <w:t>he plaintiff is aggrieved by this</w:t>
      </w:r>
      <w:r>
        <w:rPr>
          <w:rFonts w:ascii="Bookman Old Style" w:eastAsia="Arial Unicode MS" w:hAnsi="Bookman Old Style" w:cs="Arial Unicode MS"/>
          <w:sz w:val="24"/>
          <w:szCs w:val="24"/>
        </w:rPr>
        <w:t xml:space="preserve"> allegation that he has an insatiable appetite for State House. The suggestion here is that </w:t>
      </w:r>
      <w:r w:rsidR="005C2650">
        <w:rPr>
          <w:rFonts w:ascii="Bookman Old Style" w:eastAsia="Arial Unicode MS" w:hAnsi="Bookman Old Style" w:cs="Arial Unicode MS"/>
          <w:sz w:val="24"/>
          <w:szCs w:val="24"/>
        </w:rPr>
        <w:t>the plaintiff’s</w:t>
      </w:r>
      <w:r>
        <w:rPr>
          <w:rFonts w:ascii="Bookman Old Style" w:eastAsia="Arial Unicode MS" w:hAnsi="Bookman Old Style" w:cs="Arial Unicode MS"/>
          <w:sz w:val="24"/>
          <w:szCs w:val="24"/>
        </w:rPr>
        <w:t xml:space="preserve"> bid for the pr</w:t>
      </w:r>
      <w:r w:rsidR="008C1BCA">
        <w:rPr>
          <w:rFonts w:ascii="Bookman Old Style" w:eastAsia="Arial Unicode MS" w:hAnsi="Bookman Old Style" w:cs="Arial Unicode MS"/>
          <w:sz w:val="24"/>
          <w:szCs w:val="24"/>
        </w:rPr>
        <w:t xml:space="preserve">esidency </w:t>
      </w:r>
      <w:r w:rsidR="0086430B">
        <w:rPr>
          <w:rFonts w:ascii="Bookman Old Style" w:eastAsia="Arial Unicode MS" w:hAnsi="Bookman Old Style" w:cs="Arial Unicode MS"/>
          <w:sz w:val="24"/>
          <w:szCs w:val="24"/>
        </w:rPr>
        <w:t xml:space="preserve">in the 2011 elections </w:t>
      </w:r>
      <w:r w:rsidR="008C1BCA">
        <w:rPr>
          <w:rFonts w:ascii="Bookman Old Style" w:eastAsia="Arial Unicode MS" w:hAnsi="Bookman Old Style" w:cs="Arial Unicode MS"/>
          <w:sz w:val="24"/>
          <w:szCs w:val="24"/>
        </w:rPr>
        <w:t>is not public spirited.</w:t>
      </w:r>
      <w:r>
        <w:rPr>
          <w:rFonts w:ascii="Bookman Old Style" w:eastAsia="Arial Unicode MS" w:hAnsi="Bookman Old Style" w:cs="Arial Unicode MS"/>
          <w:sz w:val="24"/>
          <w:szCs w:val="24"/>
        </w:rPr>
        <w:t xml:space="preserve"> </w:t>
      </w:r>
      <w:r w:rsidR="008C1BCA">
        <w:rPr>
          <w:rFonts w:ascii="Bookman Old Style" w:eastAsia="Arial Unicode MS" w:hAnsi="Bookman Old Style" w:cs="Arial Unicode MS"/>
          <w:sz w:val="24"/>
          <w:szCs w:val="24"/>
        </w:rPr>
        <w:t>Right</w:t>
      </w:r>
      <w:r>
        <w:rPr>
          <w:rFonts w:ascii="Bookman Old Style" w:eastAsia="Arial Unicode MS" w:hAnsi="Bookman Old Style" w:cs="Arial Unicode MS"/>
          <w:sz w:val="24"/>
          <w:szCs w:val="24"/>
        </w:rPr>
        <w:t xml:space="preserve"> th</w:t>
      </w:r>
      <w:r w:rsidR="008C1BCA">
        <w:rPr>
          <w:rFonts w:ascii="Bookman Old Style" w:eastAsia="Arial Unicode MS" w:hAnsi="Bookman Old Style" w:cs="Arial Unicode MS"/>
          <w:sz w:val="24"/>
          <w:szCs w:val="24"/>
        </w:rPr>
        <w:t>inking members of society are bo</w:t>
      </w:r>
      <w:r w:rsidR="00A94520">
        <w:rPr>
          <w:rFonts w:ascii="Bookman Old Style" w:eastAsia="Arial Unicode MS" w:hAnsi="Bookman Old Style" w:cs="Arial Unicode MS"/>
          <w:sz w:val="24"/>
          <w:szCs w:val="24"/>
        </w:rPr>
        <w:t>u</w:t>
      </w:r>
      <w:r>
        <w:rPr>
          <w:rFonts w:ascii="Bookman Old Style" w:eastAsia="Arial Unicode MS" w:hAnsi="Bookman Old Style" w:cs="Arial Unicode MS"/>
          <w:sz w:val="24"/>
          <w:szCs w:val="24"/>
        </w:rPr>
        <w:t>nd in my opinion to frown up</w:t>
      </w:r>
      <w:r w:rsidR="00D7763E">
        <w:rPr>
          <w:rFonts w:ascii="Bookman Old Style" w:eastAsia="Arial Unicode MS" w:hAnsi="Bookman Old Style" w:cs="Arial Unicode MS"/>
          <w:sz w:val="24"/>
          <w:szCs w:val="24"/>
        </w:rPr>
        <w:t>on</w:t>
      </w:r>
      <w:r w:rsidR="008C1BCA">
        <w:rPr>
          <w:rFonts w:ascii="Bookman Old Style" w:eastAsia="Arial Unicode MS" w:hAnsi="Bookman Old Style" w:cs="Arial Unicode MS"/>
          <w:sz w:val="24"/>
          <w:szCs w:val="24"/>
        </w:rPr>
        <w:t xml:space="preserve"> any</w:t>
      </w:r>
      <w:r w:rsidR="00F249F2">
        <w:rPr>
          <w:rFonts w:ascii="Bookman Old Style" w:eastAsia="Arial Unicode MS" w:hAnsi="Bookman Old Style" w:cs="Arial Unicode MS"/>
          <w:sz w:val="24"/>
          <w:szCs w:val="24"/>
        </w:rPr>
        <w:t xml:space="preserve"> person who desires to get to State House in order to sat</w:t>
      </w:r>
      <w:r w:rsidR="008C1BCA">
        <w:rPr>
          <w:rFonts w:ascii="Bookman Old Style" w:eastAsia="Arial Unicode MS" w:hAnsi="Bookman Old Style" w:cs="Arial Unicode MS"/>
          <w:sz w:val="24"/>
          <w:szCs w:val="24"/>
        </w:rPr>
        <w:t>isfy his own ego</w:t>
      </w:r>
      <w:r w:rsidR="00A94520">
        <w:rPr>
          <w:rFonts w:ascii="Bookman Old Style" w:eastAsia="Arial Unicode MS" w:hAnsi="Bookman Old Style" w:cs="Arial Unicode MS"/>
          <w:sz w:val="24"/>
          <w:szCs w:val="24"/>
        </w:rPr>
        <w:t>; as oppo</w:t>
      </w:r>
      <w:r w:rsidR="005C2650">
        <w:rPr>
          <w:rFonts w:ascii="Bookman Old Style" w:eastAsia="Arial Unicode MS" w:hAnsi="Bookman Old Style" w:cs="Arial Unicode MS"/>
          <w:sz w:val="24"/>
          <w:szCs w:val="24"/>
        </w:rPr>
        <w:t>sed to rendering public service</w:t>
      </w:r>
      <w:r w:rsidR="008C1BCA">
        <w:rPr>
          <w:rFonts w:ascii="Bookman Old Style" w:eastAsia="Arial Unicode MS" w:hAnsi="Bookman Old Style" w:cs="Arial Unicode MS"/>
          <w:sz w:val="24"/>
          <w:szCs w:val="24"/>
        </w:rPr>
        <w:t>. I therefore find this</w:t>
      </w:r>
      <w:r w:rsidR="00F249F2">
        <w:rPr>
          <w:rFonts w:ascii="Bookman Old Style" w:eastAsia="Arial Unicode MS" w:hAnsi="Bookman Old Style" w:cs="Arial Unicode MS"/>
          <w:sz w:val="24"/>
          <w:szCs w:val="24"/>
        </w:rPr>
        <w:t xml:space="preserve"> </w:t>
      </w:r>
      <w:r w:rsidR="0031606B">
        <w:rPr>
          <w:rFonts w:ascii="Bookman Old Style" w:eastAsia="Arial Unicode MS" w:hAnsi="Bookman Old Style" w:cs="Arial Unicode MS"/>
          <w:sz w:val="24"/>
          <w:szCs w:val="24"/>
        </w:rPr>
        <w:t>as</w:t>
      </w:r>
      <w:r w:rsidR="0086430B">
        <w:rPr>
          <w:rFonts w:ascii="Bookman Old Style" w:eastAsia="Arial Unicode MS" w:hAnsi="Bookman Old Style" w:cs="Arial Unicode MS"/>
          <w:sz w:val="24"/>
          <w:szCs w:val="24"/>
        </w:rPr>
        <w:t>persion</w:t>
      </w:r>
      <w:r w:rsidR="003E67F6">
        <w:rPr>
          <w:rFonts w:ascii="Bookman Old Style" w:eastAsia="Arial Unicode MS" w:hAnsi="Bookman Old Style" w:cs="Arial Unicode MS"/>
          <w:sz w:val="24"/>
          <w:szCs w:val="24"/>
        </w:rPr>
        <w:t xml:space="preserve"> to be defamatory. </w:t>
      </w:r>
    </w:p>
    <w:p w:rsidR="003E67F6" w:rsidRDefault="008C1BCA"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seventh instalment is ter</w:t>
      </w:r>
      <w:r w:rsidR="003E67F6">
        <w:rPr>
          <w:rFonts w:ascii="Bookman Old Style" w:eastAsia="Arial Unicode MS" w:hAnsi="Bookman Old Style" w:cs="Arial Unicode MS"/>
          <w:sz w:val="24"/>
          <w:szCs w:val="24"/>
        </w:rPr>
        <w:t>se. It simply asserts that:</w:t>
      </w:r>
    </w:p>
    <w:p w:rsidR="003E67F6" w:rsidRPr="00A94520" w:rsidRDefault="003E67F6" w:rsidP="0008482F">
      <w:pPr>
        <w:spacing w:before="240" w:line="360" w:lineRule="auto"/>
        <w:jc w:val="both"/>
        <w:rPr>
          <w:rFonts w:ascii="Bookman Old Style" w:eastAsia="Arial Unicode MS" w:hAnsi="Bookman Old Style" w:cs="Arial Unicode MS"/>
          <w:i/>
          <w:sz w:val="24"/>
          <w:szCs w:val="24"/>
        </w:rPr>
      </w:pPr>
      <w:r w:rsidRPr="00E04C4D">
        <w:rPr>
          <w:rFonts w:ascii="Bookman Old Style" w:eastAsia="Arial Unicode MS" w:hAnsi="Bookman Old Style" w:cs="Arial Unicode MS"/>
          <w:i/>
          <w:sz w:val="24"/>
          <w:szCs w:val="24"/>
        </w:rPr>
        <w:t>“Sata has no respect for traditional leaders, he has belittled the chiefs.”</w:t>
      </w:r>
    </w:p>
    <w:p w:rsidR="00E04C4D" w:rsidRDefault="003E67F6"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complaint by the plaintiff is that </w:t>
      </w:r>
      <w:r w:rsidR="008C1BCA">
        <w:rPr>
          <w:rFonts w:ascii="Bookman Old Style" w:eastAsia="Arial Unicode MS" w:hAnsi="Bookman Old Style" w:cs="Arial Unicode MS"/>
          <w:sz w:val="24"/>
          <w:szCs w:val="24"/>
        </w:rPr>
        <w:t xml:space="preserve">he has </w:t>
      </w:r>
      <w:r>
        <w:rPr>
          <w:rFonts w:ascii="Bookman Old Style" w:eastAsia="Arial Unicode MS" w:hAnsi="Bookman Old Style" w:cs="Arial Unicode MS"/>
          <w:sz w:val="24"/>
          <w:szCs w:val="24"/>
        </w:rPr>
        <w:t xml:space="preserve">been held out </w:t>
      </w:r>
      <w:r w:rsidR="00A94520">
        <w:rPr>
          <w:rFonts w:ascii="Bookman Old Style" w:eastAsia="Arial Unicode MS" w:hAnsi="Bookman Old Style" w:cs="Arial Unicode MS"/>
          <w:sz w:val="24"/>
          <w:szCs w:val="24"/>
        </w:rPr>
        <w:t>by the defendants as person who has no</w:t>
      </w:r>
      <w:r>
        <w:rPr>
          <w:rFonts w:ascii="Bookman Old Style" w:eastAsia="Arial Unicode MS" w:hAnsi="Bookman Old Style" w:cs="Arial Unicode MS"/>
          <w:sz w:val="24"/>
          <w:szCs w:val="24"/>
        </w:rPr>
        <w:t xml:space="preserve"> respect for chiefs.</w:t>
      </w:r>
      <w:r w:rsidR="00E04C4D">
        <w:rPr>
          <w:rFonts w:ascii="Bookman Old Style" w:eastAsia="Arial Unicode MS" w:hAnsi="Bookman Old Style" w:cs="Arial Unicode MS"/>
          <w:sz w:val="24"/>
          <w:szCs w:val="24"/>
        </w:rPr>
        <w:t xml:space="preserve"> I take judicial notice of the fact</w:t>
      </w:r>
      <w:r w:rsidR="00D7763E">
        <w:rPr>
          <w:rFonts w:ascii="Bookman Old Style" w:eastAsia="Arial Unicode MS" w:hAnsi="Bookman Old Style" w:cs="Arial Unicode MS"/>
          <w:sz w:val="24"/>
          <w:szCs w:val="24"/>
        </w:rPr>
        <w:t xml:space="preserve"> that</w:t>
      </w:r>
      <w:r w:rsidR="00E04C4D">
        <w:rPr>
          <w:rFonts w:ascii="Bookman Old Style" w:eastAsia="Arial Unicode MS" w:hAnsi="Bookman Old Style" w:cs="Arial Unicode MS"/>
          <w:sz w:val="24"/>
          <w:szCs w:val="24"/>
        </w:rPr>
        <w:t xml:space="preserve"> right thinking members of society </w:t>
      </w:r>
      <w:r w:rsidR="008C1BCA">
        <w:rPr>
          <w:rFonts w:ascii="Bookman Old Style" w:eastAsia="Arial Unicode MS" w:hAnsi="Bookman Old Style" w:cs="Arial Unicode MS"/>
          <w:sz w:val="24"/>
          <w:szCs w:val="24"/>
        </w:rPr>
        <w:t xml:space="preserve">tend to </w:t>
      </w:r>
      <w:r w:rsidR="00E04C4D">
        <w:rPr>
          <w:rFonts w:ascii="Bookman Old Style" w:eastAsia="Arial Unicode MS" w:hAnsi="Bookman Old Style" w:cs="Arial Unicode MS"/>
          <w:sz w:val="24"/>
          <w:szCs w:val="24"/>
        </w:rPr>
        <w:t>respect traditional leaders</w:t>
      </w:r>
      <w:r w:rsidR="00A94520">
        <w:rPr>
          <w:rFonts w:ascii="Bookman Old Style" w:eastAsia="Arial Unicode MS" w:hAnsi="Bookman Old Style" w:cs="Arial Unicode MS"/>
          <w:sz w:val="24"/>
          <w:szCs w:val="24"/>
        </w:rPr>
        <w:t>;</w:t>
      </w:r>
      <w:r w:rsidR="00E04C4D">
        <w:rPr>
          <w:rFonts w:ascii="Bookman Old Style" w:eastAsia="Arial Unicode MS" w:hAnsi="Bookman Old Style" w:cs="Arial Unicode MS"/>
          <w:sz w:val="24"/>
          <w:szCs w:val="24"/>
        </w:rPr>
        <w:t xml:space="preserve"> </w:t>
      </w:r>
      <w:r w:rsidR="005C2650">
        <w:rPr>
          <w:rFonts w:ascii="Bookman Old Style" w:eastAsia="Arial Unicode MS" w:hAnsi="Bookman Old Style" w:cs="Arial Unicode MS"/>
          <w:sz w:val="24"/>
          <w:szCs w:val="24"/>
        </w:rPr>
        <w:t>especially</w:t>
      </w:r>
      <w:r w:rsidR="00A94520">
        <w:rPr>
          <w:rFonts w:ascii="Bookman Old Style" w:eastAsia="Arial Unicode MS" w:hAnsi="Bookman Old Style" w:cs="Arial Unicode MS"/>
          <w:sz w:val="24"/>
          <w:szCs w:val="24"/>
        </w:rPr>
        <w:t xml:space="preserve"> </w:t>
      </w:r>
      <w:r w:rsidR="00E04C4D">
        <w:rPr>
          <w:rFonts w:ascii="Bookman Old Style" w:eastAsia="Arial Unicode MS" w:hAnsi="Bookman Old Style" w:cs="Arial Unicode MS"/>
          <w:sz w:val="24"/>
          <w:szCs w:val="24"/>
        </w:rPr>
        <w:t>chief</w:t>
      </w:r>
      <w:r w:rsidR="00A94520">
        <w:rPr>
          <w:rFonts w:ascii="Bookman Old Style" w:eastAsia="Arial Unicode MS" w:hAnsi="Bookman Old Style" w:cs="Arial Unicode MS"/>
          <w:sz w:val="24"/>
          <w:szCs w:val="24"/>
        </w:rPr>
        <w:t>s</w:t>
      </w:r>
      <w:r w:rsidR="00E04C4D">
        <w:rPr>
          <w:rFonts w:ascii="Bookman Old Style" w:eastAsia="Arial Unicode MS" w:hAnsi="Bookman Old Style" w:cs="Arial Unicode MS"/>
          <w:sz w:val="24"/>
          <w:szCs w:val="24"/>
        </w:rPr>
        <w:t>. Therefore</w:t>
      </w:r>
      <w:r w:rsidR="00A94520">
        <w:rPr>
          <w:rFonts w:ascii="Bookman Old Style" w:eastAsia="Arial Unicode MS" w:hAnsi="Bookman Old Style" w:cs="Arial Unicode MS"/>
          <w:sz w:val="24"/>
          <w:szCs w:val="24"/>
        </w:rPr>
        <w:t>,</w:t>
      </w:r>
      <w:r w:rsidR="00E04C4D">
        <w:rPr>
          <w:rFonts w:ascii="Bookman Old Style" w:eastAsia="Arial Unicode MS" w:hAnsi="Bookman Old Style" w:cs="Arial Unicode MS"/>
          <w:sz w:val="24"/>
          <w:szCs w:val="24"/>
        </w:rPr>
        <w:t xml:space="preserve"> an</w:t>
      </w:r>
      <w:r w:rsidR="005C2650">
        <w:rPr>
          <w:rFonts w:ascii="Bookman Old Style" w:eastAsia="Arial Unicode MS" w:hAnsi="Bookman Old Style" w:cs="Arial Unicode MS"/>
          <w:sz w:val="24"/>
          <w:szCs w:val="24"/>
        </w:rPr>
        <w:t>y person who is said to disrespect</w:t>
      </w:r>
      <w:r w:rsidR="00E04C4D">
        <w:rPr>
          <w:rFonts w:ascii="Bookman Old Style" w:eastAsia="Arial Unicode MS" w:hAnsi="Bookman Old Style" w:cs="Arial Unicode MS"/>
          <w:sz w:val="24"/>
          <w:szCs w:val="24"/>
        </w:rPr>
        <w:t xml:space="preserve"> chief</w:t>
      </w:r>
      <w:r w:rsidR="008C1BCA">
        <w:rPr>
          <w:rFonts w:ascii="Bookman Old Style" w:eastAsia="Arial Unicode MS" w:hAnsi="Bookman Old Style" w:cs="Arial Unicode MS"/>
          <w:sz w:val="24"/>
          <w:szCs w:val="24"/>
        </w:rPr>
        <w:t>s</w:t>
      </w:r>
      <w:r w:rsidR="0086430B">
        <w:rPr>
          <w:rFonts w:ascii="Bookman Old Style" w:eastAsia="Arial Unicode MS" w:hAnsi="Bookman Old Style" w:cs="Arial Unicode MS"/>
          <w:sz w:val="24"/>
          <w:szCs w:val="24"/>
        </w:rPr>
        <w:t>,</w:t>
      </w:r>
      <w:r w:rsidR="00E04C4D">
        <w:rPr>
          <w:rFonts w:ascii="Bookman Old Style" w:eastAsia="Arial Unicode MS" w:hAnsi="Bookman Old Style" w:cs="Arial Unicode MS"/>
          <w:sz w:val="24"/>
          <w:szCs w:val="24"/>
        </w:rPr>
        <w:t xml:space="preserve"> </w:t>
      </w:r>
      <w:r w:rsidR="0086430B">
        <w:rPr>
          <w:rFonts w:ascii="Bookman Old Style" w:eastAsia="Arial Unicode MS" w:hAnsi="Bookman Old Style" w:cs="Arial Unicode MS"/>
          <w:sz w:val="24"/>
          <w:szCs w:val="24"/>
        </w:rPr>
        <w:t>i</w:t>
      </w:r>
      <w:r w:rsidR="005C2650">
        <w:rPr>
          <w:rFonts w:ascii="Bookman Old Style" w:eastAsia="Arial Unicode MS" w:hAnsi="Bookman Old Style" w:cs="Arial Unicode MS"/>
          <w:sz w:val="24"/>
          <w:szCs w:val="24"/>
        </w:rPr>
        <w:t>s</w:t>
      </w:r>
      <w:r w:rsidR="00E04C4D">
        <w:rPr>
          <w:rFonts w:ascii="Bookman Old Style" w:eastAsia="Arial Unicode MS" w:hAnsi="Bookman Old Style" w:cs="Arial Unicode MS"/>
          <w:sz w:val="24"/>
          <w:szCs w:val="24"/>
        </w:rPr>
        <w:t xml:space="preserve"> likely to be </w:t>
      </w:r>
      <w:r w:rsidR="00E04C4D">
        <w:rPr>
          <w:rFonts w:ascii="Bookman Old Style" w:eastAsia="Arial Unicode MS" w:hAnsi="Bookman Old Style" w:cs="Arial Unicode MS"/>
          <w:sz w:val="24"/>
          <w:szCs w:val="24"/>
        </w:rPr>
        <w:lastRenderedPageBreak/>
        <w:t>shunned by right thinking members of society.</w:t>
      </w:r>
      <w:r w:rsidR="008C1BCA">
        <w:rPr>
          <w:rFonts w:ascii="Bookman Old Style" w:eastAsia="Arial Unicode MS" w:hAnsi="Bookman Old Style" w:cs="Arial Unicode MS"/>
          <w:sz w:val="24"/>
          <w:szCs w:val="24"/>
        </w:rPr>
        <w:t xml:space="preserve"> I therefore find the aspersion</w:t>
      </w:r>
      <w:r w:rsidR="00E04C4D">
        <w:rPr>
          <w:rFonts w:ascii="Bookman Old Style" w:eastAsia="Arial Unicode MS" w:hAnsi="Bookman Old Style" w:cs="Arial Unicode MS"/>
          <w:sz w:val="24"/>
          <w:szCs w:val="24"/>
        </w:rPr>
        <w:t xml:space="preserve"> under discussion t</w:t>
      </w:r>
      <w:r w:rsidR="008C1BCA">
        <w:rPr>
          <w:rFonts w:ascii="Bookman Old Style" w:eastAsia="Arial Unicode MS" w:hAnsi="Bookman Old Style" w:cs="Arial Unicode MS"/>
          <w:sz w:val="24"/>
          <w:szCs w:val="24"/>
        </w:rPr>
        <w:t>o</w:t>
      </w:r>
      <w:r w:rsidR="00E04C4D">
        <w:rPr>
          <w:rFonts w:ascii="Bookman Old Style" w:eastAsia="Arial Unicode MS" w:hAnsi="Bookman Old Style" w:cs="Arial Unicode MS"/>
          <w:sz w:val="24"/>
          <w:szCs w:val="24"/>
        </w:rPr>
        <w:t xml:space="preserve"> be defamatory. </w:t>
      </w:r>
    </w:p>
    <w:p w:rsidR="00E04C4D" w:rsidRDefault="00E04C4D"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last instalment of the statement states that:</w:t>
      </w:r>
    </w:p>
    <w:p w:rsidR="009F4FB0" w:rsidRDefault="00E04C4D" w:rsidP="00A94520">
      <w:pPr>
        <w:spacing w:before="240" w:line="24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w:t>
      </w:r>
      <w:r w:rsidRPr="008C1BCA">
        <w:rPr>
          <w:rFonts w:ascii="Bookman Old Style" w:eastAsia="Arial Unicode MS" w:hAnsi="Bookman Old Style" w:cs="Arial Unicode MS"/>
          <w:i/>
          <w:sz w:val="24"/>
          <w:szCs w:val="24"/>
        </w:rPr>
        <w:t>Sata was not up to reconciliation with Mwanawasa</w:t>
      </w:r>
      <w:r w:rsidR="008C1BCA" w:rsidRPr="008C1BCA">
        <w:rPr>
          <w:rFonts w:ascii="Bookman Old Style" w:eastAsia="Arial Unicode MS" w:hAnsi="Bookman Old Style" w:cs="Arial Unicode MS"/>
          <w:i/>
          <w:sz w:val="24"/>
          <w:szCs w:val="24"/>
        </w:rPr>
        <w:t>. He offered his party. Mwanawasa</w:t>
      </w:r>
      <w:r w:rsidRPr="008C1BCA">
        <w:rPr>
          <w:rFonts w:ascii="Bookman Old Style" w:eastAsia="Arial Unicode MS" w:hAnsi="Bookman Old Style" w:cs="Arial Unicode MS"/>
          <w:i/>
          <w:sz w:val="24"/>
          <w:szCs w:val="24"/>
        </w:rPr>
        <w:t xml:space="preserve"> was no fool, he could not take his offer.”</w:t>
      </w:r>
    </w:p>
    <w:p w:rsidR="008C1BCA" w:rsidRDefault="009F4FB0"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complaint </w:t>
      </w:r>
      <w:r w:rsidR="008C1BCA">
        <w:rPr>
          <w:rFonts w:ascii="Bookman Old Style" w:eastAsia="Arial Unicode MS" w:hAnsi="Bookman Old Style" w:cs="Arial Unicode MS"/>
          <w:sz w:val="24"/>
          <w:szCs w:val="24"/>
        </w:rPr>
        <w:t xml:space="preserve">here that </w:t>
      </w:r>
      <w:r>
        <w:rPr>
          <w:rFonts w:ascii="Bookman Old Style" w:eastAsia="Arial Unicode MS" w:hAnsi="Bookman Old Style" w:cs="Arial Unicode MS"/>
          <w:sz w:val="24"/>
          <w:szCs w:val="24"/>
        </w:rPr>
        <w:t xml:space="preserve">is the defendants have alleged that </w:t>
      </w:r>
      <w:r w:rsidR="008C1BCA">
        <w:rPr>
          <w:rFonts w:ascii="Bookman Old Style" w:eastAsia="Arial Unicode MS" w:hAnsi="Bookman Old Style" w:cs="Arial Unicode MS"/>
          <w:sz w:val="24"/>
          <w:szCs w:val="24"/>
        </w:rPr>
        <w:t xml:space="preserve">the plaintiff </w:t>
      </w:r>
      <w:r>
        <w:rPr>
          <w:rFonts w:ascii="Bookman Old Style" w:eastAsia="Arial Unicode MS" w:hAnsi="Bookman Old Style" w:cs="Arial Unicode MS"/>
          <w:sz w:val="24"/>
          <w:szCs w:val="24"/>
        </w:rPr>
        <w:t>in his reconciliation with President Mwa</w:t>
      </w:r>
      <w:r w:rsidR="001E76BF">
        <w:rPr>
          <w:rFonts w:ascii="Bookman Old Style" w:eastAsia="Arial Unicode MS" w:hAnsi="Bookman Old Style" w:cs="Arial Unicode MS"/>
          <w:sz w:val="24"/>
          <w:szCs w:val="24"/>
        </w:rPr>
        <w:t xml:space="preserve">nawasa (deceased) offered </w:t>
      </w:r>
      <w:r w:rsidR="008C1BCA">
        <w:rPr>
          <w:rFonts w:ascii="Bookman Old Style" w:eastAsia="Arial Unicode MS" w:hAnsi="Bookman Old Style" w:cs="Arial Unicode MS"/>
          <w:sz w:val="24"/>
          <w:szCs w:val="24"/>
        </w:rPr>
        <w:t xml:space="preserve">to </w:t>
      </w:r>
      <w:r w:rsidR="001E76BF">
        <w:rPr>
          <w:rFonts w:ascii="Bookman Old Style" w:eastAsia="Arial Unicode MS" w:hAnsi="Bookman Old Style" w:cs="Arial Unicode MS"/>
          <w:sz w:val="24"/>
          <w:szCs w:val="24"/>
        </w:rPr>
        <w:t>dissolve the Pa</w:t>
      </w:r>
      <w:r w:rsidR="00C27279">
        <w:rPr>
          <w:rFonts w:ascii="Bookman Old Style" w:eastAsia="Arial Unicode MS" w:hAnsi="Bookman Old Style" w:cs="Arial Unicode MS"/>
          <w:sz w:val="24"/>
          <w:szCs w:val="24"/>
        </w:rPr>
        <w:t>triotic Front in exchange for an appointment as Vice-President of Zambia. In my considered view</w:t>
      </w:r>
      <w:r w:rsidR="008C1BCA">
        <w:rPr>
          <w:rFonts w:ascii="Bookman Old Style" w:eastAsia="Arial Unicode MS" w:hAnsi="Bookman Old Style" w:cs="Arial Unicode MS"/>
          <w:sz w:val="24"/>
          <w:szCs w:val="24"/>
        </w:rPr>
        <w:t>,</w:t>
      </w:r>
      <w:r w:rsidR="00C27279">
        <w:rPr>
          <w:rFonts w:ascii="Bookman Old Style" w:eastAsia="Arial Unicode MS" w:hAnsi="Bookman Old Style" w:cs="Arial Unicode MS"/>
          <w:sz w:val="24"/>
          <w:szCs w:val="24"/>
        </w:rPr>
        <w:t xml:space="preserve"> there is nothing in the statement to suggest the interpretation, or meaning given by the plaintiff. </w:t>
      </w:r>
      <w:r w:rsidR="00A94520">
        <w:rPr>
          <w:rFonts w:ascii="Bookman Old Style" w:eastAsia="Arial Unicode MS" w:hAnsi="Bookman Old Style" w:cs="Arial Unicode MS"/>
          <w:sz w:val="24"/>
          <w:szCs w:val="24"/>
        </w:rPr>
        <w:t>I do not therefore find the last instalment of the sta</w:t>
      </w:r>
      <w:r w:rsidR="0086430B">
        <w:rPr>
          <w:rFonts w:ascii="Bookman Old Style" w:eastAsia="Arial Unicode MS" w:hAnsi="Bookman Old Style" w:cs="Arial Unicode MS"/>
          <w:sz w:val="24"/>
          <w:szCs w:val="24"/>
        </w:rPr>
        <w:t>te</w:t>
      </w:r>
      <w:r w:rsidR="00A94520">
        <w:rPr>
          <w:rFonts w:ascii="Bookman Old Style" w:eastAsia="Arial Unicode MS" w:hAnsi="Bookman Old Style" w:cs="Arial Unicode MS"/>
          <w:sz w:val="24"/>
          <w:szCs w:val="24"/>
        </w:rPr>
        <w:t>men</w:t>
      </w:r>
      <w:r w:rsidR="0086430B">
        <w:rPr>
          <w:rFonts w:ascii="Bookman Old Style" w:eastAsia="Arial Unicode MS" w:hAnsi="Bookman Old Style" w:cs="Arial Unicode MS"/>
          <w:sz w:val="24"/>
          <w:szCs w:val="24"/>
        </w:rPr>
        <w:t>t</w:t>
      </w:r>
      <w:r w:rsidR="00A94520">
        <w:rPr>
          <w:rFonts w:ascii="Bookman Old Style" w:eastAsia="Arial Unicode MS" w:hAnsi="Bookman Old Style" w:cs="Arial Unicode MS"/>
          <w:sz w:val="24"/>
          <w:szCs w:val="24"/>
        </w:rPr>
        <w:t xml:space="preserve"> to be defamatory. </w:t>
      </w:r>
    </w:p>
    <w:p w:rsidR="006C6424" w:rsidRDefault="00B135D3" w:rsidP="0008482F">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Before I leave the </w:t>
      </w:r>
      <w:r w:rsidR="00A94520">
        <w:rPr>
          <w:rFonts w:ascii="Bookman Old Style" w:eastAsia="Arial Unicode MS" w:hAnsi="Bookman Old Style" w:cs="Arial Unicode MS"/>
          <w:sz w:val="24"/>
          <w:szCs w:val="24"/>
        </w:rPr>
        <w:t xml:space="preserve">preceding </w:t>
      </w:r>
      <w:r>
        <w:rPr>
          <w:rFonts w:ascii="Bookman Old Style" w:eastAsia="Arial Unicode MS" w:hAnsi="Bookman Old Style" w:cs="Arial Unicode MS"/>
          <w:sz w:val="24"/>
          <w:szCs w:val="24"/>
        </w:rPr>
        <w:t>averme</w:t>
      </w:r>
      <w:r w:rsidR="00F44AF3">
        <w:rPr>
          <w:rFonts w:ascii="Bookman Old Style" w:eastAsia="Arial Unicode MS" w:hAnsi="Bookman Old Style" w:cs="Arial Unicode MS"/>
          <w:sz w:val="24"/>
          <w:szCs w:val="24"/>
        </w:rPr>
        <w:t>nts</w:t>
      </w:r>
      <w:r w:rsidR="00A94520">
        <w:rPr>
          <w:rFonts w:ascii="Bookman Old Style" w:eastAsia="Arial Unicode MS" w:hAnsi="Bookman Old Style" w:cs="Arial Unicode MS"/>
          <w:sz w:val="24"/>
          <w:szCs w:val="24"/>
        </w:rPr>
        <w:t>,</w:t>
      </w:r>
      <w:r w:rsidR="00F44AF3">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I would like t</w:t>
      </w:r>
      <w:r w:rsidR="005C2650">
        <w:rPr>
          <w:rFonts w:ascii="Bookman Old Style" w:eastAsia="Arial Unicode MS" w:hAnsi="Bookman Old Style" w:cs="Arial Unicode MS"/>
          <w:sz w:val="24"/>
          <w:szCs w:val="24"/>
        </w:rPr>
        <w:t>o address some matter</w:t>
      </w:r>
      <w:r w:rsidR="00F44AF3">
        <w:rPr>
          <w:rFonts w:ascii="Bookman Old Style" w:eastAsia="Arial Unicode MS" w:hAnsi="Bookman Old Style" w:cs="Arial Unicode MS"/>
          <w:sz w:val="24"/>
          <w:szCs w:val="24"/>
        </w:rPr>
        <w:t xml:space="preserve"> </w:t>
      </w:r>
      <w:r w:rsidR="005C2650">
        <w:rPr>
          <w:rFonts w:ascii="Bookman Old Style" w:eastAsia="Arial Unicode MS" w:hAnsi="Bookman Old Style" w:cs="Arial Unicode MS"/>
          <w:sz w:val="24"/>
          <w:szCs w:val="24"/>
        </w:rPr>
        <w:t xml:space="preserve">which was raised by </w:t>
      </w:r>
      <w:r w:rsidR="00CB532E">
        <w:rPr>
          <w:rFonts w:ascii="Bookman Old Style" w:eastAsia="Arial Unicode MS" w:hAnsi="Bookman Old Style" w:cs="Arial Unicode MS"/>
          <w:sz w:val="24"/>
          <w:szCs w:val="24"/>
        </w:rPr>
        <w:t xml:space="preserve">the </w:t>
      </w:r>
      <w:r>
        <w:rPr>
          <w:rFonts w:ascii="Bookman Old Style" w:eastAsia="Arial Unicode MS" w:hAnsi="Bookman Old Style" w:cs="Arial Unicode MS"/>
          <w:sz w:val="24"/>
          <w:szCs w:val="24"/>
        </w:rPr>
        <w:t>1</w:t>
      </w:r>
      <w:r w:rsidRPr="00B135D3">
        <w:rPr>
          <w:rFonts w:ascii="Bookman Old Style" w:eastAsia="Arial Unicode MS" w:hAnsi="Bookman Old Style" w:cs="Arial Unicode MS"/>
          <w:sz w:val="24"/>
          <w:szCs w:val="24"/>
          <w:vertAlign w:val="superscript"/>
        </w:rPr>
        <w:t>st</w:t>
      </w:r>
      <w:r w:rsidR="005C2650">
        <w:rPr>
          <w:rFonts w:ascii="Bookman Old Style" w:eastAsia="Arial Unicode MS" w:hAnsi="Bookman Old Style" w:cs="Arial Unicode MS"/>
          <w:sz w:val="24"/>
          <w:szCs w:val="24"/>
        </w:rPr>
        <w:t xml:space="preserve"> defendant in the</w:t>
      </w:r>
      <w:r>
        <w:rPr>
          <w:rFonts w:ascii="Bookman Old Style" w:eastAsia="Arial Unicode MS" w:hAnsi="Bookman Old Style" w:cs="Arial Unicode MS"/>
          <w:sz w:val="24"/>
          <w:szCs w:val="24"/>
        </w:rPr>
        <w:t xml:space="preserve"> </w:t>
      </w:r>
      <w:r w:rsidR="00F44AF3">
        <w:rPr>
          <w:rFonts w:ascii="Bookman Old Style" w:eastAsia="Arial Unicode MS" w:hAnsi="Bookman Old Style" w:cs="Arial Unicode MS"/>
          <w:sz w:val="24"/>
          <w:szCs w:val="24"/>
        </w:rPr>
        <w:t xml:space="preserve">further </w:t>
      </w:r>
      <w:r>
        <w:rPr>
          <w:rFonts w:ascii="Bookman Old Style" w:eastAsia="Arial Unicode MS" w:hAnsi="Bookman Old Style" w:cs="Arial Unicode MS"/>
          <w:sz w:val="24"/>
          <w:szCs w:val="24"/>
        </w:rPr>
        <w:t>affidavit</w:t>
      </w:r>
      <w:r w:rsidR="002B5BEE">
        <w:rPr>
          <w:rFonts w:ascii="Bookman Old Style" w:eastAsia="Arial Unicode MS" w:hAnsi="Bookman Old Style" w:cs="Arial Unicode MS"/>
          <w:sz w:val="24"/>
          <w:szCs w:val="24"/>
        </w:rPr>
        <w:t xml:space="preserve"> dated 17</w:t>
      </w:r>
      <w:r w:rsidR="002B5BEE" w:rsidRPr="002B5BEE">
        <w:rPr>
          <w:rFonts w:ascii="Bookman Old Style" w:eastAsia="Arial Unicode MS" w:hAnsi="Bookman Old Style" w:cs="Arial Unicode MS"/>
          <w:sz w:val="24"/>
          <w:szCs w:val="24"/>
          <w:vertAlign w:val="superscript"/>
        </w:rPr>
        <w:t>th</w:t>
      </w:r>
      <w:r w:rsidR="002B5BEE">
        <w:rPr>
          <w:rFonts w:ascii="Bookman Old Style" w:eastAsia="Arial Unicode MS" w:hAnsi="Bookman Old Style" w:cs="Arial Unicode MS"/>
          <w:sz w:val="24"/>
          <w:szCs w:val="24"/>
        </w:rPr>
        <w:t xml:space="preserve"> January, 2011.</w:t>
      </w:r>
      <w:r w:rsidR="0031606B">
        <w:rPr>
          <w:rFonts w:ascii="Bookman Old Style" w:eastAsia="Arial Unicode MS" w:hAnsi="Bookman Old Style" w:cs="Arial Unicode MS"/>
          <w:sz w:val="24"/>
          <w:szCs w:val="24"/>
        </w:rPr>
        <w:t xml:space="preserve"> </w:t>
      </w:r>
      <w:r w:rsidR="002B5BEE">
        <w:rPr>
          <w:rFonts w:ascii="Bookman Old Style" w:eastAsia="Arial Unicode MS" w:hAnsi="Bookman Old Style" w:cs="Arial Unicode MS"/>
          <w:sz w:val="24"/>
          <w:szCs w:val="24"/>
        </w:rPr>
        <w:t>The 1</w:t>
      </w:r>
      <w:r w:rsidR="002B5BEE" w:rsidRPr="002B5BEE">
        <w:rPr>
          <w:rFonts w:ascii="Bookman Old Style" w:eastAsia="Arial Unicode MS" w:hAnsi="Bookman Old Style" w:cs="Arial Unicode MS"/>
          <w:sz w:val="24"/>
          <w:szCs w:val="24"/>
          <w:vertAlign w:val="superscript"/>
        </w:rPr>
        <w:t>st</w:t>
      </w:r>
      <w:r w:rsidR="002B5BEE">
        <w:rPr>
          <w:rFonts w:ascii="Bookman Old Style" w:eastAsia="Arial Unicode MS" w:hAnsi="Bookman Old Style" w:cs="Arial Unicode MS"/>
          <w:sz w:val="24"/>
          <w:szCs w:val="24"/>
        </w:rPr>
        <w:t xml:space="preserve"> defendant has alleged in paragraph 10 of the further affidavit</w:t>
      </w:r>
      <w:r w:rsidR="0031606B">
        <w:rPr>
          <w:rFonts w:ascii="Bookman Old Style" w:eastAsia="Arial Unicode MS" w:hAnsi="Bookman Old Style" w:cs="Arial Unicode MS"/>
          <w:sz w:val="24"/>
          <w:szCs w:val="24"/>
        </w:rPr>
        <w:t>,</w:t>
      </w:r>
      <w:r w:rsidR="002B5BEE">
        <w:rPr>
          <w:rFonts w:ascii="Bookman Old Style" w:eastAsia="Arial Unicode MS" w:hAnsi="Bookman Old Style" w:cs="Arial Unicode MS"/>
          <w:sz w:val="24"/>
          <w:szCs w:val="24"/>
        </w:rPr>
        <w:t xml:space="preserve"> that the plaintiff is notorious for defaming his political opponen</w:t>
      </w:r>
      <w:r w:rsidR="00A94520">
        <w:rPr>
          <w:rFonts w:ascii="Bookman Old Style" w:eastAsia="Arial Unicode MS" w:hAnsi="Bookman Old Style" w:cs="Arial Unicode MS"/>
          <w:sz w:val="24"/>
          <w:szCs w:val="24"/>
        </w:rPr>
        <w:t>ts in very unpalatable language.</w:t>
      </w:r>
      <w:r w:rsidR="002B5BEE">
        <w:rPr>
          <w:rFonts w:ascii="Bookman Old Style" w:eastAsia="Arial Unicode MS" w:hAnsi="Bookman Old Style" w:cs="Arial Unicode MS"/>
          <w:sz w:val="24"/>
          <w:szCs w:val="24"/>
        </w:rPr>
        <w:t xml:space="preserve"> </w:t>
      </w:r>
      <w:r w:rsidR="00A94520">
        <w:rPr>
          <w:rFonts w:ascii="Bookman Old Style" w:eastAsia="Arial Unicode MS" w:hAnsi="Bookman Old Style" w:cs="Arial Unicode MS"/>
          <w:sz w:val="24"/>
          <w:szCs w:val="24"/>
        </w:rPr>
        <w:t>Yet he is</w:t>
      </w:r>
      <w:r w:rsidR="002B5BEE">
        <w:rPr>
          <w:rFonts w:ascii="Bookman Old Style" w:eastAsia="Arial Unicode MS" w:hAnsi="Bookman Old Style" w:cs="Arial Unicode MS"/>
          <w:sz w:val="24"/>
          <w:szCs w:val="24"/>
        </w:rPr>
        <w:t xml:space="preserve"> quick </w:t>
      </w:r>
      <w:r w:rsidR="00A94520">
        <w:rPr>
          <w:rFonts w:ascii="Bookman Old Style" w:eastAsia="Arial Unicode MS" w:hAnsi="Bookman Old Style" w:cs="Arial Unicode MS"/>
          <w:sz w:val="24"/>
          <w:szCs w:val="24"/>
        </w:rPr>
        <w:t xml:space="preserve">to </w:t>
      </w:r>
      <w:r w:rsidR="002B5BEE">
        <w:rPr>
          <w:rFonts w:ascii="Bookman Old Style" w:eastAsia="Arial Unicode MS" w:hAnsi="Bookman Old Style" w:cs="Arial Unicode MS"/>
          <w:sz w:val="24"/>
          <w:szCs w:val="24"/>
        </w:rPr>
        <w:t>cry foul</w:t>
      </w:r>
      <w:r w:rsidR="00A94520">
        <w:rPr>
          <w:rFonts w:ascii="Bookman Old Style" w:eastAsia="Arial Unicode MS" w:hAnsi="Bookman Old Style" w:cs="Arial Unicode MS"/>
          <w:sz w:val="24"/>
          <w:szCs w:val="24"/>
        </w:rPr>
        <w:t xml:space="preserve"> when his character, and </w:t>
      </w:r>
      <w:r w:rsidR="00CB532E">
        <w:rPr>
          <w:rFonts w:ascii="Bookman Old Style" w:eastAsia="Arial Unicode MS" w:hAnsi="Bookman Old Style" w:cs="Arial Unicode MS"/>
          <w:sz w:val="24"/>
          <w:szCs w:val="24"/>
        </w:rPr>
        <w:t>conduct</w:t>
      </w:r>
      <w:r w:rsidR="00A94520">
        <w:rPr>
          <w:rFonts w:ascii="Bookman Old Style" w:eastAsia="Arial Unicode MS" w:hAnsi="Bookman Old Style" w:cs="Arial Unicode MS"/>
          <w:sz w:val="24"/>
          <w:szCs w:val="24"/>
        </w:rPr>
        <w:t xml:space="preserve"> is criticised</w:t>
      </w:r>
      <w:r w:rsidR="002B5BEE">
        <w:rPr>
          <w:rFonts w:ascii="Bookman Old Style" w:eastAsia="Arial Unicode MS" w:hAnsi="Bookman Old Style" w:cs="Arial Unicode MS"/>
          <w:sz w:val="24"/>
          <w:szCs w:val="24"/>
        </w:rPr>
        <w:t>. The 1</w:t>
      </w:r>
      <w:r w:rsidR="002B5BEE" w:rsidRPr="002B5BEE">
        <w:rPr>
          <w:rFonts w:ascii="Bookman Old Style" w:eastAsia="Arial Unicode MS" w:hAnsi="Bookman Old Style" w:cs="Arial Unicode MS"/>
          <w:sz w:val="24"/>
          <w:szCs w:val="24"/>
          <w:vertAlign w:val="superscript"/>
        </w:rPr>
        <w:t>st</w:t>
      </w:r>
      <w:r w:rsidR="002B5BEE">
        <w:rPr>
          <w:rFonts w:ascii="Bookman Old Style" w:eastAsia="Arial Unicode MS" w:hAnsi="Bookman Old Style" w:cs="Arial Unicode MS"/>
          <w:sz w:val="24"/>
          <w:szCs w:val="24"/>
        </w:rPr>
        <w:t xml:space="preserve"> defendant went on to produce “CC7” a copy of the </w:t>
      </w:r>
      <w:r w:rsidR="002B5BEE" w:rsidRPr="00A94520">
        <w:rPr>
          <w:rFonts w:ascii="Bookman Old Style" w:eastAsia="Arial Unicode MS" w:hAnsi="Bookman Old Style" w:cs="Arial Unicode MS"/>
          <w:i/>
          <w:sz w:val="24"/>
          <w:szCs w:val="24"/>
        </w:rPr>
        <w:t>Post Newspaper</w:t>
      </w:r>
      <w:r w:rsidR="00A94520">
        <w:rPr>
          <w:rFonts w:ascii="Bookman Old Style" w:eastAsia="Arial Unicode MS" w:hAnsi="Bookman Old Style" w:cs="Arial Unicode MS"/>
          <w:sz w:val="24"/>
          <w:szCs w:val="24"/>
        </w:rPr>
        <w:t xml:space="preserve"> cutting</w:t>
      </w:r>
      <w:r w:rsidR="002B5BEE">
        <w:rPr>
          <w:rFonts w:ascii="Bookman Old Style" w:eastAsia="Arial Unicode MS" w:hAnsi="Bookman Old Style" w:cs="Arial Unicode MS"/>
          <w:sz w:val="24"/>
          <w:szCs w:val="24"/>
        </w:rPr>
        <w:t xml:space="preserve">, which he used to support his allegation that the plaintiff has also clearly defamed his political opponents as being hypocritical, and cruel leaders in relation to the provision of medical services in this country. I must state </w:t>
      </w:r>
      <w:r w:rsidR="00CB532E">
        <w:rPr>
          <w:rFonts w:ascii="Bookman Old Style" w:eastAsia="Arial Unicode MS" w:hAnsi="Bookman Old Style" w:cs="Arial Unicode MS"/>
          <w:sz w:val="24"/>
          <w:szCs w:val="24"/>
        </w:rPr>
        <w:t xml:space="preserve">at once </w:t>
      </w:r>
      <w:r w:rsidR="002B5BEE">
        <w:rPr>
          <w:rFonts w:ascii="Bookman Old Style" w:eastAsia="Arial Unicode MS" w:hAnsi="Bookman Old Style" w:cs="Arial Unicode MS"/>
          <w:sz w:val="24"/>
          <w:szCs w:val="24"/>
        </w:rPr>
        <w:t xml:space="preserve">that I am </w:t>
      </w:r>
      <w:r w:rsidR="00A94520">
        <w:rPr>
          <w:rFonts w:ascii="Bookman Old Style" w:eastAsia="Arial Unicode MS" w:hAnsi="Bookman Old Style" w:cs="Arial Unicode MS"/>
          <w:sz w:val="24"/>
          <w:szCs w:val="24"/>
        </w:rPr>
        <w:t>constrained to</w:t>
      </w:r>
      <w:r w:rsidR="006C6424">
        <w:rPr>
          <w:rFonts w:ascii="Bookman Old Style" w:eastAsia="Arial Unicode MS" w:hAnsi="Bookman Old Style" w:cs="Arial Unicode MS"/>
          <w:sz w:val="24"/>
          <w:szCs w:val="24"/>
        </w:rPr>
        <w:t xml:space="preserve"> address this matter because </w:t>
      </w:r>
      <w:r w:rsidR="00A94520">
        <w:rPr>
          <w:rFonts w:ascii="Bookman Old Style" w:eastAsia="Arial Unicode MS" w:hAnsi="Bookman Old Style" w:cs="Arial Unicode MS"/>
          <w:sz w:val="24"/>
          <w:szCs w:val="24"/>
        </w:rPr>
        <w:t>it has not been pleaded. I am fortified in taking this position</w:t>
      </w:r>
      <w:r w:rsidR="00520FD0">
        <w:rPr>
          <w:rFonts w:ascii="Bookman Old Style" w:eastAsia="Arial Unicode MS" w:hAnsi="Bookman Old Style" w:cs="Arial Unicode MS"/>
          <w:sz w:val="24"/>
          <w:szCs w:val="24"/>
        </w:rPr>
        <w:t xml:space="preserve"> by </w:t>
      </w:r>
      <w:r w:rsidR="006C6424">
        <w:rPr>
          <w:rFonts w:ascii="Bookman Old Style" w:eastAsia="Arial Unicode MS" w:hAnsi="Bookman Old Style" w:cs="Arial Unicode MS"/>
          <w:sz w:val="24"/>
          <w:szCs w:val="24"/>
        </w:rPr>
        <w:t>the observation o</w:t>
      </w:r>
      <w:r w:rsidR="00520FD0">
        <w:rPr>
          <w:rFonts w:ascii="Bookman Old Style" w:eastAsia="Arial Unicode MS" w:hAnsi="Bookman Old Style" w:cs="Arial Unicode MS"/>
          <w:sz w:val="24"/>
          <w:szCs w:val="24"/>
        </w:rPr>
        <w:t xml:space="preserve">f the erstwhile </w:t>
      </w:r>
      <w:r w:rsidR="00CB532E">
        <w:rPr>
          <w:rFonts w:ascii="Bookman Old Style" w:eastAsia="Arial Unicode MS" w:hAnsi="Bookman Old Style" w:cs="Arial Unicode MS"/>
          <w:sz w:val="24"/>
          <w:szCs w:val="24"/>
        </w:rPr>
        <w:t xml:space="preserve">Deputy </w:t>
      </w:r>
      <w:r w:rsidR="00520FD0">
        <w:rPr>
          <w:rFonts w:ascii="Bookman Old Style" w:eastAsia="Arial Unicode MS" w:hAnsi="Bookman Old Style" w:cs="Arial Unicode MS"/>
          <w:sz w:val="24"/>
          <w:szCs w:val="24"/>
        </w:rPr>
        <w:t>Chief Justice</w:t>
      </w:r>
      <w:r w:rsidR="006C6424">
        <w:rPr>
          <w:rFonts w:ascii="Bookman Old Style" w:eastAsia="Arial Unicode MS" w:hAnsi="Bookman Old Style" w:cs="Arial Unicode MS"/>
          <w:sz w:val="24"/>
          <w:szCs w:val="24"/>
        </w:rPr>
        <w:t xml:space="preserve"> Lewanika</w:t>
      </w:r>
      <w:r w:rsidR="0031606B">
        <w:rPr>
          <w:rFonts w:ascii="Bookman Old Style" w:eastAsia="Arial Unicode MS" w:hAnsi="Bookman Old Style" w:cs="Arial Unicode MS"/>
          <w:sz w:val="24"/>
          <w:szCs w:val="24"/>
        </w:rPr>
        <w:t>,</w:t>
      </w:r>
      <w:r w:rsidR="006C6424">
        <w:rPr>
          <w:rFonts w:ascii="Bookman Old Style" w:eastAsia="Arial Unicode MS" w:hAnsi="Bookman Old Style" w:cs="Arial Unicode MS"/>
          <w:sz w:val="24"/>
          <w:szCs w:val="24"/>
        </w:rPr>
        <w:t xml:space="preserve"> in </w:t>
      </w:r>
      <w:r w:rsidR="006C6424" w:rsidRPr="00520FD0">
        <w:rPr>
          <w:rFonts w:ascii="Bookman Old Style" w:eastAsia="Arial Unicode MS" w:hAnsi="Bookman Old Style" w:cs="Arial Unicode MS"/>
          <w:i/>
          <w:sz w:val="24"/>
          <w:szCs w:val="24"/>
        </w:rPr>
        <w:t xml:space="preserve">Admark Limited </w:t>
      </w:r>
      <w:r w:rsidR="00520FD0" w:rsidRPr="00520FD0">
        <w:rPr>
          <w:rFonts w:ascii="Bookman Old Style" w:eastAsia="Arial Unicode MS" w:hAnsi="Bookman Old Style" w:cs="Arial Unicode MS"/>
          <w:i/>
          <w:sz w:val="24"/>
          <w:szCs w:val="24"/>
        </w:rPr>
        <w:t xml:space="preserve">v </w:t>
      </w:r>
      <w:r w:rsidR="006C6424" w:rsidRPr="00520FD0">
        <w:rPr>
          <w:rFonts w:ascii="Bookman Old Style" w:eastAsia="Arial Unicode MS" w:hAnsi="Bookman Old Style" w:cs="Arial Unicode MS"/>
          <w:i/>
          <w:sz w:val="24"/>
          <w:szCs w:val="24"/>
        </w:rPr>
        <w:t>Zambia Revenue Authority</w:t>
      </w:r>
      <w:r w:rsidR="0016683D">
        <w:rPr>
          <w:rFonts w:ascii="Bookman Old Style" w:eastAsia="Arial Unicode MS" w:hAnsi="Bookman Old Style" w:cs="Arial Unicode MS"/>
          <w:sz w:val="24"/>
          <w:szCs w:val="24"/>
        </w:rPr>
        <w:t>,</w:t>
      </w:r>
      <w:r w:rsidR="0031606B">
        <w:rPr>
          <w:rStyle w:val="FootnoteReference"/>
          <w:rFonts w:ascii="Bookman Old Style" w:eastAsia="Arial Unicode MS" w:hAnsi="Bookman Old Style" w:cs="Arial Unicode MS"/>
          <w:sz w:val="24"/>
          <w:szCs w:val="24"/>
        </w:rPr>
        <w:footnoteReference w:id="155"/>
      </w:r>
      <w:r w:rsidR="006C6424">
        <w:rPr>
          <w:rFonts w:ascii="Bookman Old Style" w:eastAsia="Arial Unicode MS" w:hAnsi="Bookman Old Style" w:cs="Arial Unicode MS"/>
          <w:sz w:val="24"/>
          <w:szCs w:val="24"/>
        </w:rPr>
        <w:t xml:space="preserve"> </w:t>
      </w:r>
      <w:r w:rsidR="00CB532E">
        <w:rPr>
          <w:rFonts w:ascii="Bookman Old Style" w:eastAsia="Arial Unicode MS" w:hAnsi="Bookman Old Style" w:cs="Arial Unicode MS"/>
          <w:sz w:val="24"/>
          <w:szCs w:val="24"/>
        </w:rPr>
        <w:t xml:space="preserve">where </w:t>
      </w:r>
      <w:r w:rsidR="006C6424">
        <w:rPr>
          <w:rFonts w:ascii="Bookman Old Style" w:eastAsia="Arial Unicode MS" w:hAnsi="Bookman Old Style" w:cs="Arial Unicode MS"/>
          <w:sz w:val="24"/>
          <w:szCs w:val="24"/>
        </w:rPr>
        <w:t>he said:</w:t>
      </w:r>
    </w:p>
    <w:p w:rsidR="0060384D" w:rsidRPr="00520FD0" w:rsidRDefault="006C6424" w:rsidP="00520FD0">
      <w:pPr>
        <w:spacing w:before="240" w:line="240" w:lineRule="auto"/>
        <w:jc w:val="both"/>
        <w:rPr>
          <w:rFonts w:ascii="Bookman Old Style" w:eastAsia="Arial Unicode MS" w:hAnsi="Bookman Old Style" w:cs="Arial Unicode MS"/>
          <w:i/>
          <w:sz w:val="24"/>
          <w:szCs w:val="24"/>
        </w:rPr>
      </w:pPr>
      <w:r>
        <w:rPr>
          <w:rFonts w:ascii="Bookman Old Style" w:eastAsia="Arial Unicode MS" w:hAnsi="Bookman Old Style" w:cs="Arial Unicode MS"/>
          <w:sz w:val="24"/>
          <w:szCs w:val="24"/>
        </w:rPr>
        <w:t>“</w:t>
      </w:r>
      <w:r w:rsidRPr="00520FD0">
        <w:rPr>
          <w:rFonts w:ascii="Bookman Old Style" w:eastAsia="Arial Unicode MS" w:hAnsi="Bookman Old Style" w:cs="Arial Unicode MS"/>
          <w:i/>
          <w:sz w:val="24"/>
          <w:szCs w:val="24"/>
        </w:rPr>
        <w:t xml:space="preserve">Generally speaking, the purpose of pleading is to ensure that in advance of trial “the issue in dispute between the parties can be defined,” </w:t>
      </w:r>
      <w:r w:rsidR="0060384D" w:rsidRPr="00520FD0">
        <w:rPr>
          <w:rFonts w:ascii="Bookman Old Style" w:eastAsia="Arial Unicode MS" w:hAnsi="Bookman Old Style" w:cs="Arial Unicode MS"/>
          <w:i/>
          <w:sz w:val="24"/>
          <w:szCs w:val="24"/>
        </w:rPr>
        <w:t>thereby enabling those matters on which issue is “joined” to be identified. Order 18</w:t>
      </w:r>
      <w:r w:rsidR="00520FD0" w:rsidRPr="00520FD0">
        <w:rPr>
          <w:rFonts w:ascii="Bookman Old Style" w:eastAsia="Arial Unicode MS" w:hAnsi="Bookman Old Style" w:cs="Arial Unicode MS"/>
          <w:i/>
          <w:sz w:val="24"/>
          <w:szCs w:val="24"/>
        </w:rPr>
        <w:t xml:space="preserve"> </w:t>
      </w:r>
      <w:r w:rsidR="0060384D" w:rsidRPr="00520FD0">
        <w:rPr>
          <w:rFonts w:ascii="Bookman Old Style" w:eastAsia="Arial Unicode MS" w:hAnsi="Bookman Old Style" w:cs="Arial Unicode MS"/>
          <w:i/>
          <w:sz w:val="24"/>
          <w:szCs w:val="24"/>
        </w:rPr>
        <w:t xml:space="preserve">of the Rules of the </w:t>
      </w:r>
      <w:r w:rsidR="0060384D" w:rsidRPr="00520FD0">
        <w:rPr>
          <w:rFonts w:ascii="Bookman Old Style" w:eastAsia="Arial Unicode MS" w:hAnsi="Bookman Old Style" w:cs="Arial Unicode MS"/>
          <w:i/>
          <w:sz w:val="24"/>
          <w:szCs w:val="24"/>
        </w:rPr>
        <w:lastRenderedPageBreak/>
        <w:t>Supreme Court sets out those matters which must be specifically pleaded before they can be relied upon by a party in its defence.”</w:t>
      </w:r>
    </w:p>
    <w:p w:rsidR="008213F6" w:rsidRDefault="008213F6" w:rsidP="00D052DE">
      <w:pPr>
        <w:spacing w:before="240" w:line="360" w:lineRule="auto"/>
        <w:jc w:val="both"/>
        <w:rPr>
          <w:rFonts w:ascii="Bookman Old Style" w:eastAsia="Arial Unicode MS" w:hAnsi="Bookman Old Style" w:cs="Arial Unicode MS"/>
          <w:sz w:val="24"/>
          <w:szCs w:val="24"/>
        </w:rPr>
      </w:pPr>
    </w:p>
    <w:p w:rsidR="006A0336" w:rsidRDefault="0031606B"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To continue, in terms of</w:t>
      </w:r>
      <w:r w:rsidR="0045544B">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injunction law</w:t>
      </w:r>
      <w:r w:rsidR="00CB532E">
        <w:rPr>
          <w:rFonts w:ascii="Bookman Old Style" w:eastAsia="Arial Unicode MS" w:hAnsi="Bookman Old Style" w:cs="Arial Unicode MS"/>
          <w:sz w:val="24"/>
          <w:szCs w:val="24"/>
        </w:rPr>
        <w:t xml:space="preserve"> and practice</w:t>
      </w:r>
      <w:r>
        <w:rPr>
          <w:rFonts w:ascii="Bookman Old Style" w:eastAsia="Arial Unicode MS" w:hAnsi="Bookman Old Style" w:cs="Arial Unicode MS"/>
          <w:sz w:val="24"/>
          <w:szCs w:val="24"/>
        </w:rPr>
        <w:t>,</w:t>
      </w:r>
      <w:r w:rsidR="0045544B">
        <w:rPr>
          <w:rFonts w:ascii="Bookman Old Style" w:eastAsia="Arial Unicode MS" w:hAnsi="Bookman Old Style" w:cs="Arial Unicode MS"/>
          <w:sz w:val="24"/>
          <w:szCs w:val="24"/>
        </w:rPr>
        <w:t xml:space="preserve"> at this stage of the proceedings, </w:t>
      </w:r>
      <w:r w:rsidR="00FC607A">
        <w:rPr>
          <w:rFonts w:ascii="Bookman Old Style" w:eastAsia="Arial Unicode MS" w:hAnsi="Bookman Old Style" w:cs="Arial Unicode MS"/>
          <w:sz w:val="24"/>
          <w:szCs w:val="24"/>
        </w:rPr>
        <w:t xml:space="preserve">I am required </w:t>
      </w:r>
      <w:r>
        <w:rPr>
          <w:rFonts w:ascii="Bookman Old Style" w:eastAsia="Arial Unicode MS" w:hAnsi="Bookman Old Style" w:cs="Arial Unicode MS"/>
          <w:sz w:val="24"/>
          <w:szCs w:val="24"/>
        </w:rPr>
        <w:t xml:space="preserve">to </w:t>
      </w:r>
      <w:r w:rsidR="00FC607A">
        <w:rPr>
          <w:rFonts w:ascii="Bookman Old Style" w:eastAsia="Arial Unicode MS" w:hAnsi="Bookman Old Style" w:cs="Arial Unicode MS"/>
          <w:sz w:val="24"/>
          <w:szCs w:val="24"/>
        </w:rPr>
        <w:t xml:space="preserve">adopt the approach, and practice prescribed by the </w:t>
      </w:r>
      <w:r w:rsidR="00FC607A" w:rsidRPr="00FC607A">
        <w:rPr>
          <w:rFonts w:ascii="Bookman Old Style" w:eastAsia="Arial Unicode MS" w:hAnsi="Bookman Old Style" w:cs="Arial Unicode MS"/>
          <w:i/>
          <w:sz w:val="24"/>
          <w:szCs w:val="24"/>
        </w:rPr>
        <w:t>American cynamid</w:t>
      </w:r>
      <w:r w:rsidR="0016683D">
        <w:rPr>
          <w:rFonts w:ascii="Bookman Old Style" w:eastAsia="Arial Unicode MS" w:hAnsi="Bookman Old Style" w:cs="Arial Unicode MS"/>
          <w:i/>
          <w:sz w:val="24"/>
          <w:szCs w:val="24"/>
        </w:rPr>
        <w:t>.</w:t>
      </w:r>
      <w:r w:rsidR="00FC607A">
        <w:rPr>
          <w:rFonts w:ascii="Bookman Old Style" w:eastAsia="Arial Unicode MS" w:hAnsi="Bookman Old Style" w:cs="Arial Unicode MS"/>
          <w:sz w:val="24"/>
          <w:szCs w:val="24"/>
        </w:rPr>
        <w:t xml:space="preserve"> case, </w:t>
      </w:r>
      <w:r w:rsidR="005859C1">
        <w:rPr>
          <w:rFonts w:ascii="Bookman Old Style" w:eastAsia="Arial Unicode MS" w:hAnsi="Bookman Old Style" w:cs="Arial Unicode MS"/>
          <w:sz w:val="24"/>
          <w:szCs w:val="24"/>
        </w:rPr>
        <w:t>namely</w:t>
      </w:r>
      <w:r w:rsidR="00FC607A">
        <w:rPr>
          <w:rFonts w:ascii="Bookman Old Style" w:eastAsia="Arial Unicode MS" w:hAnsi="Bookman Old Style" w:cs="Arial Unicode MS"/>
          <w:sz w:val="24"/>
          <w:szCs w:val="24"/>
        </w:rPr>
        <w:t>: I am supposed to</w:t>
      </w:r>
      <w:r w:rsidR="005859C1">
        <w:rPr>
          <w:rFonts w:ascii="Bookman Old Style" w:eastAsia="Arial Unicode MS" w:hAnsi="Bookman Old Style" w:cs="Arial Unicode MS"/>
          <w:sz w:val="24"/>
          <w:szCs w:val="24"/>
        </w:rPr>
        <w:t xml:space="preserve"> investigate whether or not the plaintiff has raised a serious question of law; whether or not an award of damages would be adequate if the plaintiff were to suc</w:t>
      </w:r>
      <w:r>
        <w:rPr>
          <w:rFonts w:ascii="Bookman Old Style" w:eastAsia="Arial Unicode MS" w:hAnsi="Bookman Old Style" w:cs="Arial Unicode MS"/>
          <w:sz w:val="24"/>
          <w:szCs w:val="24"/>
        </w:rPr>
        <w:t>ceed after the trial; in case I entertain</w:t>
      </w:r>
      <w:r w:rsidR="005859C1">
        <w:rPr>
          <w:rFonts w:ascii="Bookman Old Style" w:eastAsia="Arial Unicode MS" w:hAnsi="Bookman Old Style" w:cs="Arial Unicode MS"/>
          <w:sz w:val="24"/>
          <w:szCs w:val="24"/>
        </w:rPr>
        <w:t xml:space="preserve"> doubt as t</w:t>
      </w:r>
      <w:r>
        <w:rPr>
          <w:rFonts w:ascii="Bookman Old Style" w:eastAsia="Arial Unicode MS" w:hAnsi="Bookman Old Style" w:cs="Arial Unicode MS"/>
          <w:sz w:val="24"/>
          <w:szCs w:val="24"/>
        </w:rPr>
        <w:t>o</w:t>
      </w:r>
      <w:r w:rsidR="005859C1">
        <w:rPr>
          <w:rFonts w:ascii="Bookman Old Style" w:eastAsia="Arial Unicode MS" w:hAnsi="Bookman Old Style" w:cs="Arial Unicode MS"/>
          <w:sz w:val="24"/>
          <w:szCs w:val="24"/>
        </w:rPr>
        <w:t xml:space="preserve"> the adequacy of the damages, and the ability of def</w:t>
      </w:r>
      <w:r w:rsidR="00CB532E">
        <w:rPr>
          <w:rFonts w:ascii="Bookman Old Style" w:eastAsia="Arial Unicode MS" w:hAnsi="Bookman Old Style" w:cs="Arial Unicode MS"/>
          <w:sz w:val="24"/>
          <w:szCs w:val="24"/>
        </w:rPr>
        <w:t>endants to pay them, I am requir</w:t>
      </w:r>
      <w:r w:rsidR="005859C1">
        <w:rPr>
          <w:rFonts w:ascii="Bookman Old Style" w:eastAsia="Arial Unicode MS" w:hAnsi="Bookman Old Style" w:cs="Arial Unicode MS"/>
          <w:sz w:val="24"/>
          <w:szCs w:val="24"/>
        </w:rPr>
        <w:t xml:space="preserve">ed to establish where </w:t>
      </w:r>
      <w:r w:rsidR="00CB532E">
        <w:rPr>
          <w:rFonts w:ascii="Bookman Old Style" w:eastAsia="Arial Unicode MS" w:hAnsi="Bookman Old Style" w:cs="Arial Unicode MS"/>
          <w:sz w:val="24"/>
          <w:szCs w:val="24"/>
        </w:rPr>
        <w:t>the balance of convenience lies;</w:t>
      </w:r>
      <w:r w:rsidR="005859C1">
        <w:rPr>
          <w:rFonts w:ascii="Bookman Old Style" w:eastAsia="Arial Unicode MS" w:hAnsi="Bookman Old Style" w:cs="Arial Unicode MS"/>
          <w:sz w:val="24"/>
          <w:szCs w:val="24"/>
        </w:rPr>
        <w:t xml:space="preserve"> and finally</w:t>
      </w:r>
      <w:r>
        <w:rPr>
          <w:rFonts w:ascii="Bookman Old Style" w:eastAsia="Arial Unicode MS" w:hAnsi="Bookman Old Style" w:cs="Arial Unicode MS"/>
          <w:sz w:val="24"/>
          <w:szCs w:val="24"/>
        </w:rPr>
        <w:t>,</w:t>
      </w:r>
      <w:r w:rsidR="005859C1">
        <w:rPr>
          <w:rFonts w:ascii="Bookman Old Style" w:eastAsia="Arial Unicode MS" w:hAnsi="Bookman Old Style" w:cs="Arial Unicode MS"/>
          <w:sz w:val="24"/>
          <w:szCs w:val="24"/>
        </w:rPr>
        <w:t xml:space="preserve"> assuming the factors referred to </w:t>
      </w:r>
      <w:r w:rsidR="00CB532E">
        <w:rPr>
          <w:rFonts w:ascii="Bookman Old Style" w:eastAsia="Arial Unicode MS" w:hAnsi="Bookman Old Style" w:cs="Arial Unicode MS"/>
          <w:sz w:val="24"/>
          <w:szCs w:val="24"/>
        </w:rPr>
        <w:t xml:space="preserve">above </w:t>
      </w:r>
      <w:r>
        <w:rPr>
          <w:rFonts w:ascii="Bookman Old Style" w:eastAsia="Arial Unicode MS" w:hAnsi="Bookman Old Style" w:cs="Arial Unicode MS"/>
          <w:sz w:val="24"/>
          <w:szCs w:val="24"/>
        </w:rPr>
        <w:t>a</w:t>
      </w:r>
      <w:r w:rsidR="005859C1">
        <w:rPr>
          <w:rFonts w:ascii="Bookman Old Style" w:eastAsia="Arial Unicode MS" w:hAnsi="Bookman Old Style" w:cs="Arial Unicode MS"/>
          <w:sz w:val="24"/>
          <w:szCs w:val="24"/>
        </w:rPr>
        <w:t>re evenly balanced</w:t>
      </w:r>
      <w:r w:rsidR="00CB532E">
        <w:rPr>
          <w:rFonts w:ascii="Bookman Old Style" w:eastAsia="Arial Unicode MS" w:hAnsi="Bookman Old Style" w:cs="Arial Unicode MS"/>
          <w:sz w:val="24"/>
          <w:szCs w:val="24"/>
        </w:rPr>
        <w:t>,</w:t>
      </w:r>
      <w:r w:rsidR="005859C1">
        <w:rPr>
          <w:rFonts w:ascii="Bookman Old Style" w:eastAsia="Arial Unicode MS" w:hAnsi="Bookman Old Style" w:cs="Arial Unicode MS"/>
          <w:sz w:val="24"/>
          <w:szCs w:val="24"/>
        </w:rPr>
        <w:t xml:space="preserve"> I am required to consider whether </w:t>
      </w:r>
      <w:r w:rsidR="0016683D">
        <w:rPr>
          <w:rFonts w:ascii="Bookman Old Style" w:eastAsia="Arial Unicode MS" w:hAnsi="Bookman Old Style" w:cs="Arial Unicode MS"/>
          <w:sz w:val="24"/>
          <w:szCs w:val="24"/>
        </w:rPr>
        <w:t xml:space="preserve">or not </w:t>
      </w:r>
      <w:r w:rsidR="005859C1">
        <w:rPr>
          <w:rFonts w:ascii="Bookman Old Style" w:eastAsia="Arial Unicode MS" w:hAnsi="Bookman Old Style" w:cs="Arial Unicode MS"/>
          <w:sz w:val="24"/>
          <w:szCs w:val="24"/>
        </w:rPr>
        <w:t xml:space="preserve">it is advisable to maintain the status quo. However, </w:t>
      </w:r>
      <w:r w:rsidR="00653887">
        <w:rPr>
          <w:rFonts w:ascii="Bookman Old Style" w:eastAsia="Arial Unicode MS" w:hAnsi="Bookman Old Style" w:cs="Arial Unicode MS"/>
          <w:sz w:val="24"/>
          <w:szCs w:val="24"/>
        </w:rPr>
        <w:t>the practice established in applications for interim injunction</w:t>
      </w:r>
      <w:r w:rsidR="00D7763E">
        <w:rPr>
          <w:rFonts w:ascii="Bookman Old Style" w:eastAsia="Arial Unicode MS" w:hAnsi="Bookman Old Style" w:cs="Arial Unicode MS"/>
          <w:sz w:val="24"/>
          <w:szCs w:val="24"/>
        </w:rPr>
        <w:t>s</w:t>
      </w:r>
      <w:r w:rsidR="00653887">
        <w:rPr>
          <w:rFonts w:ascii="Bookman Old Style" w:eastAsia="Arial Unicode MS" w:hAnsi="Bookman Old Style" w:cs="Arial Unicode MS"/>
          <w:sz w:val="24"/>
          <w:szCs w:val="24"/>
        </w:rPr>
        <w:t xml:space="preserve"> in the </w:t>
      </w:r>
      <w:r w:rsidR="00653887" w:rsidRPr="003D1619">
        <w:rPr>
          <w:rFonts w:ascii="Bookman Old Style" w:eastAsia="Arial Unicode MS" w:hAnsi="Bookman Old Style" w:cs="Arial Unicode MS"/>
          <w:i/>
          <w:sz w:val="24"/>
          <w:szCs w:val="24"/>
        </w:rPr>
        <w:t>American Cynamid</w:t>
      </w:r>
      <w:r w:rsidR="00653887">
        <w:rPr>
          <w:rFonts w:ascii="Bookman Old Style" w:eastAsia="Arial Unicode MS" w:hAnsi="Bookman Old Style" w:cs="Arial Unicode MS"/>
          <w:sz w:val="24"/>
          <w:szCs w:val="24"/>
        </w:rPr>
        <w:t xml:space="preserve"> case of </w:t>
      </w:r>
      <w:r w:rsidR="003D1619">
        <w:rPr>
          <w:rFonts w:ascii="Bookman Old Style" w:eastAsia="Arial Unicode MS" w:hAnsi="Bookman Old Style" w:cs="Arial Unicode MS"/>
          <w:sz w:val="24"/>
          <w:szCs w:val="24"/>
        </w:rPr>
        <w:t>not considering the merits of the case once it has been shown that there is a serious issue to be tried, but determining where the balance of conv</w:t>
      </w:r>
      <w:r w:rsidR="00CB532E">
        <w:rPr>
          <w:rFonts w:ascii="Bookman Old Style" w:eastAsia="Arial Unicode MS" w:hAnsi="Bookman Old Style" w:cs="Arial Unicode MS"/>
          <w:sz w:val="24"/>
          <w:szCs w:val="24"/>
        </w:rPr>
        <w:t>enience lay between the parties</w:t>
      </w:r>
      <w:r w:rsidR="003D1619">
        <w:rPr>
          <w:rFonts w:ascii="Bookman Old Style" w:eastAsia="Arial Unicode MS" w:hAnsi="Bookman Old Style" w:cs="Arial Unicode MS"/>
          <w:sz w:val="24"/>
          <w:szCs w:val="24"/>
        </w:rPr>
        <w:t xml:space="preserve"> as regards the imposition of restraining orders is </w:t>
      </w:r>
      <w:r w:rsidR="00CB532E">
        <w:rPr>
          <w:rFonts w:ascii="Bookman Old Style" w:eastAsia="Arial Unicode MS" w:hAnsi="Bookman Old Style" w:cs="Arial Unicode MS"/>
          <w:sz w:val="24"/>
          <w:szCs w:val="24"/>
        </w:rPr>
        <w:t>inapplicable</w:t>
      </w:r>
      <w:r w:rsidR="00B22F0F">
        <w:rPr>
          <w:rFonts w:ascii="Bookman Old Style" w:eastAsia="Arial Unicode MS" w:hAnsi="Bookman Old Style" w:cs="Arial Unicode MS"/>
          <w:sz w:val="24"/>
          <w:szCs w:val="24"/>
        </w:rPr>
        <w:t xml:space="preserve"> to defamation cases.</w:t>
      </w:r>
      <w:r>
        <w:rPr>
          <w:rFonts w:ascii="Bookman Old Style" w:eastAsia="Arial Unicode MS" w:hAnsi="Bookman Old Style" w:cs="Arial Unicode MS"/>
          <w:sz w:val="24"/>
          <w:szCs w:val="24"/>
        </w:rPr>
        <w:t xml:space="preserve"> I</w:t>
      </w:r>
      <w:r w:rsidR="00CB532E">
        <w:rPr>
          <w:rFonts w:ascii="Bookman Old Style" w:eastAsia="Arial Unicode MS" w:hAnsi="Bookman Old Style" w:cs="Arial Unicode MS"/>
          <w:sz w:val="24"/>
          <w:szCs w:val="24"/>
        </w:rPr>
        <w:t>n</w:t>
      </w:r>
      <w:r w:rsidR="00F05DCB">
        <w:rPr>
          <w:rFonts w:ascii="Bookman Old Style" w:eastAsia="Arial Unicode MS" w:hAnsi="Bookman Old Style" w:cs="Arial Unicode MS"/>
          <w:sz w:val="24"/>
          <w:szCs w:val="24"/>
        </w:rPr>
        <w:t xml:space="preserve"> defamation cases</w:t>
      </w:r>
      <w:r w:rsidR="00D7763E">
        <w:rPr>
          <w:rFonts w:ascii="Bookman Old Style" w:eastAsia="Arial Unicode MS" w:hAnsi="Bookman Old Style" w:cs="Arial Unicode MS"/>
          <w:sz w:val="24"/>
          <w:szCs w:val="24"/>
        </w:rPr>
        <w:t>,</w:t>
      </w:r>
      <w:r w:rsidR="00F05DCB">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 xml:space="preserve">I am </w:t>
      </w:r>
      <w:r w:rsidR="00CB532E">
        <w:rPr>
          <w:rFonts w:ascii="Bookman Old Style" w:eastAsia="Arial Unicode MS" w:hAnsi="Bookman Old Style" w:cs="Arial Unicode MS"/>
          <w:sz w:val="24"/>
          <w:szCs w:val="24"/>
        </w:rPr>
        <w:t>expected</w:t>
      </w:r>
      <w:r>
        <w:rPr>
          <w:rFonts w:ascii="Bookman Old Style" w:eastAsia="Arial Unicode MS" w:hAnsi="Bookman Old Style" w:cs="Arial Unicode MS"/>
          <w:sz w:val="24"/>
          <w:szCs w:val="24"/>
        </w:rPr>
        <w:t>, and entitled</w:t>
      </w:r>
      <w:r w:rsidR="00CB532E">
        <w:rPr>
          <w:rFonts w:ascii="Bookman Old Style" w:eastAsia="Arial Unicode MS" w:hAnsi="Bookman Old Style" w:cs="Arial Unicode MS"/>
          <w:sz w:val="24"/>
          <w:szCs w:val="24"/>
        </w:rPr>
        <w:t xml:space="preserve"> </w:t>
      </w:r>
      <w:r w:rsidR="00F05DCB">
        <w:rPr>
          <w:rFonts w:ascii="Bookman Old Style" w:eastAsia="Arial Unicode MS" w:hAnsi="Bookman Old Style" w:cs="Arial Unicode MS"/>
          <w:sz w:val="24"/>
          <w:szCs w:val="24"/>
        </w:rPr>
        <w:t xml:space="preserve">to </w:t>
      </w:r>
      <w:r w:rsidR="00CB532E">
        <w:rPr>
          <w:rFonts w:ascii="Bookman Old Style" w:eastAsia="Arial Unicode MS" w:hAnsi="Bookman Old Style" w:cs="Arial Unicode MS"/>
          <w:sz w:val="24"/>
          <w:szCs w:val="24"/>
        </w:rPr>
        <w:t>consider t</w:t>
      </w:r>
      <w:r w:rsidR="00F05DCB">
        <w:rPr>
          <w:rFonts w:ascii="Bookman Old Style" w:eastAsia="Arial Unicode MS" w:hAnsi="Bookman Old Style" w:cs="Arial Unicode MS"/>
          <w:sz w:val="24"/>
          <w:szCs w:val="24"/>
        </w:rPr>
        <w:t>he merits of the case</w:t>
      </w:r>
      <w:r w:rsidR="00D7763E">
        <w:rPr>
          <w:rFonts w:ascii="Bookman Old Style" w:eastAsia="Arial Unicode MS" w:hAnsi="Bookman Old Style" w:cs="Arial Unicode MS"/>
          <w:sz w:val="24"/>
          <w:szCs w:val="24"/>
        </w:rPr>
        <w:t xml:space="preserve"> in order to determine whe</w:t>
      </w:r>
      <w:r w:rsidR="009B0838">
        <w:rPr>
          <w:rFonts w:ascii="Bookman Old Style" w:eastAsia="Arial Unicode MS" w:hAnsi="Bookman Old Style" w:cs="Arial Unicode MS"/>
          <w:sz w:val="24"/>
          <w:szCs w:val="24"/>
        </w:rPr>
        <w:t>th</w:t>
      </w:r>
      <w:r w:rsidR="00D7763E">
        <w:rPr>
          <w:rFonts w:ascii="Bookman Old Style" w:eastAsia="Arial Unicode MS" w:hAnsi="Bookman Old Style" w:cs="Arial Unicode MS"/>
          <w:sz w:val="24"/>
          <w:szCs w:val="24"/>
        </w:rPr>
        <w:t>e</w:t>
      </w:r>
      <w:r w:rsidR="009B0838">
        <w:rPr>
          <w:rFonts w:ascii="Bookman Old Style" w:eastAsia="Arial Unicode MS" w:hAnsi="Bookman Old Style" w:cs="Arial Unicode MS"/>
          <w:sz w:val="24"/>
          <w:szCs w:val="24"/>
        </w:rPr>
        <w:t>r</w:t>
      </w:r>
      <w:r w:rsidR="00D7763E">
        <w:rPr>
          <w:rFonts w:ascii="Bookman Old Style" w:eastAsia="Arial Unicode MS" w:hAnsi="Bookman Old Style" w:cs="Arial Unicode MS"/>
          <w:sz w:val="24"/>
          <w:szCs w:val="24"/>
        </w:rPr>
        <w:t>, or not an interim injunction should lie</w:t>
      </w:r>
      <w:r w:rsidR="00F05DCB">
        <w:rPr>
          <w:rFonts w:ascii="Bookman Old Style" w:eastAsia="Arial Unicode MS" w:hAnsi="Bookman Old Style" w:cs="Arial Unicode MS"/>
          <w:sz w:val="24"/>
          <w:szCs w:val="24"/>
        </w:rPr>
        <w:t xml:space="preserve">. </w:t>
      </w:r>
      <w:r w:rsidR="00E60590">
        <w:rPr>
          <w:rFonts w:ascii="Bookman Old Style" w:eastAsia="Arial Unicode MS" w:hAnsi="Bookman Old Style" w:cs="Arial Unicode MS"/>
          <w:sz w:val="24"/>
          <w:szCs w:val="24"/>
        </w:rPr>
        <w:t>I will therefore now proceed to consider the merits or demerits, as the case may be</w:t>
      </w:r>
      <w:r w:rsidR="00CB532E">
        <w:rPr>
          <w:rFonts w:ascii="Bookman Old Style" w:eastAsia="Arial Unicode MS" w:hAnsi="Bookman Old Style" w:cs="Arial Unicode MS"/>
          <w:sz w:val="24"/>
          <w:szCs w:val="24"/>
        </w:rPr>
        <w:t>,</w:t>
      </w:r>
      <w:r w:rsidR="00E60590">
        <w:rPr>
          <w:rFonts w:ascii="Bookman Old Style" w:eastAsia="Arial Unicode MS" w:hAnsi="Bookman Old Style" w:cs="Arial Unicode MS"/>
          <w:sz w:val="24"/>
          <w:szCs w:val="24"/>
        </w:rPr>
        <w:t xml:space="preserve"> of the defences</w:t>
      </w:r>
      <w:r w:rsidR="00CB532E">
        <w:rPr>
          <w:rFonts w:ascii="Bookman Old Style" w:eastAsia="Arial Unicode MS" w:hAnsi="Bookman Old Style" w:cs="Arial Unicode MS"/>
          <w:sz w:val="24"/>
          <w:szCs w:val="24"/>
        </w:rPr>
        <w:t xml:space="preserve"> put forward by the defendants</w:t>
      </w:r>
      <w:r w:rsidR="00E60590">
        <w:rPr>
          <w:rFonts w:ascii="Bookman Old Style" w:eastAsia="Arial Unicode MS" w:hAnsi="Bookman Old Style" w:cs="Arial Unicode MS"/>
          <w:sz w:val="24"/>
          <w:szCs w:val="24"/>
        </w:rPr>
        <w:t>. The defences will</w:t>
      </w:r>
      <w:r w:rsidR="00CB532E">
        <w:rPr>
          <w:rFonts w:ascii="Bookman Old Style" w:eastAsia="Arial Unicode MS" w:hAnsi="Bookman Old Style" w:cs="Arial Unicode MS"/>
          <w:sz w:val="24"/>
          <w:szCs w:val="24"/>
        </w:rPr>
        <w:t xml:space="preserve"> be</w:t>
      </w:r>
      <w:r w:rsidR="0016683D">
        <w:rPr>
          <w:rFonts w:ascii="Bookman Old Style" w:eastAsia="Arial Unicode MS" w:hAnsi="Bookman Old Style" w:cs="Arial Unicode MS"/>
          <w:sz w:val="24"/>
          <w:szCs w:val="24"/>
        </w:rPr>
        <w:t xml:space="preserve"> considered under the rubric;</w:t>
      </w:r>
      <w:r w:rsidR="00E60590">
        <w:rPr>
          <w:rFonts w:ascii="Bookman Old Style" w:eastAsia="Arial Unicode MS" w:hAnsi="Bookman Old Style" w:cs="Arial Unicode MS"/>
          <w:sz w:val="24"/>
          <w:szCs w:val="24"/>
        </w:rPr>
        <w:t xml:space="preserve"> justification</w:t>
      </w:r>
      <w:r w:rsidR="00CB532E">
        <w:rPr>
          <w:rFonts w:ascii="Bookman Old Style" w:eastAsia="Arial Unicode MS" w:hAnsi="Bookman Old Style" w:cs="Arial Unicode MS"/>
          <w:sz w:val="24"/>
          <w:szCs w:val="24"/>
        </w:rPr>
        <w:t>,</w:t>
      </w:r>
      <w:r w:rsidR="00E60590">
        <w:rPr>
          <w:rFonts w:ascii="Bookman Old Style" w:eastAsia="Arial Unicode MS" w:hAnsi="Bookman Old Style" w:cs="Arial Unicode MS"/>
          <w:sz w:val="24"/>
          <w:szCs w:val="24"/>
        </w:rPr>
        <w:t xml:space="preserve"> fair comment, and qualified privilege.</w:t>
      </w:r>
    </w:p>
    <w:p w:rsidR="006A0336" w:rsidRDefault="006A0336" w:rsidP="00D052DE">
      <w:pPr>
        <w:spacing w:before="240" w:line="360" w:lineRule="auto"/>
        <w:jc w:val="both"/>
        <w:rPr>
          <w:rFonts w:ascii="Bookman Old Style" w:eastAsia="Arial Unicode MS" w:hAnsi="Bookman Old Style" w:cs="Arial Unicode MS"/>
          <w:sz w:val="24"/>
          <w:szCs w:val="24"/>
        </w:rPr>
      </w:pPr>
    </w:p>
    <w:p w:rsidR="006A0336" w:rsidRPr="006A0336" w:rsidRDefault="006A0336" w:rsidP="00D052DE">
      <w:pPr>
        <w:spacing w:before="240" w:line="360" w:lineRule="auto"/>
        <w:jc w:val="both"/>
        <w:rPr>
          <w:rFonts w:ascii="Bookman Old Style" w:eastAsia="Arial Unicode MS" w:hAnsi="Bookman Old Style" w:cs="Arial Unicode MS"/>
          <w:b/>
          <w:sz w:val="24"/>
          <w:szCs w:val="24"/>
        </w:rPr>
      </w:pPr>
      <w:r w:rsidRPr="006A0336">
        <w:rPr>
          <w:rFonts w:ascii="Bookman Old Style" w:eastAsia="Arial Unicode MS" w:hAnsi="Bookman Old Style" w:cs="Arial Unicode MS"/>
          <w:b/>
          <w:sz w:val="24"/>
          <w:szCs w:val="24"/>
        </w:rPr>
        <w:t xml:space="preserve">JUSTIFICATION </w:t>
      </w:r>
    </w:p>
    <w:p w:rsidR="006B50EC" w:rsidRDefault="006A0336"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 have already stated that it is a defence to an action in libel or slander for that matter</w:t>
      </w:r>
      <w:r w:rsidR="0031606B">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to plead and prove that the defamatory words are true in substance, and fact. However, the </w:t>
      </w:r>
      <w:r w:rsidR="00412D91">
        <w:rPr>
          <w:rFonts w:ascii="Bookman Old Style" w:eastAsia="Arial Unicode MS" w:hAnsi="Bookman Old Style" w:cs="Arial Unicode MS"/>
          <w:sz w:val="24"/>
          <w:szCs w:val="24"/>
        </w:rPr>
        <w:t>plea of justification is subject to certain stringent conditions. Namely</w:t>
      </w:r>
      <w:r w:rsidR="006B50EC">
        <w:rPr>
          <w:rFonts w:ascii="Bookman Old Style" w:eastAsia="Arial Unicode MS" w:hAnsi="Bookman Old Style" w:cs="Arial Unicode MS"/>
          <w:sz w:val="24"/>
          <w:szCs w:val="24"/>
        </w:rPr>
        <w:t>,</w:t>
      </w:r>
      <w:r w:rsidR="00412D91">
        <w:rPr>
          <w:rFonts w:ascii="Bookman Old Style" w:eastAsia="Arial Unicode MS" w:hAnsi="Bookman Old Style" w:cs="Arial Unicode MS"/>
          <w:sz w:val="24"/>
          <w:szCs w:val="24"/>
        </w:rPr>
        <w:t xml:space="preserve"> that </w:t>
      </w:r>
      <w:r w:rsidR="006B50EC">
        <w:rPr>
          <w:rFonts w:ascii="Bookman Old Style" w:eastAsia="Arial Unicode MS" w:hAnsi="Bookman Old Style" w:cs="Arial Unicode MS"/>
          <w:sz w:val="24"/>
          <w:szCs w:val="24"/>
        </w:rPr>
        <w:t xml:space="preserve">a defendant should </w:t>
      </w:r>
      <w:r w:rsidR="00412D91">
        <w:rPr>
          <w:rFonts w:ascii="Bookman Old Style" w:eastAsia="Arial Unicode MS" w:hAnsi="Bookman Old Style" w:cs="Arial Unicode MS"/>
          <w:sz w:val="24"/>
          <w:szCs w:val="24"/>
        </w:rPr>
        <w:t xml:space="preserve">not plead justification unless the </w:t>
      </w:r>
      <w:r w:rsidR="00412D91">
        <w:rPr>
          <w:rFonts w:ascii="Bookman Old Style" w:eastAsia="Arial Unicode MS" w:hAnsi="Bookman Old Style" w:cs="Arial Unicode MS"/>
          <w:sz w:val="24"/>
          <w:szCs w:val="24"/>
        </w:rPr>
        <w:lastRenderedPageBreak/>
        <w:t xml:space="preserve">words complained of are true, and </w:t>
      </w:r>
      <w:r w:rsidR="00816F6A">
        <w:rPr>
          <w:rFonts w:ascii="Bookman Old Style" w:eastAsia="Arial Unicode MS" w:hAnsi="Bookman Old Style" w:cs="Arial Unicode MS"/>
          <w:sz w:val="24"/>
          <w:szCs w:val="24"/>
        </w:rPr>
        <w:t>the defendant has reasonable evidence and grounds to prove the allegation. It is instructive to note that a defence of justification must be supported by full particulars of the facts, and matters relied upon. The facts should normally be allowed to speak for themselves. To spell out a conclus</w:t>
      </w:r>
      <w:r w:rsidR="006B50EC">
        <w:rPr>
          <w:rFonts w:ascii="Bookman Old Style" w:eastAsia="Arial Unicode MS" w:hAnsi="Bookman Old Style" w:cs="Arial Unicode MS"/>
          <w:sz w:val="24"/>
          <w:szCs w:val="24"/>
        </w:rPr>
        <w:t>ion</w:t>
      </w:r>
      <w:r w:rsidR="0016683D">
        <w:rPr>
          <w:rFonts w:ascii="Bookman Old Style" w:eastAsia="Arial Unicode MS" w:hAnsi="Bookman Old Style" w:cs="Arial Unicode MS"/>
          <w:sz w:val="24"/>
          <w:szCs w:val="24"/>
        </w:rPr>
        <w:t>,</w:t>
      </w:r>
      <w:r w:rsidR="006B50EC">
        <w:rPr>
          <w:rFonts w:ascii="Bookman Old Style" w:eastAsia="Arial Unicode MS" w:hAnsi="Bookman Old Style" w:cs="Arial Unicode MS"/>
          <w:sz w:val="24"/>
          <w:szCs w:val="24"/>
        </w:rPr>
        <w:t xml:space="preserve"> unsupported by facts is to c</w:t>
      </w:r>
      <w:r w:rsidR="00816F6A">
        <w:rPr>
          <w:rFonts w:ascii="Bookman Old Style" w:eastAsia="Arial Unicode MS" w:hAnsi="Bookman Old Style" w:cs="Arial Unicode MS"/>
          <w:sz w:val="24"/>
          <w:szCs w:val="24"/>
        </w:rPr>
        <w:t xml:space="preserve">ourt danger. </w:t>
      </w:r>
    </w:p>
    <w:p w:rsidR="006B50EC" w:rsidRDefault="006B50EC" w:rsidP="00D052DE">
      <w:pPr>
        <w:spacing w:before="240" w:line="360" w:lineRule="auto"/>
        <w:jc w:val="both"/>
        <w:rPr>
          <w:rFonts w:ascii="Bookman Old Style" w:eastAsia="Arial Unicode MS" w:hAnsi="Bookman Old Style" w:cs="Arial Unicode MS"/>
          <w:sz w:val="24"/>
          <w:szCs w:val="24"/>
        </w:rPr>
      </w:pPr>
    </w:p>
    <w:p w:rsidR="006879F3" w:rsidRDefault="00816F6A"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 will now </w:t>
      </w:r>
      <w:r w:rsidR="0016683D">
        <w:rPr>
          <w:rFonts w:ascii="Bookman Old Style" w:eastAsia="Arial Unicode MS" w:hAnsi="Bookman Old Style" w:cs="Arial Unicode MS"/>
          <w:sz w:val="24"/>
          <w:szCs w:val="24"/>
        </w:rPr>
        <w:t xml:space="preserve">begin </w:t>
      </w:r>
      <w:r>
        <w:rPr>
          <w:rFonts w:ascii="Bookman Old Style" w:eastAsia="Arial Unicode MS" w:hAnsi="Bookman Old Style" w:cs="Arial Unicode MS"/>
          <w:sz w:val="24"/>
          <w:szCs w:val="24"/>
        </w:rPr>
        <w:t>weigh</w:t>
      </w:r>
      <w:r w:rsidR="0016683D">
        <w:rPr>
          <w:rFonts w:ascii="Bookman Old Style" w:eastAsia="Arial Unicode MS" w:hAnsi="Bookman Old Style" w:cs="Arial Unicode MS"/>
          <w:sz w:val="24"/>
          <w:szCs w:val="24"/>
        </w:rPr>
        <w:t>ing</w:t>
      </w:r>
      <w:r>
        <w:rPr>
          <w:rFonts w:ascii="Bookman Old Style" w:eastAsia="Arial Unicode MS" w:hAnsi="Bookman Old Style" w:cs="Arial Unicode MS"/>
          <w:sz w:val="24"/>
          <w:szCs w:val="24"/>
        </w:rPr>
        <w:t xml:space="preserve"> the defamatory statements</w:t>
      </w:r>
      <w:r w:rsidR="006B50EC">
        <w:rPr>
          <w:rFonts w:ascii="Bookman Old Style" w:eastAsia="Arial Unicode MS" w:hAnsi="Bookman Old Style" w:cs="Arial Unicode MS"/>
          <w:sz w:val="24"/>
          <w:szCs w:val="24"/>
        </w:rPr>
        <w:t xml:space="preserve"> referred to above</w:t>
      </w:r>
      <w:r w:rsidR="0016683D">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against the particulars of the justification. I would like to point out at the outset that</w:t>
      </w:r>
      <w:r w:rsidR="006879F3">
        <w:rPr>
          <w:rFonts w:ascii="Bookman Old Style" w:eastAsia="Arial Unicode MS" w:hAnsi="Bookman Old Style" w:cs="Arial Unicode MS"/>
          <w:sz w:val="24"/>
          <w:szCs w:val="24"/>
        </w:rPr>
        <w:t xml:space="preserve"> the</w:t>
      </w:r>
      <w:r>
        <w:rPr>
          <w:rFonts w:ascii="Bookman Old Style" w:eastAsia="Arial Unicode MS" w:hAnsi="Bookman Old Style" w:cs="Arial Unicode MS"/>
          <w:sz w:val="24"/>
          <w:szCs w:val="24"/>
        </w:rPr>
        <w:t xml:space="preserve"> 1</w:t>
      </w:r>
      <w:r w:rsidRPr="00816F6A">
        <w:rPr>
          <w:rFonts w:ascii="Bookman Old Style" w:eastAsia="Arial Unicode MS" w:hAnsi="Bookman Old Style" w:cs="Arial Unicode MS"/>
          <w:sz w:val="24"/>
          <w:szCs w:val="24"/>
          <w:vertAlign w:val="superscript"/>
        </w:rPr>
        <w:t>st</w:t>
      </w:r>
      <w:r>
        <w:rPr>
          <w:rFonts w:ascii="Bookman Old Style" w:eastAsia="Arial Unicode MS" w:hAnsi="Bookman Old Style" w:cs="Arial Unicode MS"/>
          <w:sz w:val="24"/>
          <w:szCs w:val="24"/>
        </w:rPr>
        <w:t>, and 2</w:t>
      </w:r>
      <w:r w:rsidRPr="00816F6A">
        <w:rPr>
          <w:rFonts w:ascii="Bookman Old Style" w:eastAsia="Arial Unicode MS" w:hAnsi="Bookman Old Style" w:cs="Arial Unicode MS"/>
          <w:sz w:val="24"/>
          <w:szCs w:val="24"/>
          <w:vertAlign w:val="superscript"/>
        </w:rPr>
        <w:t>nd</w:t>
      </w:r>
      <w:r>
        <w:rPr>
          <w:rFonts w:ascii="Bookman Old Style" w:eastAsia="Arial Unicode MS" w:hAnsi="Bookman Old Style" w:cs="Arial Unicode MS"/>
          <w:sz w:val="24"/>
          <w:szCs w:val="24"/>
        </w:rPr>
        <w:t xml:space="preserve"> defendants have relied on the same particulars to justify the defamatory statements. </w:t>
      </w:r>
      <w:r w:rsidR="006B50EC">
        <w:rPr>
          <w:rFonts w:ascii="Bookman Old Style" w:eastAsia="Arial Unicode MS" w:hAnsi="Bookman Old Style" w:cs="Arial Unicode MS"/>
          <w:sz w:val="24"/>
          <w:szCs w:val="24"/>
        </w:rPr>
        <w:t>In the first instalment, t</w:t>
      </w:r>
      <w:r>
        <w:rPr>
          <w:rFonts w:ascii="Bookman Old Style" w:eastAsia="Arial Unicode MS" w:hAnsi="Bookman Old Style" w:cs="Arial Unicode MS"/>
          <w:sz w:val="24"/>
          <w:szCs w:val="24"/>
        </w:rPr>
        <w:t xml:space="preserve">he plaintiff complained </w:t>
      </w:r>
      <w:r w:rsidR="008B01C5">
        <w:rPr>
          <w:rFonts w:ascii="Bookman Old Style" w:eastAsia="Arial Unicode MS" w:hAnsi="Bookman Old Style" w:cs="Arial Unicode MS"/>
          <w:sz w:val="24"/>
          <w:szCs w:val="24"/>
        </w:rPr>
        <w:t>about</w:t>
      </w:r>
      <w:r>
        <w:rPr>
          <w:rFonts w:ascii="Bookman Old Style" w:eastAsia="Arial Unicode MS" w:hAnsi="Bookman Old Style" w:cs="Arial Unicode MS"/>
          <w:sz w:val="24"/>
          <w:szCs w:val="24"/>
        </w:rPr>
        <w:t xml:space="preserve"> the suggestion by the </w:t>
      </w:r>
      <w:r w:rsidR="008B01C5">
        <w:rPr>
          <w:rFonts w:ascii="Bookman Old Style" w:eastAsia="Arial Unicode MS" w:hAnsi="Bookman Old Style" w:cs="Arial Unicode MS"/>
          <w:sz w:val="24"/>
          <w:szCs w:val="24"/>
        </w:rPr>
        <w:t>defendants</w:t>
      </w:r>
      <w:r w:rsidR="006B50EC">
        <w:rPr>
          <w:rFonts w:ascii="Bookman Old Style" w:eastAsia="Arial Unicode MS" w:hAnsi="Bookman Old Style" w:cs="Arial Unicode MS"/>
          <w:sz w:val="24"/>
          <w:szCs w:val="24"/>
        </w:rPr>
        <w:t xml:space="preserve"> that he has been engaged </w:t>
      </w:r>
      <w:r>
        <w:rPr>
          <w:rFonts w:ascii="Bookman Old Style" w:eastAsia="Arial Unicode MS" w:hAnsi="Bookman Old Style" w:cs="Arial Unicode MS"/>
          <w:sz w:val="24"/>
          <w:szCs w:val="24"/>
        </w:rPr>
        <w:t>in dirty po</w:t>
      </w:r>
      <w:r w:rsidR="008B01C5">
        <w:rPr>
          <w:rFonts w:ascii="Bookman Old Style" w:eastAsia="Arial Unicode MS" w:hAnsi="Bookman Old Style" w:cs="Arial Unicode MS"/>
          <w:sz w:val="24"/>
          <w:szCs w:val="24"/>
        </w:rPr>
        <w:t>l</w:t>
      </w:r>
      <w:r>
        <w:rPr>
          <w:rFonts w:ascii="Bookman Old Style" w:eastAsia="Arial Unicode MS" w:hAnsi="Bookman Old Style" w:cs="Arial Unicode MS"/>
          <w:sz w:val="24"/>
          <w:szCs w:val="24"/>
        </w:rPr>
        <w:t>it</w:t>
      </w:r>
      <w:r w:rsidR="008B01C5">
        <w:rPr>
          <w:rFonts w:ascii="Bookman Old Style" w:eastAsia="Arial Unicode MS" w:hAnsi="Bookman Old Style" w:cs="Arial Unicode MS"/>
          <w:sz w:val="24"/>
          <w:szCs w:val="24"/>
        </w:rPr>
        <w:t>i</w:t>
      </w:r>
      <w:r w:rsidR="006B50EC">
        <w:rPr>
          <w:rFonts w:ascii="Bookman Old Style" w:eastAsia="Arial Unicode MS" w:hAnsi="Bookman Old Style" w:cs="Arial Unicode MS"/>
          <w:sz w:val="24"/>
          <w:szCs w:val="24"/>
        </w:rPr>
        <w:t>cs for a l</w:t>
      </w:r>
      <w:r>
        <w:rPr>
          <w:rFonts w:ascii="Bookman Old Style" w:eastAsia="Arial Unicode MS" w:hAnsi="Bookman Old Style" w:cs="Arial Unicode MS"/>
          <w:sz w:val="24"/>
          <w:szCs w:val="24"/>
        </w:rPr>
        <w:t>ong</w:t>
      </w:r>
      <w:r w:rsidR="006B50EC">
        <w:rPr>
          <w:rFonts w:ascii="Bookman Old Style" w:eastAsia="Arial Unicode MS" w:hAnsi="Bookman Old Style" w:cs="Arial Unicode MS"/>
          <w:sz w:val="24"/>
          <w:szCs w:val="24"/>
        </w:rPr>
        <w:t xml:space="preserve"> time. T</w:t>
      </w:r>
      <w:r w:rsidR="00CF50DC">
        <w:rPr>
          <w:rFonts w:ascii="Bookman Old Style" w:eastAsia="Arial Unicode MS" w:hAnsi="Bookman Old Style" w:cs="Arial Unicode MS"/>
          <w:sz w:val="24"/>
          <w:szCs w:val="24"/>
        </w:rPr>
        <w:t>he defen</w:t>
      </w:r>
      <w:r w:rsidR="006B50EC">
        <w:rPr>
          <w:rFonts w:ascii="Bookman Old Style" w:eastAsia="Arial Unicode MS" w:hAnsi="Bookman Old Style" w:cs="Arial Unicode MS"/>
          <w:sz w:val="24"/>
          <w:szCs w:val="24"/>
        </w:rPr>
        <w:t>d</w:t>
      </w:r>
      <w:r w:rsidR="0016683D">
        <w:rPr>
          <w:rFonts w:ascii="Bookman Old Style" w:eastAsia="Arial Unicode MS" w:hAnsi="Bookman Old Style" w:cs="Arial Unicode MS"/>
          <w:sz w:val="24"/>
          <w:szCs w:val="24"/>
        </w:rPr>
        <w:t>ants have not particularised any</w:t>
      </w:r>
      <w:r w:rsidR="006B50EC">
        <w:rPr>
          <w:rFonts w:ascii="Bookman Old Style" w:eastAsia="Arial Unicode MS" w:hAnsi="Bookman Old Style" w:cs="Arial Unicode MS"/>
          <w:sz w:val="24"/>
          <w:szCs w:val="24"/>
        </w:rPr>
        <w:t xml:space="preserve"> facts to support this</w:t>
      </w:r>
      <w:r w:rsidR="00CF50DC">
        <w:rPr>
          <w:rFonts w:ascii="Bookman Old Style" w:eastAsia="Arial Unicode MS" w:hAnsi="Bookman Old Style" w:cs="Arial Unicode MS"/>
          <w:sz w:val="24"/>
          <w:szCs w:val="24"/>
        </w:rPr>
        <w:t xml:space="preserve"> allegation.</w:t>
      </w:r>
      <w:r w:rsidR="0016683D">
        <w:rPr>
          <w:rFonts w:ascii="Bookman Old Style" w:eastAsia="Arial Unicode MS" w:hAnsi="Bookman Old Style" w:cs="Arial Unicode MS"/>
          <w:sz w:val="24"/>
          <w:szCs w:val="24"/>
        </w:rPr>
        <w:t xml:space="preserve"> </w:t>
      </w:r>
      <w:r w:rsidR="00B80A62">
        <w:rPr>
          <w:rFonts w:ascii="Bookman Old Style" w:eastAsia="Arial Unicode MS" w:hAnsi="Bookman Old Style" w:cs="Arial Unicode MS"/>
          <w:sz w:val="24"/>
          <w:szCs w:val="24"/>
        </w:rPr>
        <w:t>Furthermore, the defendants have not put forward any particulars to justify the assertion that the plaintiff does not believe in the tenets of democracy. M</w:t>
      </w:r>
      <w:r w:rsidR="0016683D">
        <w:rPr>
          <w:rFonts w:ascii="Bookman Old Style" w:eastAsia="Arial Unicode MS" w:hAnsi="Bookman Old Style" w:cs="Arial Unicode MS"/>
          <w:sz w:val="24"/>
          <w:szCs w:val="24"/>
        </w:rPr>
        <w:t xml:space="preserve">y finding therefore is that these </w:t>
      </w:r>
      <w:r w:rsidR="00B80A62">
        <w:rPr>
          <w:rFonts w:ascii="Bookman Old Style" w:eastAsia="Arial Unicode MS" w:hAnsi="Bookman Old Style" w:cs="Arial Unicode MS"/>
          <w:sz w:val="24"/>
          <w:szCs w:val="24"/>
        </w:rPr>
        <w:t>allegation</w:t>
      </w:r>
      <w:r w:rsidR="0016683D">
        <w:rPr>
          <w:rFonts w:ascii="Bookman Old Style" w:eastAsia="Arial Unicode MS" w:hAnsi="Bookman Old Style" w:cs="Arial Unicode MS"/>
          <w:sz w:val="24"/>
          <w:szCs w:val="24"/>
        </w:rPr>
        <w:t>s have</w:t>
      </w:r>
      <w:r w:rsidR="00B80A62">
        <w:rPr>
          <w:rFonts w:ascii="Bookman Old Style" w:eastAsia="Arial Unicode MS" w:hAnsi="Bookman Old Style" w:cs="Arial Unicode MS"/>
          <w:sz w:val="24"/>
          <w:szCs w:val="24"/>
        </w:rPr>
        <w:t xml:space="preserve"> not been justified. </w:t>
      </w:r>
    </w:p>
    <w:p w:rsidR="006879F3" w:rsidRDefault="006879F3" w:rsidP="00D052DE">
      <w:pPr>
        <w:spacing w:before="240" w:line="360" w:lineRule="auto"/>
        <w:jc w:val="both"/>
        <w:rPr>
          <w:rFonts w:ascii="Bookman Old Style" w:eastAsia="Arial Unicode MS" w:hAnsi="Bookman Old Style" w:cs="Arial Unicode MS"/>
          <w:sz w:val="24"/>
          <w:szCs w:val="24"/>
        </w:rPr>
      </w:pPr>
    </w:p>
    <w:p w:rsidR="00B80A62" w:rsidRDefault="00B80A62"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In the second instalment, the complaint is </w:t>
      </w:r>
      <w:r w:rsidR="0016683D">
        <w:rPr>
          <w:rFonts w:ascii="Bookman Old Style" w:eastAsia="Arial Unicode MS" w:hAnsi="Bookman Old Style" w:cs="Arial Unicode MS"/>
          <w:sz w:val="24"/>
          <w:szCs w:val="24"/>
        </w:rPr>
        <w:t>that the plaintiff interfered with</w:t>
      </w:r>
      <w:r>
        <w:rPr>
          <w:rFonts w:ascii="Bookman Old Style" w:eastAsia="Arial Unicode MS" w:hAnsi="Bookman Old Style" w:cs="Arial Unicode MS"/>
          <w:sz w:val="24"/>
          <w:szCs w:val="24"/>
        </w:rPr>
        <w:t xml:space="preserve"> the operations of the Lusaka City Co</w:t>
      </w:r>
      <w:r w:rsidR="0016683D">
        <w:rPr>
          <w:rFonts w:ascii="Bookman Old Style" w:eastAsia="Arial Unicode MS" w:hAnsi="Bookman Old Style" w:cs="Arial Unicode MS"/>
          <w:sz w:val="24"/>
          <w:szCs w:val="24"/>
        </w:rPr>
        <w:t>uncil, and was engaged in wrong</w:t>
      </w:r>
      <w:r>
        <w:rPr>
          <w:rFonts w:ascii="Bookman Old Style" w:eastAsia="Arial Unicode MS" w:hAnsi="Bookman Old Style" w:cs="Arial Unicode MS"/>
          <w:sz w:val="24"/>
          <w:szCs w:val="24"/>
        </w:rPr>
        <w:t>doing in concert with Mr. Wynter Kabimba. The defendants have not particularised the alleged wrong doing in relation to the</w:t>
      </w:r>
      <w:r w:rsidR="0016683D">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w:t>
      </w:r>
      <w:r w:rsidRPr="00B80A62">
        <w:rPr>
          <w:rFonts w:ascii="Bookman Old Style" w:eastAsia="Arial Unicode MS" w:hAnsi="Bookman Old Style" w:cs="Arial Unicode MS"/>
          <w:i/>
          <w:sz w:val="24"/>
          <w:szCs w:val="24"/>
        </w:rPr>
        <w:t>“</w:t>
      </w:r>
      <w:r w:rsidR="0016683D">
        <w:rPr>
          <w:rFonts w:ascii="Bookman Old Style" w:eastAsia="Arial Unicode MS" w:hAnsi="Bookman Old Style" w:cs="Arial Unicode MS"/>
          <w:i/>
          <w:sz w:val="24"/>
          <w:szCs w:val="24"/>
        </w:rPr>
        <w:t>...</w:t>
      </w:r>
      <w:r w:rsidRPr="00B80A62">
        <w:rPr>
          <w:rFonts w:ascii="Bookman Old Style" w:eastAsia="Arial Unicode MS" w:hAnsi="Bookman Old Style" w:cs="Arial Unicode MS"/>
          <w:i/>
          <w:sz w:val="24"/>
          <w:szCs w:val="24"/>
        </w:rPr>
        <w:t>Nalubito road, and Independence Avenue houses</w:t>
      </w:r>
      <w:r w:rsidR="0016683D">
        <w:rPr>
          <w:rFonts w:ascii="Bookman Old Style" w:eastAsia="Arial Unicode MS" w:hAnsi="Bookman Old Style" w:cs="Arial Unicode MS"/>
          <w:i/>
          <w:sz w:val="24"/>
          <w:szCs w:val="24"/>
        </w:rPr>
        <w:t>,</w:t>
      </w:r>
      <w:r w:rsidRPr="00B80A62">
        <w:rPr>
          <w:rFonts w:ascii="Bookman Old Style" w:eastAsia="Arial Unicode MS" w:hAnsi="Bookman Old Style" w:cs="Arial Unicode MS"/>
          <w:i/>
          <w:sz w:val="24"/>
          <w:szCs w:val="24"/>
        </w:rPr>
        <w:t xml:space="preserve"> hotel bills..... </w:t>
      </w:r>
      <w:r w:rsidR="0016683D">
        <w:rPr>
          <w:rFonts w:ascii="Bookman Old Style" w:eastAsia="Arial Unicode MS" w:hAnsi="Bookman Old Style" w:cs="Arial Unicode MS"/>
          <w:i/>
          <w:sz w:val="24"/>
          <w:szCs w:val="24"/>
        </w:rPr>
        <w:t xml:space="preserve">and </w:t>
      </w:r>
      <w:r w:rsidRPr="00B80A62">
        <w:rPr>
          <w:rFonts w:ascii="Bookman Old Style" w:eastAsia="Arial Unicode MS" w:hAnsi="Bookman Old Style" w:cs="Arial Unicode MS"/>
          <w:i/>
          <w:sz w:val="24"/>
          <w:szCs w:val="24"/>
        </w:rPr>
        <w:t>the Mezaf flats in Lusaka’s Chilenje Township..”</w:t>
      </w:r>
    </w:p>
    <w:p w:rsidR="001F3550" w:rsidRDefault="00B80A62"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My finding therefore is that the allegations in question have not been justified.</w:t>
      </w:r>
    </w:p>
    <w:p w:rsidR="001F3550" w:rsidRDefault="001F3550" w:rsidP="00D052DE">
      <w:pPr>
        <w:spacing w:before="240" w:line="360" w:lineRule="auto"/>
        <w:jc w:val="both"/>
        <w:rPr>
          <w:rFonts w:ascii="Bookman Old Style" w:eastAsia="Arial Unicode MS" w:hAnsi="Bookman Old Style" w:cs="Arial Unicode MS"/>
          <w:sz w:val="24"/>
          <w:szCs w:val="24"/>
        </w:rPr>
      </w:pPr>
    </w:p>
    <w:p w:rsidR="001F3550" w:rsidRDefault="001F3550"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 relation to the third instalment the defendants alleged that the p</w:t>
      </w:r>
      <w:r w:rsidR="006879F3">
        <w:rPr>
          <w:rFonts w:ascii="Bookman Old Style" w:eastAsia="Arial Unicode MS" w:hAnsi="Bookman Old Style" w:cs="Arial Unicode MS"/>
          <w:sz w:val="24"/>
          <w:szCs w:val="24"/>
        </w:rPr>
        <w:t xml:space="preserve">laintiffs, </w:t>
      </w:r>
      <w:r w:rsidR="006879F3" w:rsidRPr="006879F3">
        <w:rPr>
          <w:rFonts w:ascii="Bookman Old Style" w:eastAsia="Arial Unicode MS" w:hAnsi="Bookman Old Style" w:cs="Arial Unicode MS"/>
          <w:i/>
          <w:sz w:val="24"/>
          <w:szCs w:val="24"/>
        </w:rPr>
        <w:t>“... dirty politics g</w:t>
      </w:r>
      <w:r w:rsidRPr="006879F3">
        <w:rPr>
          <w:rFonts w:ascii="Bookman Old Style" w:eastAsia="Arial Unicode MS" w:hAnsi="Bookman Old Style" w:cs="Arial Unicode MS"/>
          <w:i/>
          <w:sz w:val="24"/>
          <w:szCs w:val="24"/>
        </w:rPr>
        <w:t>o back a long way.”</w:t>
      </w:r>
    </w:p>
    <w:p w:rsidR="00B80A62" w:rsidRDefault="001F3550" w:rsidP="006879F3">
      <w:pPr>
        <w:spacing w:before="240" w:line="24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lastRenderedPageBreak/>
        <w:t xml:space="preserve">And that the plaintiff was </w:t>
      </w:r>
      <w:r w:rsidRPr="001F3550">
        <w:rPr>
          <w:rFonts w:ascii="Bookman Old Style" w:eastAsia="Arial Unicode MS" w:hAnsi="Bookman Old Style" w:cs="Arial Unicode MS"/>
          <w:i/>
          <w:sz w:val="24"/>
          <w:szCs w:val="24"/>
        </w:rPr>
        <w:t>“...behind the dirty tricks that led Chibombamilimo’s losing his position as MMD Lusaka Provincial Secretary.</w:t>
      </w:r>
      <w:r>
        <w:rPr>
          <w:rFonts w:ascii="Bookman Old Style" w:eastAsia="Arial Unicode MS" w:hAnsi="Bookman Old Style" w:cs="Arial Unicode MS"/>
          <w:sz w:val="24"/>
          <w:szCs w:val="24"/>
        </w:rPr>
        <w:t>”</w:t>
      </w:r>
      <w:r w:rsidR="00B80A62">
        <w:rPr>
          <w:rFonts w:ascii="Bookman Old Style" w:eastAsia="Arial Unicode MS" w:hAnsi="Bookman Old Style" w:cs="Arial Unicode MS"/>
          <w:sz w:val="24"/>
          <w:szCs w:val="24"/>
        </w:rPr>
        <w:t xml:space="preserve"> </w:t>
      </w:r>
    </w:p>
    <w:p w:rsidR="001F3550" w:rsidRDefault="001F3550" w:rsidP="00D052DE">
      <w:pPr>
        <w:spacing w:before="240" w:line="360" w:lineRule="auto"/>
        <w:jc w:val="both"/>
        <w:rPr>
          <w:rFonts w:ascii="Bookman Old Style" w:eastAsia="Arial Unicode MS" w:hAnsi="Bookman Old Style" w:cs="Arial Unicode MS"/>
          <w:sz w:val="24"/>
          <w:szCs w:val="24"/>
        </w:rPr>
      </w:pPr>
    </w:p>
    <w:p w:rsidR="00CC3E50" w:rsidRDefault="001F3550"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particulars relating to the “dirty politics” allegedly practiced by the plaintiff have not been particularised. My finding is there</w:t>
      </w:r>
      <w:r w:rsidR="006879F3">
        <w:rPr>
          <w:rFonts w:ascii="Bookman Old Style" w:eastAsia="Arial Unicode MS" w:hAnsi="Bookman Old Style" w:cs="Arial Unicode MS"/>
          <w:sz w:val="24"/>
          <w:szCs w:val="24"/>
        </w:rPr>
        <w:t>fore</w:t>
      </w:r>
      <w:r>
        <w:rPr>
          <w:rFonts w:ascii="Bookman Old Style" w:eastAsia="Arial Unicode MS" w:hAnsi="Bookman Old Style" w:cs="Arial Unicode MS"/>
          <w:sz w:val="24"/>
          <w:szCs w:val="24"/>
        </w:rPr>
        <w:t xml:space="preserve"> that these assertions by the defendants have not</w:t>
      </w:r>
      <w:r w:rsidR="009B0838">
        <w:rPr>
          <w:rFonts w:ascii="Bookman Old Style" w:eastAsia="Arial Unicode MS" w:hAnsi="Bookman Old Style" w:cs="Arial Unicode MS"/>
          <w:sz w:val="24"/>
          <w:szCs w:val="24"/>
        </w:rPr>
        <w:t xml:space="preserve"> been</w:t>
      </w:r>
      <w:r>
        <w:rPr>
          <w:rFonts w:ascii="Bookman Old Style" w:eastAsia="Arial Unicode MS" w:hAnsi="Bookman Old Style" w:cs="Arial Unicode MS"/>
          <w:sz w:val="24"/>
          <w:szCs w:val="24"/>
        </w:rPr>
        <w:t xml:space="preserve"> justified. </w:t>
      </w:r>
    </w:p>
    <w:p w:rsidR="00CC3E50" w:rsidRDefault="00CC3E50" w:rsidP="00D052DE">
      <w:pPr>
        <w:spacing w:before="240" w:line="360" w:lineRule="auto"/>
        <w:jc w:val="both"/>
        <w:rPr>
          <w:rFonts w:ascii="Bookman Old Style" w:eastAsia="Arial Unicode MS" w:hAnsi="Bookman Old Style" w:cs="Arial Unicode MS"/>
          <w:sz w:val="24"/>
          <w:szCs w:val="24"/>
        </w:rPr>
      </w:pPr>
    </w:p>
    <w:p w:rsidR="004F049D" w:rsidRDefault="00CC3E50"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 complaint in relation to the fourth instalment is that the plaintiff was driven </w:t>
      </w:r>
      <w:r w:rsidR="006879F3">
        <w:rPr>
          <w:rFonts w:ascii="Bookman Old Style" w:eastAsia="Arial Unicode MS" w:hAnsi="Bookman Old Style" w:cs="Arial Unicode MS"/>
          <w:sz w:val="24"/>
          <w:szCs w:val="24"/>
        </w:rPr>
        <w:t>into the pact</w:t>
      </w:r>
      <w:r>
        <w:rPr>
          <w:rFonts w:ascii="Bookman Old Style" w:eastAsia="Arial Unicode MS" w:hAnsi="Bookman Old Style" w:cs="Arial Unicode MS"/>
          <w:sz w:val="24"/>
          <w:szCs w:val="24"/>
        </w:rPr>
        <w:t xml:space="preserve"> with UPND on the basis of tribalism. In justifying </w:t>
      </w:r>
      <w:r w:rsidR="00092291">
        <w:rPr>
          <w:rFonts w:ascii="Bookman Old Style" w:eastAsia="Arial Unicode MS" w:hAnsi="Bookman Old Style" w:cs="Arial Unicode MS"/>
          <w:sz w:val="24"/>
          <w:szCs w:val="24"/>
        </w:rPr>
        <w:t>this assertion the following particulars have been put forward. First, that before the announcement of the Patriotic Front, and UPND Pact, the plaintiff kept on referring to the UPND leader Mr. Hakainde Hichilema as an “</w:t>
      </w:r>
      <w:r w:rsidR="00092291" w:rsidRPr="00092291">
        <w:rPr>
          <w:rFonts w:ascii="Bookman Old Style" w:eastAsia="Arial Unicode MS" w:hAnsi="Bookman Old Style" w:cs="Arial Unicode MS"/>
          <w:i/>
          <w:sz w:val="24"/>
          <w:szCs w:val="24"/>
        </w:rPr>
        <w:t>under five</w:t>
      </w:r>
      <w:r w:rsidR="006879F3">
        <w:rPr>
          <w:rFonts w:ascii="Bookman Old Style" w:eastAsia="Arial Unicode MS" w:hAnsi="Bookman Old Style" w:cs="Arial Unicode MS"/>
          <w:i/>
          <w:sz w:val="24"/>
          <w:szCs w:val="24"/>
        </w:rPr>
        <w:t>;</w:t>
      </w:r>
      <w:r w:rsidR="00092291">
        <w:rPr>
          <w:rFonts w:ascii="Bookman Old Style" w:eastAsia="Arial Unicode MS" w:hAnsi="Bookman Old Style" w:cs="Arial Unicode MS"/>
          <w:sz w:val="24"/>
          <w:szCs w:val="24"/>
        </w:rPr>
        <w:t>” not capable of leading the nation. Second</w:t>
      </w:r>
      <w:r w:rsidR="006879F3">
        <w:rPr>
          <w:rFonts w:ascii="Bookman Old Style" w:eastAsia="Arial Unicode MS" w:hAnsi="Bookman Old Style" w:cs="Arial Unicode MS"/>
          <w:sz w:val="24"/>
          <w:szCs w:val="24"/>
        </w:rPr>
        <w:t>,</w:t>
      </w:r>
      <w:r w:rsidR="00092291">
        <w:rPr>
          <w:rFonts w:ascii="Bookman Old Style" w:eastAsia="Arial Unicode MS" w:hAnsi="Bookman Old Style" w:cs="Arial Unicode MS"/>
          <w:sz w:val="24"/>
          <w:szCs w:val="24"/>
        </w:rPr>
        <w:t xml:space="preserve"> that the Patrio</w:t>
      </w:r>
      <w:r w:rsidR="006879F3">
        <w:rPr>
          <w:rFonts w:ascii="Bookman Old Style" w:eastAsia="Arial Unicode MS" w:hAnsi="Bookman Old Style" w:cs="Arial Unicode MS"/>
          <w:sz w:val="24"/>
          <w:szCs w:val="24"/>
        </w:rPr>
        <w:t>tic Front is most prominent in B</w:t>
      </w:r>
      <w:r w:rsidR="00092291">
        <w:rPr>
          <w:rFonts w:ascii="Bookman Old Style" w:eastAsia="Arial Unicode MS" w:hAnsi="Bookman Old Style" w:cs="Arial Unicode MS"/>
          <w:sz w:val="24"/>
          <w:szCs w:val="24"/>
        </w:rPr>
        <w:t>emba speaking areas</w:t>
      </w:r>
      <w:r w:rsidR="006879F3">
        <w:rPr>
          <w:rFonts w:ascii="Bookman Old Style" w:eastAsia="Arial Unicode MS" w:hAnsi="Bookman Old Style" w:cs="Arial Unicode MS"/>
          <w:sz w:val="24"/>
          <w:szCs w:val="24"/>
        </w:rPr>
        <w:t>,</w:t>
      </w:r>
      <w:r w:rsidR="00092291">
        <w:rPr>
          <w:rFonts w:ascii="Bookman Old Style" w:eastAsia="Arial Unicode MS" w:hAnsi="Bookman Old Style" w:cs="Arial Unicode MS"/>
          <w:sz w:val="24"/>
          <w:szCs w:val="24"/>
        </w:rPr>
        <w:t xml:space="preserve"> and the UPND in Tonga speaking areas. And lastly that in the last three presidential elections, the plaintiff has fared very badly i</w:t>
      </w:r>
      <w:r w:rsidR="006879F3">
        <w:rPr>
          <w:rFonts w:ascii="Bookman Old Style" w:eastAsia="Arial Unicode MS" w:hAnsi="Bookman Old Style" w:cs="Arial Unicode MS"/>
          <w:sz w:val="24"/>
          <w:szCs w:val="24"/>
        </w:rPr>
        <w:t>n Tonga speaking areas, and going into the pact</w:t>
      </w:r>
      <w:r w:rsidR="00092291">
        <w:rPr>
          <w:rFonts w:ascii="Bookman Old Style" w:eastAsia="Arial Unicode MS" w:hAnsi="Bookman Old Style" w:cs="Arial Unicode MS"/>
          <w:sz w:val="24"/>
          <w:szCs w:val="24"/>
        </w:rPr>
        <w:t xml:space="preserve"> with UPND was for the plaintiff to compensate for the lack of support in Tonga speaking areas. </w:t>
      </w:r>
      <w:r w:rsidR="006879F3">
        <w:rPr>
          <w:rFonts w:ascii="Bookman Old Style" w:eastAsia="Arial Unicode MS" w:hAnsi="Bookman Old Style" w:cs="Arial Unicode MS"/>
          <w:sz w:val="24"/>
          <w:szCs w:val="24"/>
        </w:rPr>
        <w:t>As regards the four</w:t>
      </w:r>
      <w:r w:rsidR="00D6540F">
        <w:rPr>
          <w:rFonts w:ascii="Bookman Old Style" w:eastAsia="Arial Unicode MS" w:hAnsi="Bookman Old Style" w:cs="Arial Unicode MS"/>
          <w:sz w:val="24"/>
          <w:szCs w:val="24"/>
        </w:rPr>
        <w:t>th instalment</w:t>
      </w:r>
      <w:r w:rsidR="006879F3">
        <w:rPr>
          <w:rFonts w:ascii="Bookman Old Style" w:eastAsia="Arial Unicode MS" w:hAnsi="Bookman Old Style" w:cs="Arial Unicode MS"/>
          <w:sz w:val="24"/>
          <w:szCs w:val="24"/>
        </w:rPr>
        <w:t>,</w:t>
      </w:r>
      <w:r w:rsidR="00D6540F">
        <w:rPr>
          <w:rFonts w:ascii="Bookman Old Style" w:eastAsia="Arial Unicode MS" w:hAnsi="Bookman Old Style" w:cs="Arial Unicode MS"/>
          <w:sz w:val="24"/>
          <w:szCs w:val="24"/>
        </w:rPr>
        <w:t xml:space="preserve"> it was also alleged by the defendants that</w:t>
      </w:r>
      <w:r w:rsidR="004F049D">
        <w:rPr>
          <w:rFonts w:ascii="Bookman Old Style" w:eastAsia="Arial Unicode MS" w:hAnsi="Bookman Old Style" w:cs="Arial Unicode MS"/>
          <w:sz w:val="24"/>
          <w:szCs w:val="24"/>
        </w:rPr>
        <w:t>:</w:t>
      </w:r>
    </w:p>
    <w:p w:rsidR="00A36270" w:rsidRPr="004F049D" w:rsidRDefault="00D6540F" w:rsidP="004F049D">
      <w:pPr>
        <w:spacing w:before="240" w:line="240" w:lineRule="auto"/>
        <w:jc w:val="both"/>
        <w:rPr>
          <w:rFonts w:ascii="Bookman Old Style" w:eastAsia="Arial Unicode MS" w:hAnsi="Bookman Old Style" w:cs="Arial Unicode MS"/>
          <w:i/>
          <w:sz w:val="24"/>
          <w:szCs w:val="24"/>
        </w:rPr>
      </w:pPr>
      <w:r w:rsidRPr="004F049D">
        <w:rPr>
          <w:rFonts w:ascii="Bookman Old Style" w:eastAsia="Arial Unicode MS" w:hAnsi="Bookman Old Style" w:cs="Arial Unicode MS"/>
          <w:i/>
          <w:sz w:val="24"/>
          <w:szCs w:val="24"/>
        </w:rPr>
        <w:t xml:space="preserve"> “... the pact is being described in </w:t>
      </w:r>
      <w:r w:rsidR="00D8174D" w:rsidRPr="004F049D">
        <w:rPr>
          <w:rFonts w:ascii="Bookman Old Style" w:eastAsia="Arial Unicode MS" w:hAnsi="Bookman Old Style" w:cs="Arial Unicode MS"/>
          <w:i/>
          <w:sz w:val="24"/>
          <w:szCs w:val="24"/>
        </w:rPr>
        <w:t>the this manner by some people. I am getting in contact with who say they are keen followers of “Stand up for Zambia,” others are simply wondering if a ruffian or looper, and a gentleman can really co-exist.”</w:t>
      </w:r>
    </w:p>
    <w:p w:rsidR="00AE0E86" w:rsidRDefault="00A36270"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 must state </w:t>
      </w:r>
      <w:r w:rsidR="004F049D">
        <w:rPr>
          <w:rFonts w:ascii="Bookman Old Style" w:eastAsia="Arial Unicode MS" w:hAnsi="Bookman Old Style" w:cs="Arial Unicode MS"/>
          <w:sz w:val="24"/>
          <w:szCs w:val="24"/>
        </w:rPr>
        <w:t xml:space="preserve">in </w:t>
      </w:r>
      <w:r>
        <w:rPr>
          <w:rFonts w:ascii="Bookman Old Style" w:eastAsia="Arial Unicode MS" w:hAnsi="Bookman Old Style" w:cs="Arial Unicode MS"/>
          <w:sz w:val="24"/>
          <w:szCs w:val="24"/>
        </w:rPr>
        <w:t xml:space="preserve">relation to the preceding statement that the fact that </w:t>
      </w:r>
      <w:r w:rsidR="00825F37">
        <w:rPr>
          <w:rFonts w:ascii="Bookman Old Style" w:eastAsia="Arial Unicode MS" w:hAnsi="Bookman Old Style" w:cs="Arial Unicode MS"/>
          <w:sz w:val="24"/>
          <w:szCs w:val="24"/>
        </w:rPr>
        <w:t xml:space="preserve">a defamatory statement has been made or the fact that a defamatory rumour exists is no justification for publishing it. The position of the law is that in such instances it requires the truth to be the truth of the rumour. And not the truth of the fact that it is circulating. </w:t>
      </w:r>
      <w:r w:rsidR="009B0838">
        <w:rPr>
          <w:rFonts w:ascii="Bookman Old Style" w:eastAsia="Arial Unicode MS" w:hAnsi="Bookman Old Style" w:cs="Arial Unicode MS"/>
          <w:sz w:val="24"/>
          <w:szCs w:val="24"/>
        </w:rPr>
        <w:t xml:space="preserve"> </w:t>
      </w:r>
      <w:r w:rsidR="00EF68A1">
        <w:rPr>
          <w:rFonts w:ascii="Bookman Old Style" w:eastAsia="Arial Unicode MS" w:hAnsi="Bookman Old Style" w:cs="Arial Unicode MS"/>
          <w:sz w:val="24"/>
          <w:szCs w:val="24"/>
        </w:rPr>
        <w:t xml:space="preserve">Lord Devlin explained this point eloquently in </w:t>
      </w:r>
      <w:r w:rsidR="00EF68A1" w:rsidRPr="004F049D">
        <w:rPr>
          <w:rFonts w:ascii="Bookman Old Style" w:eastAsia="Arial Unicode MS" w:hAnsi="Bookman Old Style" w:cs="Arial Unicode MS"/>
          <w:i/>
          <w:sz w:val="24"/>
          <w:szCs w:val="24"/>
        </w:rPr>
        <w:t>Lewis v Daily Telegraph Limited</w:t>
      </w:r>
      <w:r w:rsidR="00EF68A1">
        <w:rPr>
          <w:rStyle w:val="FootnoteReference"/>
          <w:rFonts w:ascii="Bookman Old Style" w:eastAsia="Arial Unicode MS" w:hAnsi="Bookman Old Style" w:cs="Arial Unicode MS"/>
          <w:sz w:val="24"/>
          <w:szCs w:val="24"/>
        </w:rPr>
        <w:footnoteReference w:id="156"/>
      </w:r>
      <w:r w:rsidR="00EF68A1">
        <w:rPr>
          <w:rFonts w:ascii="Bookman Old Style" w:eastAsia="Arial Unicode MS" w:hAnsi="Bookman Old Style" w:cs="Arial Unicode MS"/>
          <w:sz w:val="24"/>
          <w:szCs w:val="24"/>
        </w:rPr>
        <w:t xml:space="preserve"> </w:t>
      </w:r>
      <w:r w:rsidR="004F049D">
        <w:rPr>
          <w:rFonts w:ascii="Bookman Old Style" w:eastAsia="Arial Unicode MS" w:hAnsi="Bookman Old Style" w:cs="Arial Unicode MS"/>
          <w:sz w:val="24"/>
          <w:szCs w:val="24"/>
        </w:rPr>
        <w:t xml:space="preserve">when </w:t>
      </w:r>
      <w:r w:rsidR="00AE0E86">
        <w:rPr>
          <w:rFonts w:ascii="Bookman Old Style" w:eastAsia="Arial Unicode MS" w:hAnsi="Bookman Old Style" w:cs="Arial Unicode MS"/>
          <w:sz w:val="24"/>
          <w:szCs w:val="24"/>
        </w:rPr>
        <w:t>he said:</w:t>
      </w:r>
    </w:p>
    <w:p w:rsidR="00D232D0" w:rsidRPr="004F049D" w:rsidRDefault="00AE0E86" w:rsidP="004F049D">
      <w:pPr>
        <w:spacing w:before="240" w:line="240" w:lineRule="auto"/>
        <w:jc w:val="both"/>
        <w:rPr>
          <w:rFonts w:ascii="Bookman Old Style" w:eastAsia="Arial Unicode MS" w:hAnsi="Bookman Old Style" w:cs="Arial Unicode MS"/>
          <w:i/>
          <w:sz w:val="24"/>
          <w:szCs w:val="24"/>
        </w:rPr>
      </w:pPr>
      <w:r w:rsidRPr="00DF12A6">
        <w:rPr>
          <w:rFonts w:ascii="Bookman Old Style" w:eastAsia="Arial Unicode MS" w:hAnsi="Bookman Old Style" w:cs="Arial Unicode MS"/>
          <w:i/>
          <w:sz w:val="24"/>
          <w:szCs w:val="24"/>
        </w:rPr>
        <w:lastRenderedPageBreak/>
        <w:t xml:space="preserve">“... </w:t>
      </w:r>
      <w:r w:rsidR="00D232D0" w:rsidRPr="00DF12A6">
        <w:rPr>
          <w:rFonts w:ascii="Bookman Old Style" w:eastAsia="Arial Unicode MS" w:hAnsi="Bookman Old Style" w:cs="Arial Unicode MS"/>
          <w:i/>
          <w:sz w:val="24"/>
          <w:szCs w:val="24"/>
        </w:rPr>
        <w:t>You</w:t>
      </w:r>
      <w:r w:rsidRPr="00DF12A6">
        <w:rPr>
          <w:rFonts w:ascii="Bookman Old Style" w:eastAsia="Arial Unicode MS" w:hAnsi="Bookman Old Style" w:cs="Arial Unicode MS"/>
          <w:i/>
          <w:sz w:val="24"/>
          <w:szCs w:val="24"/>
        </w:rPr>
        <w:t xml:space="preserve"> cannot escape liability for defamation by putting the libel behind the prefix such as “I have been told that...” or “it is rumoured that...,” and then asserting that it was true that you had been</w:t>
      </w:r>
      <w:r w:rsidR="009C282A" w:rsidRPr="00DF12A6">
        <w:rPr>
          <w:rFonts w:ascii="Bookman Old Style" w:eastAsia="Arial Unicode MS" w:hAnsi="Bookman Old Style" w:cs="Arial Unicode MS"/>
          <w:i/>
          <w:sz w:val="24"/>
          <w:szCs w:val="24"/>
        </w:rPr>
        <w:t xml:space="preserve"> told</w:t>
      </w:r>
      <w:r w:rsidR="00D232D0" w:rsidRPr="00DF12A6">
        <w:rPr>
          <w:rFonts w:ascii="Bookman Old Style" w:eastAsia="Arial Unicode MS" w:hAnsi="Bookman Old Style" w:cs="Arial Unicode MS"/>
          <w:i/>
          <w:sz w:val="24"/>
          <w:szCs w:val="24"/>
        </w:rPr>
        <w:t xml:space="preserve"> or that it was </w:t>
      </w:r>
      <w:r w:rsidR="004F049D">
        <w:rPr>
          <w:rFonts w:ascii="Bookman Old Style" w:eastAsia="Arial Unicode MS" w:hAnsi="Bookman Old Style" w:cs="Arial Unicode MS"/>
          <w:i/>
          <w:sz w:val="24"/>
          <w:szCs w:val="24"/>
        </w:rPr>
        <w:t xml:space="preserve">in </w:t>
      </w:r>
      <w:r w:rsidR="00D232D0" w:rsidRPr="00DF12A6">
        <w:rPr>
          <w:rFonts w:ascii="Bookman Old Style" w:eastAsia="Arial Unicode MS" w:hAnsi="Bookman Old Style" w:cs="Arial Unicode MS"/>
          <w:i/>
          <w:sz w:val="24"/>
          <w:szCs w:val="24"/>
        </w:rPr>
        <w:t>fact rumoured... For the purpose of the law of libel</w:t>
      </w:r>
      <w:r w:rsidR="004F049D">
        <w:rPr>
          <w:rFonts w:ascii="Bookman Old Style" w:eastAsia="Arial Unicode MS" w:hAnsi="Bookman Old Style" w:cs="Arial Unicode MS"/>
          <w:i/>
          <w:sz w:val="24"/>
          <w:szCs w:val="24"/>
        </w:rPr>
        <w:t>,</w:t>
      </w:r>
      <w:r w:rsidR="009B0838">
        <w:rPr>
          <w:rFonts w:ascii="Bookman Old Style" w:eastAsia="Arial Unicode MS" w:hAnsi="Bookman Old Style" w:cs="Arial Unicode MS"/>
          <w:i/>
          <w:sz w:val="24"/>
          <w:szCs w:val="24"/>
        </w:rPr>
        <w:t xml:space="preserve"> a hearsay statement</w:t>
      </w:r>
      <w:r w:rsidR="00D232D0" w:rsidRPr="00DF12A6">
        <w:rPr>
          <w:rFonts w:ascii="Bookman Old Style" w:eastAsia="Arial Unicode MS" w:hAnsi="Bookman Old Style" w:cs="Arial Unicode MS"/>
          <w:i/>
          <w:sz w:val="24"/>
          <w:szCs w:val="24"/>
        </w:rPr>
        <w:t xml:space="preserve"> </w:t>
      </w:r>
      <w:r w:rsidR="004F049D">
        <w:rPr>
          <w:rFonts w:ascii="Bookman Old Style" w:eastAsia="Arial Unicode MS" w:hAnsi="Bookman Old Style" w:cs="Arial Unicode MS"/>
          <w:i/>
          <w:sz w:val="24"/>
          <w:szCs w:val="24"/>
        </w:rPr>
        <w:t>is the same as a direct statement</w:t>
      </w:r>
      <w:r w:rsidR="009B0838">
        <w:rPr>
          <w:rFonts w:ascii="Bookman Old Style" w:eastAsia="Arial Unicode MS" w:hAnsi="Bookman Old Style" w:cs="Arial Unicode MS"/>
          <w:i/>
          <w:sz w:val="24"/>
          <w:szCs w:val="24"/>
        </w:rPr>
        <w:t>,</w:t>
      </w:r>
      <w:r w:rsidR="004F049D">
        <w:rPr>
          <w:rFonts w:ascii="Bookman Old Style" w:eastAsia="Arial Unicode MS" w:hAnsi="Bookman Old Style" w:cs="Arial Unicode MS"/>
          <w:i/>
          <w:sz w:val="24"/>
          <w:szCs w:val="24"/>
        </w:rPr>
        <w:t xml:space="preserve"> </w:t>
      </w:r>
      <w:r w:rsidR="00D232D0" w:rsidRPr="00DF12A6">
        <w:rPr>
          <w:rFonts w:ascii="Bookman Old Style" w:eastAsia="Arial Unicode MS" w:hAnsi="Bookman Old Style" w:cs="Arial Unicode MS"/>
          <w:i/>
          <w:sz w:val="24"/>
          <w:szCs w:val="24"/>
        </w:rPr>
        <w:t>and that is all there is to it.”</w:t>
      </w:r>
    </w:p>
    <w:p w:rsidR="00E02146" w:rsidRDefault="00D232D0" w:rsidP="00D052DE">
      <w:pPr>
        <w:spacing w:before="240" w:line="360" w:lineRule="auto"/>
        <w:jc w:val="both"/>
        <w:rPr>
          <w:rFonts w:ascii="Bookman Old Style" w:eastAsia="Arial Unicode MS" w:hAnsi="Bookman Old Style" w:cs="Arial Unicode MS"/>
          <w:sz w:val="24"/>
          <w:szCs w:val="24"/>
        </w:rPr>
      </w:pPr>
      <w:r w:rsidRPr="004F049D">
        <w:rPr>
          <w:rFonts w:ascii="Bookman Old Style" w:eastAsia="Arial Unicode MS" w:hAnsi="Bookman Old Style" w:cs="Arial Unicode MS"/>
          <w:sz w:val="24"/>
          <w:szCs w:val="24"/>
        </w:rPr>
        <w:t>In this particular case the suggestion is that the plaintiff is a “r</w:t>
      </w:r>
      <w:r w:rsidR="00C9018B" w:rsidRPr="004F049D">
        <w:rPr>
          <w:rFonts w:ascii="Bookman Old Style" w:eastAsia="Arial Unicode MS" w:hAnsi="Bookman Old Style" w:cs="Arial Unicode MS"/>
          <w:sz w:val="24"/>
          <w:szCs w:val="24"/>
        </w:rPr>
        <w:t>u</w:t>
      </w:r>
      <w:r w:rsidRPr="004F049D">
        <w:rPr>
          <w:rFonts w:ascii="Bookman Old Style" w:eastAsia="Arial Unicode MS" w:hAnsi="Bookman Old Style" w:cs="Arial Unicode MS"/>
          <w:sz w:val="24"/>
          <w:szCs w:val="24"/>
        </w:rPr>
        <w:t>ffian.”</w:t>
      </w:r>
      <w:r>
        <w:rPr>
          <w:rFonts w:ascii="Bookman Old Style" w:eastAsia="Arial Unicode MS" w:hAnsi="Bookman Old Style" w:cs="Arial Unicode MS"/>
          <w:sz w:val="24"/>
          <w:szCs w:val="24"/>
        </w:rPr>
        <w:t xml:space="preserve"> According to the </w:t>
      </w:r>
      <w:r w:rsidRPr="004F049D">
        <w:rPr>
          <w:rFonts w:ascii="Bookman Old Style" w:eastAsia="Arial Unicode MS" w:hAnsi="Bookman Old Style" w:cs="Arial Unicode MS"/>
          <w:i/>
          <w:sz w:val="24"/>
          <w:szCs w:val="24"/>
        </w:rPr>
        <w:t>Ox</w:t>
      </w:r>
      <w:r w:rsidR="004F049D" w:rsidRPr="004F049D">
        <w:rPr>
          <w:rFonts w:ascii="Bookman Old Style" w:eastAsia="Arial Unicode MS" w:hAnsi="Bookman Old Style" w:cs="Arial Unicode MS"/>
          <w:i/>
          <w:sz w:val="24"/>
          <w:szCs w:val="24"/>
        </w:rPr>
        <w:t>ford P</w:t>
      </w:r>
      <w:r w:rsidR="00C9018B" w:rsidRPr="004F049D">
        <w:rPr>
          <w:rFonts w:ascii="Bookman Old Style" w:eastAsia="Arial Unicode MS" w:hAnsi="Bookman Old Style" w:cs="Arial Unicode MS"/>
          <w:i/>
          <w:sz w:val="24"/>
          <w:szCs w:val="24"/>
        </w:rPr>
        <w:t>aperback Thesaurus</w:t>
      </w:r>
      <w:r w:rsidR="00C9018B">
        <w:rPr>
          <w:rFonts w:ascii="Bookman Old Style" w:eastAsia="Arial Unicode MS" w:hAnsi="Bookman Old Style" w:cs="Arial Unicode MS"/>
          <w:sz w:val="24"/>
          <w:szCs w:val="24"/>
        </w:rPr>
        <w:t xml:space="preserve"> (supra)</w:t>
      </w:r>
      <w:r w:rsidR="004F049D">
        <w:rPr>
          <w:rFonts w:ascii="Bookman Old Style" w:eastAsia="Arial Unicode MS" w:hAnsi="Bookman Old Style" w:cs="Arial Unicode MS"/>
          <w:sz w:val="24"/>
          <w:szCs w:val="24"/>
        </w:rPr>
        <w:t>,</w:t>
      </w:r>
      <w:r w:rsidR="00C9018B">
        <w:rPr>
          <w:rFonts w:ascii="Bookman Old Style" w:eastAsia="Arial Unicode MS" w:hAnsi="Bookman Old Style" w:cs="Arial Unicode MS"/>
          <w:sz w:val="24"/>
          <w:szCs w:val="24"/>
        </w:rPr>
        <w:t xml:space="preserve"> the word ruf</w:t>
      </w:r>
      <w:r w:rsidR="004F049D">
        <w:rPr>
          <w:rFonts w:ascii="Bookman Old Style" w:eastAsia="Arial Unicode MS" w:hAnsi="Bookman Old Style" w:cs="Arial Unicode MS"/>
          <w:sz w:val="24"/>
          <w:szCs w:val="24"/>
        </w:rPr>
        <w:t>fian is defined as a: “</w:t>
      </w:r>
      <w:r w:rsidR="004F049D" w:rsidRPr="004F049D">
        <w:rPr>
          <w:rFonts w:ascii="Bookman Old Style" w:eastAsia="Arial Unicode MS" w:hAnsi="Bookman Old Style" w:cs="Arial Unicode MS"/>
          <w:i/>
          <w:sz w:val="24"/>
          <w:szCs w:val="24"/>
        </w:rPr>
        <w:t>thug</w:t>
      </w:r>
      <w:r w:rsidR="00C9018B" w:rsidRPr="004F049D">
        <w:rPr>
          <w:rFonts w:ascii="Bookman Old Style" w:eastAsia="Arial Unicode MS" w:hAnsi="Bookman Old Style" w:cs="Arial Unicode MS"/>
          <w:i/>
          <w:sz w:val="24"/>
          <w:szCs w:val="24"/>
        </w:rPr>
        <w:t>, hoodlum</w:t>
      </w:r>
      <w:r w:rsidR="004F049D" w:rsidRPr="004F049D">
        <w:rPr>
          <w:rFonts w:ascii="Bookman Old Style" w:eastAsia="Arial Unicode MS" w:hAnsi="Bookman Old Style" w:cs="Arial Unicode MS"/>
          <w:i/>
          <w:sz w:val="24"/>
          <w:szCs w:val="24"/>
        </w:rPr>
        <w:t>,</w:t>
      </w:r>
      <w:r w:rsidR="00C9018B" w:rsidRPr="004F049D">
        <w:rPr>
          <w:rFonts w:ascii="Bookman Old Style" w:eastAsia="Arial Unicode MS" w:hAnsi="Bookman Old Style" w:cs="Arial Unicode MS"/>
          <w:i/>
          <w:sz w:val="24"/>
          <w:szCs w:val="24"/>
        </w:rPr>
        <w:t xml:space="preserve"> vandal</w:t>
      </w:r>
      <w:r w:rsidR="009B0838">
        <w:rPr>
          <w:rFonts w:ascii="Bookman Old Style" w:eastAsia="Arial Unicode MS" w:hAnsi="Bookman Old Style" w:cs="Arial Unicode MS"/>
          <w:i/>
          <w:sz w:val="24"/>
          <w:szCs w:val="24"/>
        </w:rPr>
        <w:t>,</w:t>
      </w:r>
      <w:r w:rsidR="00C9018B" w:rsidRPr="004F049D">
        <w:rPr>
          <w:rFonts w:ascii="Bookman Old Style" w:eastAsia="Arial Unicode MS" w:hAnsi="Bookman Old Style" w:cs="Arial Unicode MS"/>
          <w:i/>
          <w:sz w:val="24"/>
          <w:szCs w:val="24"/>
        </w:rPr>
        <w:t xml:space="preserve"> delinquent, rowdy</w:t>
      </w:r>
      <w:r w:rsidR="004F049D" w:rsidRPr="004F049D">
        <w:rPr>
          <w:rFonts w:ascii="Bookman Old Style" w:eastAsia="Arial Unicode MS" w:hAnsi="Bookman Old Style" w:cs="Arial Unicode MS"/>
          <w:i/>
          <w:sz w:val="24"/>
          <w:szCs w:val="24"/>
        </w:rPr>
        <w:t>,</w:t>
      </w:r>
      <w:r w:rsidR="00C9018B" w:rsidRPr="004F049D">
        <w:rPr>
          <w:rFonts w:ascii="Bookman Old Style" w:eastAsia="Arial Unicode MS" w:hAnsi="Bookman Old Style" w:cs="Arial Unicode MS"/>
          <w:i/>
          <w:sz w:val="24"/>
          <w:szCs w:val="24"/>
        </w:rPr>
        <w:t xml:space="preserve"> s</w:t>
      </w:r>
      <w:r w:rsidR="009B0838">
        <w:rPr>
          <w:rFonts w:ascii="Bookman Old Style" w:eastAsia="Arial Unicode MS" w:hAnsi="Bookman Old Style" w:cs="Arial Unicode MS"/>
          <w:i/>
          <w:sz w:val="24"/>
          <w:szCs w:val="24"/>
        </w:rPr>
        <w:t>coundrel, villain, rogue, bully</w:t>
      </w:r>
      <w:r w:rsidR="00C9018B" w:rsidRPr="004F049D">
        <w:rPr>
          <w:rFonts w:ascii="Bookman Old Style" w:eastAsia="Arial Unicode MS" w:hAnsi="Bookman Old Style" w:cs="Arial Unicode MS"/>
          <w:i/>
          <w:sz w:val="24"/>
          <w:szCs w:val="24"/>
        </w:rPr>
        <w:t xml:space="preserve"> boy</w:t>
      </w:r>
      <w:r w:rsidR="004F049D" w:rsidRPr="004F049D">
        <w:rPr>
          <w:rFonts w:ascii="Bookman Old Style" w:eastAsia="Arial Unicode MS" w:hAnsi="Bookman Old Style" w:cs="Arial Unicode MS"/>
          <w:i/>
          <w:sz w:val="24"/>
          <w:szCs w:val="24"/>
        </w:rPr>
        <w:t>,</w:t>
      </w:r>
      <w:r w:rsidR="00C9018B" w:rsidRPr="004F049D">
        <w:rPr>
          <w:rFonts w:ascii="Bookman Old Style" w:eastAsia="Arial Unicode MS" w:hAnsi="Bookman Old Style" w:cs="Arial Unicode MS"/>
          <w:i/>
          <w:sz w:val="24"/>
          <w:szCs w:val="24"/>
        </w:rPr>
        <w:t xml:space="preserve"> brute</w:t>
      </w:r>
      <w:r w:rsidR="009B0838">
        <w:rPr>
          <w:rFonts w:ascii="Bookman Old Style" w:eastAsia="Arial Unicode MS" w:hAnsi="Bookman Old Style" w:cs="Arial Unicode MS"/>
          <w:i/>
          <w:sz w:val="24"/>
          <w:szCs w:val="24"/>
        </w:rPr>
        <w:t>,</w:t>
      </w:r>
      <w:r w:rsidR="00C9018B" w:rsidRPr="004F049D">
        <w:rPr>
          <w:rFonts w:ascii="Bookman Old Style" w:eastAsia="Arial Unicode MS" w:hAnsi="Bookman Old Style" w:cs="Arial Unicode MS"/>
          <w:i/>
          <w:sz w:val="24"/>
          <w:szCs w:val="24"/>
        </w:rPr>
        <w:t xml:space="preserve"> etc</w:t>
      </w:r>
      <w:r w:rsidR="00C9018B">
        <w:rPr>
          <w:rFonts w:ascii="Bookman Old Style" w:eastAsia="Arial Unicode MS" w:hAnsi="Bookman Old Style" w:cs="Arial Unicode MS"/>
          <w:sz w:val="24"/>
          <w:szCs w:val="24"/>
        </w:rPr>
        <w:t>.</w:t>
      </w:r>
      <w:r w:rsidR="009A7B1B">
        <w:rPr>
          <w:rFonts w:ascii="Bookman Old Style" w:eastAsia="Arial Unicode MS" w:hAnsi="Bookman Old Style" w:cs="Arial Unicode MS"/>
          <w:sz w:val="24"/>
          <w:szCs w:val="24"/>
        </w:rPr>
        <w:t>”</w:t>
      </w:r>
      <w:r w:rsidR="00C9018B">
        <w:rPr>
          <w:rFonts w:ascii="Bookman Old Style" w:eastAsia="Arial Unicode MS" w:hAnsi="Bookman Old Style" w:cs="Arial Unicode MS"/>
          <w:sz w:val="24"/>
          <w:szCs w:val="24"/>
        </w:rPr>
        <w:t xml:space="preserve"> </w:t>
      </w:r>
    </w:p>
    <w:p w:rsidR="00E02146" w:rsidRDefault="00E02146" w:rsidP="00D052DE">
      <w:pPr>
        <w:spacing w:before="240" w:line="360" w:lineRule="auto"/>
        <w:jc w:val="both"/>
        <w:rPr>
          <w:rFonts w:ascii="Bookman Old Style" w:eastAsia="Arial Unicode MS" w:hAnsi="Bookman Old Style" w:cs="Arial Unicode MS"/>
          <w:sz w:val="24"/>
          <w:szCs w:val="24"/>
        </w:rPr>
      </w:pPr>
    </w:p>
    <w:p w:rsidR="004F049D" w:rsidRDefault="00E02146"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defendants have not put forward particulars to justify the insinuation that the plaintiff is a “</w:t>
      </w:r>
      <w:r w:rsidRPr="004F049D">
        <w:rPr>
          <w:rFonts w:ascii="Bookman Old Style" w:eastAsia="Arial Unicode MS" w:hAnsi="Bookman Old Style" w:cs="Arial Unicode MS"/>
          <w:i/>
          <w:sz w:val="24"/>
          <w:szCs w:val="24"/>
        </w:rPr>
        <w:t>ruffian</w:t>
      </w:r>
      <w:r>
        <w:rPr>
          <w:rFonts w:ascii="Bookman Old Style" w:eastAsia="Arial Unicode MS" w:hAnsi="Bookman Old Style" w:cs="Arial Unicode MS"/>
          <w:sz w:val="24"/>
          <w:szCs w:val="24"/>
        </w:rPr>
        <w:t>.” I therefore find that</w:t>
      </w:r>
      <w:r w:rsidR="004F049D">
        <w:rPr>
          <w:rFonts w:ascii="Bookman Old Style" w:eastAsia="Arial Unicode MS" w:hAnsi="Bookman Old Style" w:cs="Arial Unicode MS"/>
          <w:sz w:val="24"/>
          <w:szCs w:val="24"/>
        </w:rPr>
        <w:t xml:space="preserve"> the aspersion</w:t>
      </w:r>
      <w:r>
        <w:rPr>
          <w:rFonts w:ascii="Bookman Old Style" w:eastAsia="Arial Unicode MS" w:hAnsi="Bookman Old Style" w:cs="Arial Unicode MS"/>
          <w:sz w:val="24"/>
          <w:szCs w:val="24"/>
        </w:rPr>
        <w:t xml:space="preserve"> in question is not justified.</w:t>
      </w:r>
      <w:r w:rsidR="006851EA">
        <w:rPr>
          <w:rFonts w:ascii="Bookman Old Style" w:eastAsia="Arial Unicode MS" w:hAnsi="Bookman Old Style" w:cs="Arial Unicode MS"/>
          <w:sz w:val="24"/>
          <w:szCs w:val="24"/>
        </w:rPr>
        <w:t xml:space="preserve"> </w:t>
      </w:r>
    </w:p>
    <w:p w:rsidR="004F049D" w:rsidRDefault="004F049D" w:rsidP="00D052DE">
      <w:pPr>
        <w:spacing w:before="240" w:line="360" w:lineRule="auto"/>
        <w:jc w:val="both"/>
        <w:rPr>
          <w:rFonts w:ascii="Bookman Old Style" w:eastAsia="Arial Unicode MS" w:hAnsi="Bookman Old Style" w:cs="Arial Unicode MS"/>
          <w:sz w:val="24"/>
          <w:szCs w:val="24"/>
        </w:rPr>
      </w:pPr>
    </w:p>
    <w:p w:rsidR="004F049D" w:rsidRDefault="006851EA"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As regards the fifth instalment of the article </w:t>
      </w:r>
      <w:r w:rsidR="00161B73">
        <w:rPr>
          <w:rFonts w:ascii="Bookman Old Style" w:eastAsia="Arial Unicode MS" w:hAnsi="Bookman Old Style" w:cs="Arial Unicode MS"/>
          <w:sz w:val="24"/>
          <w:szCs w:val="24"/>
        </w:rPr>
        <w:t>I</w:t>
      </w:r>
      <w:r>
        <w:rPr>
          <w:rFonts w:ascii="Bookman Old Style" w:eastAsia="Arial Unicode MS" w:hAnsi="Bookman Old Style" w:cs="Arial Unicode MS"/>
          <w:sz w:val="24"/>
          <w:szCs w:val="24"/>
        </w:rPr>
        <w:t xml:space="preserve"> have already found</w:t>
      </w:r>
      <w:r w:rsidR="00161B73">
        <w:rPr>
          <w:rFonts w:ascii="Bookman Old Style" w:eastAsia="Arial Unicode MS" w:hAnsi="Bookman Old Style" w:cs="Arial Unicode MS"/>
          <w:sz w:val="24"/>
          <w:szCs w:val="24"/>
        </w:rPr>
        <w:t xml:space="preserve"> that although the statement in question is not factually correct</w:t>
      </w:r>
      <w:r w:rsidR="004F049D">
        <w:rPr>
          <w:rFonts w:ascii="Bookman Old Style" w:eastAsia="Arial Unicode MS" w:hAnsi="Bookman Old Style" w:cs="Arial Unicode MS"/>
          <w:sz w:val="24"/>
          <w:szCs w:val="24"/>
        </w:rPr>
        <w:t>,</w:t>
      </w:r>
      <w:r w:rsidR="00161B73">
        <w:rPr>
          <w:rFonts w:ascii="Bookman Old Style" w:eastAsia="Arial Unicode MS" w:hAnsi="Bookman Old Style" w:cs="Arial Unicode MS"/>
          <w:sz w:val="24"/>
          <w:szCs w:val="24"/>
        </w:rPr>
        <w:t xml:space="preserve"> I do not consider it to be defamatory. </w:t>
      </w:r>
    </w:p>
    <w:p w:rsidR="004F049D" w:rsidRDefault="004F049D" w:rsidP="00D052DE">
      <w:pPr>
        <w:spacing w:before="240" w:line="360" w:lineRule="auto"/>
        <w:jc w:val="both"/>
        <w:rPr>
          <w:rFonts w:ascii="Bookman Old Style" w:eastAsia="Arial Unicode MS" w:hAnsi="Bookman Old Style" w:cs="Arial Unicode MS"/>
          <w:sz w:val="24"/>
          <w:szCs w:val="24"/>
        </w:rPr>
      </w:pPr>
    </w:p>
    <w:p w:rsidR="00D8005A" w:rsidRDefault="00161B73"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 the sixth instalment of the statement it is stated that the plaintiff</w:t>
      </w:r>
      <w:r w:rsidR="00AE183C">
        <w:rPr>
          <w:rFonts w:ascii="Bookman Old Style" w:eastAsia="Arial Unicode MS" w:hAnsi="Bookman Old Style" w:cs="Arial Unicode MS"/>
          <w:sz w:val="24"/>
          <w:szCs w:val="24"/>
        </w:rPr>
        <w:t xml:space="preserve"> has an insatiable appetite for </w:t>
      </w:r>
      <w:r w:rsidR="004F049D">
        <w:rPr>
          <w:rFonts w:ascii="Bookman Old Style" w:eastAsia="Arial Unicode MS" w:hAnsi="Bookman Old Style" w:cs="Arial Unicode MS"/>
          <w:sz w:val="24"/>
          <w:szCs w:val="24"/>
        </w:rPr>
        <w:t>State House</w:t>
      </w:r>
      <w:r w:rsidR="00AE183C">
        <w:rPr>
          <w:rFonts w:ascii="Bookman Old Style" w:eastAsia="Arial Unicode MS" w:hAnsi="Bookman Old Style" w:cs="Arial Unicode MS"/>
          <w:sz w:val="24"/>
          <w:szCs w:val="24"/>
        </w:rPr>
        <w:t xml:space="preserve">. The defendants have justified the preceding assertion by stating that the </w:t>
      </w:r>
      <w:r w:rsidR="009D0FE7">
        <w:rPr>
          <w:rFonts w:ascii="Bookman Old Style" w:eastAsia="Arial Unicode MS" w:hAnsi="Bookman Old Style" w:cs="Arial Unicode MS"/>
          <w:sz w:val="24"/>
          <w:szCs w:val="24"/>
        </w:rPr>
        <w:t xml:space="preserve">plaintiff has contested three presidential elections and lost all. And has </w:t>
      </w:r>
      <w:r w:rsidR="004F049D">
        <w:rPr>
          <w:rFonts w:ascii="Bookman Old Style" w:eastAsia="Arial Unicode MS" w:hAnsi="Bookman Old Style" w:cs="Arial Unicode MS"/>
          <w:sz w:val="24"/>
          <w:szCs w:val="24"/>
        </w:rPr>
        <w:t xml:space="preserve">also </w:t>
      </w:r>
      <w:r w:rsidR="009D0FE7">
        <w:rPr>
          <w:rFonts w:ascii="Bookman Old Style" w:eastAsia="Arial Unicode MS" w:hAnsi="Bookman Old Style" w:cs="Arial Unicode MS"/>
          <w:sz w:val="24"/>
          <w:szCs w:val="24"/>
        </w:rPr>
        <w:t>not been prepared to give another person c</w:t>
      </w:r>
      <w:r w:rsidR="006A02DC">
        <w:rPr>
          <w:rFonts w:ascii="Bookman Old Style" w:eastAsia="Arial Unicode MS" w:hAnsi="Bookman Old Style" w:cs="Arial Unicode MS"/>
          <w:sz w:val="24"/>
          <w:szCs w:val="24"/>
        </w:rPr>
        <w:t xml:space="preserve">hance to stand on the Patriotic Front </w:t>
      </w:r>
      <w:r w:rsidR="004F049D">
        <w:rPr>
          <w:rFonts w:ascii="Bookman Old Style" w:eastAsia="Arial Unicode MS" w:hAnsi="Bookman Old Style" w:cs="Arial Unicode MS"/>
          <w:sz w:val="24"/>
          <w:szCs w:val="24"/>
        </w:rPr>
        <w:t xml:space="preserve">ticket </w:t>
      </w:r>
      <w:r w:rsidR="006A02DC">
        <w:rPr>
          <w:rFonts w:ascii="Bookman Old Style" w:eastAsia="Arial Unicode MS" w:hAnsi="Bookman Old Style" w:cs="Arial Unicode MS"/>
          <w:sz w:val="24"/>
          <w:szCs w:val="24"/>
        </w:rPr>
        <w:t>as a presidential candidate. My view of the complaint and defence, is that first, the fact that the plaintiff has previously contested three</w:t>
      </w:r>
      <w:r>
        <w:rPr>
          <w:rFonts w:ascii="Bookman Old Style" w:eastAsia="Arial Unicode MS" w:hAnsi="Bookman Old Style" w:cs="Arial Unicode MS"/>
          <w:sz w:val="24"/>
          <w:szCs w:val="24"/>
        </w:rPr>
        <w:t xml:space="preserve"> </w:t>
      </w:r>
      <w:r w:rsidR="006A02DC">
        <w:rPr>
          <w:rFonts w:ascii="Bookman Old Style" w:eastAsia="Arial Unicode MS" w:hAnsi="Bookman Old Style" w:cs="Arial Unicode MS"/>
          <w:sz w:val="24"/>
          <w:szCs w:val="24"/>
        </w:rPr>
        <w:t>presidential elections is not itself a fact or conclusive proof that he has “</w:t>
      </w:r>
      <w:r w:rsidR="006A02DC" w:rsidRPr="004F049D">
        <w:rPr>
          <w:rFonts w:ascii="Bookman Old Style" w:eastAsia="Arial Unicode MS" w:hAnsi="Bookman Old Style" w:cs="Arial Unicode MS"/>
          <w:i/>
          <w:sz w:val="24"/>
          <w:szCs w:val="24"/>
        </w:rPr>
        <w:t>insatiable appetite</w:t>
      </w:r>
      <w:r w:rsidR="006A02DC">
        <w:rPr>
          <w:rFonts w:ascii="Bookman Old Style" w:eastAsia="Arial Unicode MS" w:hAnsi="Bookman Old Style" w:cs="Arial Unicode MS"/>
          <w:sz w:val="24"/>
          <w:szCs w:val="24"/>
        </w:rPr>
        <w:t xml:space="preserve">” for State House. </w:t>
      </w:r>
      <w:r w:rsidR="004F049D">
        <w:rPr>
          <w:rFonts w:ascii="Bookman Old Style" w:eastAsia="Arial Unicode MS" w:hAnsi="Bookman Old Style" w:cs="Arial Unicode MS"/>
          <w:sz w:val="24"/>
          <w:szCs w:val="24"/>
        </w:rPr>
        <w:t xml:space="preserve">It is possible or </w:t>
      </w:r>
      <w:r w:rsidR="00DA4E27">
        <w:rPr>
          <w:rFonts w:ascii="Bookman Old Style" w:eastAsia="Arial Unicode MS" w:hAnsi="Bookman Old Style" w:cs="Arial Unicode MS"/>
          <w:sz w:val="24"/>
          <w:szCs w:val="24"/>
        </w:rPr>
        <w:t xml:space="preserve">indeed </w:t>
      </w:r>
      <w:r w:rsidR="004F049D">
        <w:rPr>
          <w:rFonts w:ascii="Bookman Old Style" w:eastAsia="Arial Unicode MS" w:hAnsi="Bookman Old Style" w:cs="Arial Unicode MS"/>
          <w:sz w:val="24"/>
          <w:szCs w:val="24"/>
        </w:rPr>
        <w:t>probable that the incessant attempts to get to S</w:t>
      </w:r>
      <w:r w:rsidR="00DA4E27">
        <w:rPr>
          <w:rFonts w:ascii="Bookman Old Style" w:eastAsia="Arial Unicode MS" w:hAnsi="Bookman Old Style" w:cs="Arial Unicode MS"/>
          <w:sz w:val="24"/>
          <w:szCs w:val="24"/>
        </w:rPr>
        <w:t>t</w:t>
      </w:r>
      <w:r w:rsidR="004F049D">
        <w:rPr>
          <w:rFonts w:ascii="Bookman Old Style" w:eastAsia="Arial Unicode MS" w:hAnsi="Bookman Old Style" w:cs="Arial Unicode MS"/>
          <w:sz w:val="24"/>
          <w:szCs w:val="24"/>
        </w:rPr>
        <w:t>ate Ho</w:t>
      </w:r>
      <w:r w:rsidR="00BE7B3A">
        <w:rPr>
          <w:rFonts w:ascii="Bookman Old Style" w:eastAsia="Arial Unicode MS" w:hAnsi="Bookman Old Style" w:cs="Arial Unicode MS"/>
          <w:sz w:val="24"/>
          <w:szCs w:val="24"/>
        </w:rPr>
        <w:t>use may in</w:t>
      </w:r>
      <w:r w:rsidR="009B0838">
        <w:rPr>
          <w:rFonts w:ascii="Bookman Old Style" w:eastAsia="Arial Unicode MS" w:hAnsi="Bookman Old Style" w:cs="Arial Unicode MS"/>
          <w:sz w:val="24"/>
          <w:szCs w:val="24"/>
        </w:rPr>
        <w:t xml:space="preserve"> </w:t>
      </w:r>
      <w:r w:rsidR="00BE7B3A">
        <w:rPr>
          <w:rFonts w:ascii="Bookman Old Style" w:eastAsia="Arial Unicode MS" w:hAnsi="Bookman Old Style" w:cs="Arial Unicode MS"/>
          <w:sz w:val="24"/>
          <w:szCs w:val="24"/>
        </w:rPr>
        <w:t>fact be public spirited.</w:t>
      </w:r>
      <w:r w:rsidR="009B0838">
        <w:rPr>
          <w:rFonts w:ascii="Bookman Old Style" w:eastAsia="Arial Unicode MS" w:hAnsi="Bookman Old Style" w:cs="Arial Unicode MS"/>
          <w:sz w:val="24"/>
          <w:szCs w:val="24"/>
        </w:rPr>
        <w:t xml:space="preserve"> Whatever the case, no proof has been adduced </w:t>
      </w:r>
      <w:r w:rsidR="005F4D59">
        <w:rPr>
          <w:rFonts w:ascii="Bookman Old Style" w:eastAsia="Arial Unicode MS" w:hAnsi="Bookman Old Style" w:cs="Arial Unicode MS"/>
          <w:sz w:val="24"/>
          <w:szCs w:val="24"/>
        </w:rPr>
        <w:t xml:space="preserve">to support the assertion that </w:t>
      </w:r>
      <w:r w:rsidR="005F4D59">
        <w:rPr>
          <w:rFonts w:ascii="Bookman Old Style" w:eastAsia="Arial Unicode MS" w:hAnsi="Bookman Old Style" w:cs="Arial Unicode MS"/>
          <w:sz w:val="24"/>
          <w:szCs w:val="24"/>
        </w:rPr>
        <w:lastRenderedPageBreak/>
        <w:t xml:space="preserve">the plaintiff has </w:t>
      </w:r>
      <w:r w:rsidR="005F4D59" w:rsidRPr="005F4D59">
        <w:rPr>
          <w:rFonts w:ascii="Bookman Old Style" w:eastAsia="Arial Unicode MS" w:hAnsi="Bookman Old Style" w:cs="Arial Unicode MS"/>
          <w:i/>
          <w:sz w:val="24"/>
          <w:szCs w:val="24"/>
        </w:rPr>
        <w:t>“insatiable appetite</w:t>
      </w:r>
      <w:r w:rsidR="005F4D59">
        <w:rPr>
          <w:rFonts w:ascii="Bookman Old Style" w:eastAsia="Arial Unicode MS" w:hAnsi="Bookman Old Style" w:cs="Arial Unicode MS"/>
          <w:sz w:val="24"/>
          <w:szCs w:val="24"/>
        </w:rPr>
        <w:t>” for State House</w:t>
      </w:r>
      <w:r w:rsidR="00C41E2C">
        <w:rPr>
          <w:rFonts w:ascii="Bookman Old Style" w:eastAsia="Arial Unicode MS" w:hAnsi="Bookman Old Style" w:cs="Arial Unicode MS"/>
          <w:sz w:val="24"/>
          <w:szCs w:val="24"/>
        </w:rPr>
        <w:t>.</w:t>
      </w:r>
      <w:r w:rsidR="00BE7B3A">
        <w:rPr>
          <w:rFonts w:ascii="Bookman Old Style" w:eastAsia="Arial Unicode MS" w:hAnsi="Bookman Old Style" w:cs="Arial Unicode MS"/>
          <w:sz w:val="24"/>
          <w:szCs w:val="24"/>
        </w:rPr>
        <w:t xml:space="preserve"> </w:t>
      </w:r>
      <w:r w:rsidR="006A02DC">
        <w:rPr>
          <w:rFonts w:ascii="Bookman Old Style" w:eastAsia="Arial Unicode MS" w:hAnsi="Bookman Old Style" w:cs="Arial Unicode MS"/>
          <w:sz w:val="24"/>
          <w:szCs w:val="24"/>
        </w:rPr>
        <w:t xml:space="preserve">Second, the defendant’s have not adduced any evidence </w:t>
      </w:r>
      <w:r w:rsidR="004F049D">
        <w:rPr>
          <w:rFonts w:ascii="Bookman Old Style" w:eastAsia="Arial Unicode MS" w:hAnsi="Bookman Old Style" w:cs="Arial Unicode MS"/>
          <w:sz w:val="24"/>
          <w:szCs w:val="24"/>
        </w:rPr>
        <w:t xml:space="preserve">to justify the assertion </w:t>
      </w:r>
      <w:r w:rsidR="006A02DC">
        <w:rPr>
          <w:rFonts w:ascii="Bookman Old Style" w:eastAsia="Arial Unicode MS" w:hAnsi="Bookman Old Style" w:cs="Arial Unicode MS"/>
          <w:sz w:val="24"/>
          <w:szCs w:val="24"/>
        </w:rPr>
        <w:t xml:space="preserve">that the plaintiff </w:t>
      </w:r>
      <w:r w:rsidR="006A02DC" w:rsidRPr="004F049D">
        <w:rPr>
          <w:rFonts w:ascii="Bookman Old Style" w:eastAsia="Arial Unicode MS" w:hAnsi="Bookman Old Style" w:cs="Arial Unicode MS"/>
          <w:i/>
          <w:sz w:val="24"/>
          <w:szCs w:val="24"/>
        </w:rPr>
        <w:t>“... has not been prepared to give another person a chance to stand on the Patriotic Front as a presidential candidate.</w:t>
      </w:r>
      <w:r w:rsidR="004F049D" w:rsidRPr="004F049D">
        <w:rPr>
          <w:rFonts w:ascii="Bookman Old Style" w:eastAsia="Arial Unicode MS" w:hAnsi="Bookman Old Style" w:cs="Arial Unicode MS"/>
          <w:i/>
          <w:sz w:val="24"/>
          <w:szCs w:val="24"/>
        </w:rPr>
        <w:t>”</w:t>
      </w:r>
      <w:r w:rsidR="004F049D">
        <w:rPr>
          <w:rFonts w:ascii="Bookman Old Style" w:eastAsia="Arial Unicode MS" w:hAnsi="Bookman Old Style" w:cs="Arial Unicode MS"/>
          <w:sz w:val="24"/>
          <w:szCs w:val="24"/>
        </w:rPr>
        <w:t xml:space="preserve"> </w:t>
      </w:r>
      <w:r w:rsidR="006A02DC">
        <w:rPr>
          <w:rFonts w:ascii="Bookman Old Style" w:eastAsia="Arial Unicode MS" w:hAnsi="Bookman Old Style" w:cs="Arial Unicode MS"/>
          <w:sz w:val="24"/>
          <w:szCs w:val="24"/>
        </w:rPr>
        <w:t xml:space="preserve">I therefore find that the preceding allegations have not been justified. </w:t>
      </w:r>
    </w:p>
    <w:p w:rsidR="00D8005A" w:rsidRDefault="00D8005A" w:rsidP="00D052DE">
      <w:pPr>
        <w:spacing w:before="240" w:line="360" w:lineRule="auto"/>
        <w:jc w:val="both"/>
        <w:rPr>
          <w:rFonts w:ascii="Bookman Old Style" w:eastAsia="Arial Unicode MS" w:hAnsi="Bookman Old Style" w:cs="Arial Unicode MS"/>
          <w:sz w:val="24"/>
          <w:szCs w:val="24"/>
        </w:rPr>
      </w:pPr>
    </w:p>
    <w:p w:rsidR="008C392C" w:rsidRDefault="006A02DC"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 the seventh instalment of the statement</w:t>
      </w:r>
      <w:r w:rsidR="00D8005A">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the defendants have made a bold statement that the plaintiff has no respect for traditional leaders. In their defence, the defendants have alleged that the plaintiff has been at logger heads with paramount </w:t>
      </w:r>
      <w:r w:rsidR="00D8005A">
        <w:rPr>
          <w:rFonts w:ascii="Bookman Old Style" w:eastAsia="Arial Unicode MS" w:hAnsi="Bookman Old Style" w:cs="Arial Unicode MS"/>
          <w:sz w:val="24"/>
          <w:szCs w:val="24"/>
        </w:rPr>
        <w:t xml:space="preserve">Chief Chitimukulu </w:t>
      </w:r>
      <w:r w:rsidR="00C41E2C">
        <w:rPr>
          <w:rFonts w:ascii="Bookman Old Style" w:eastAsia="Arial Unicode MS" w:hAnsi="Bookman Old Style" w:cs="Arial Unicode MS"/>
          <w:sz w:val="24"/>
          <w:szCs w:val="24"/>
        </w:rPr>
        <w:t>of the Royal Bemba E</w:t>
      </w:r>
      <w:r>
        <w:rPr>
          <w:rFonts w:ascii="Bookman Old Style" w:eastAsia="Arial Unicode MS" w:hAnsi="Bookman Old Style" w:cs="Arial Unicode MS"/>
          <w:sz w:val="24"/>
          <w:szCs w:val="24"/>
        </w:rPr>
        <w:t xml:space="preserve">stablishment. </w:t>
      </w:r>
      <w:r w:rsidR="00D8005A">
        <w:rPr>
          <w:rFonts w:ascii="Bookman Old Style" w:eastAsia="Arial Unicode MS" w:hAnsi="Bookman Old Style" w:cs="Arial Unicode MS"/>
          <w:sz w:val="24"/>
          <w:szCs w:val="24"/>
        </w:rPr>
        <w:t xml:space="preserve">And </w:t>
      </w:r>
      <w:r>
        <w:rPr>
          <w:rFonts w:ascii="Bookman Old Style" w:eastAsia="Arial Unicode MS" w:hAnsi="Bookman Old Style" w:cs="Arial Unicode MS"/>
          <w:sz w:val="24"/>
          <w:szCs w:val="24"/>
        </w:rPr>
        <w:t>that this led to the plaintiff b</w:t>
      </w:r>
      <w:r w:rsidR="00D8005A">
        <w:rPr>
          <w:rFonts w:ascii="Bookman Old Style" w:eastAsia="Arial Unicode MS" w:hAnsi="Bookman Old Style" w:cs="Arial Unicode MS"/>
          <w:sz w:val="24"/>
          <w:szCs w:val="24"/>
        </w:rPr>
        <w:t xml:space="preserve">eing summoned to appear before </w:t>
      </w:r>
      <w:r w:rsidR="00C41E2C">
        <w:rPr>
          <w:rFonts w:ascii="Bookman Old Style" w:eastAsia="Arial Unicode MS" w:hAnsi="Bookman Old Style" w:cs="Arial Unicode MS"/>
          <w:sz w:val="24"/>
          <w:szCs w:val="24"/>
        </w:rPr>
        <w:t xml:space="preserve">the </w:t>
      </w:r>
      <w:r w:rsidR="00D8005A">
        <w:rPr>
          <w:rFonts w:ascii="Bookman Old Style" w:eastAsia="Arial Unicode MS" w:hAnsi="Bookman Old Style" w:cs="Arial Unicode MS"/>
          <w:sz w:val="24"/>
          <w:szCs w:val="24"/>
        </w:rPr>
        <w:t>T</w:t>
      </w:r>
      <w:r>
        <w:rPr>
          <w:rFonts w:ascii="Bookman Old Style" w:eastAsia="Arial Unicode MS" w:hAnsi="Bookman Old Style" w:cs="Arial Unicode MS"/>
          <w:sz w:val="24"/>
          <w:szCs w:val="24"/>
        </w:rPr>
        <w:t>raditional Court.</w:t>
      </w:r>
      <w:r w:rsidR="005F4D59">
        <w:rPr>
          <w:rFonts w:ascii="Bookman Old Style" w:eastAsia="Arial Unicode MS" w:hAnsi="Bookman Old Style" w:cs="Arial Unicode MS"/>
          <w:sz w:val="24"/>
          <w:szCs w:val="24"/>
        </w:rPr>
        <w:t xml:space="preserve"> </w:t>
      </w:r>
      <w:r w:rsidR="008C392C">
        <w:rPr>
          <w:rFonts w:ascii="Bookman Old Style" w:eastAsia="Arial Unicode MS" w:hAnsi="Bookman Old Style" w:cs="Arial Unicode MS"/>
          <w:sz w:val="24"/>
          <w:szCs w:val="24"/>
        </w:rPr>
        <w:t xml:space="preserve">My assessment of the </w:t>
      </w:r>
      <w:r w:rsidR="00E509EE">
        <w:rPr>
          <w:rFonts w:ascii="Bookman Old Style" w:eastAsia="Arial Unicode MS" w:hAnsi="Bookman Old Style" w:cs="Arial Unicode MS"/>
          <w:sz w:val="24"/>
          <w:szCs w:val="24"/>
        </w:rPr>
        <w:t>complaint and defence</w:t>
      </w:r>
      <w:r w:rsidR="00C41E2C">
        <w:rPr>
          <w:rFonts w:ascii="Bookman Old Style" w:eastAsia="Arial Unicode MS" w:hAnsi="Bookman Old Style" w:cs="Arial Unicode MS"/>
          <w:sz w:val="24"/>
          <w:szCs w:val="24"/>
        </w:rPr>
        <w:t>,</w:t>
      </w:r>
      <w:r w:rsidR="00E509EE">
        <w:rPr>
          <w:rFonts w:ascii="Bookman Old Style" w:eastAsia="Arial Unicode MS" w:hAnsi="Bookman Old Style" w:cs="Arial Unicode MS"/>
          <w:sz w:val="24"/>
          <w:szCs w:val="24"/>
        </w:rPr>
        <w:t xml:space="preserve"> is that</w:t>
      </w:r>
      <w:r w:rsidR="008C392C">
        <w:rPr>
          <w:rFonts w:ascii="Bookman Old Style" w:eastAsia="Arial Unicode MS" w:hAnsi="Bookman Old Style" w:cs="Arial Unicode MS"/>
          <w:sz w:val="24"/>
          <w:szCs w:val="24"/>
        </w:rPr>
        <w:t xml:space="preserve"> </w:t>
      </w:r>
      <w:r w:rsidR="005F4D59">
        <w:rPr>
          <w:rFonts w:ascii="Bookman Old Style" w:eastAsia="Arial Unicode MS" w:hAnsi="Bookman Old Style" w:cs="Arial Unicode MS"/>
          <w:sz w:val="24"/>
          <w:szCs w:val="24"/>
        </w:rPr>
        <w:t xml:space="preserve">in the first place, </w:t>
      </w:r>
      <w:r w:rsidR="008C392C">
        <w:rPr>
          <w:rFonts w:ascii="Bookman Old Style" w:eastAsia="Arial Unicode MS" w:hAnsi="Bookman Old Style" w:cs="Arial Unicode MS"/>
          <w:sz w:val="24"/>
          <w:szCs w:val="24"/>
        </w:rPr>
        <w:t>the 1</w:t>
      </w:r>
      <w:r w:rsidR="008C392C" w:rsidRPr="008C392C">
        <w:rPr>
          <w:rFonts w:ascii="Bookman Old Style" w:eastAsia="Arial Unicode MS" w:hAnsi="Bookman Old Style" w:cs="Arial Unicode MS"/>
          <w:sz w:val="24"/>
          <w:szCs w:val="24"/>
          <w:vertAlign w:val="superscript"/>
        </w:rPr>
        <w:t>st</w:t>
      </w:r>
      <w:r w:rsidR="008C392C">
        <w:rPr>
          <w:rFonts w:ascii="Bookman Old Style" w:eastAsia="Arial Unicode MS" w:hAnsi="Bookman Old Style" w:cs="Arial Unicode MS"/>
          <w:sz w:val="24"/>
          <w:szCs w:val="24"/>
        </w:rPr>
        <w:t xml:space="preserve"> and 2</w:t>
      </w:r>
      <w:r w:rsidR="008C392C" w:rsidRPr="008C392C">
        <w:rPr>
          <w:rFonts w:ascii="Bookman Old Style" w:eastAsia="Arial Unicode MS" w:hAnsi="Bookman Old Style" w:cs="Arial Unicode MS"/>
          <w:sz w:val="24"/>
          <w:szCs w:val="24"/>
          <w:vertAlign w:val="superscript"/>
        </w:rPr>
        <w:t>nd</w:t>
      </w:r>
      <w:r w:rsidR="008C392C">
        <w:rPr>
          <w:rFonts w:ascii="Bookman Old Style" w:eastAsia="Arial Unicode MS" w:hAnsi="Bookman Old Style" w:cs="Arial Unicode MS"/>
          <w:sz w:val="24"/>
          <w:szCs w:val="24"/>
        </w:rPr>
        <w:t xml:space="preserve"> defendants published a very general stat</w:t>
      </w:r>
      <w:r w:rsidR="005F4D59">
        <w:rPr>
          <w:rFonts w:ascii="Bookman Old Style" w:eastAsia="Arial Unicode MS" w:hAnsi="Bookman Old Style" w:cs="Arial Unicode MS"/>
          <w:sz w:val="24"/>
          <w:szCs w:val="24"/>
        </w:rPr>
        <w:t>ement that the plaintiff has no</w:t>
      </w:r>
      <w:r w:rsidR="008C392C">
        <w:rPr>
          <w:rFonts w:ascii="Bookman Old Style" w:eastAsia="Arial Unicode MS" w:hAnsi="Bookman Old Style" w:cs="Arial Unicode MS"/>
          <w:sz w:val="24"/>
          <w:szCs w:val="24"/>
        </w:rPr>
        <w:t xml:space="preserve"> respect for traditional leaders. In the defence</w:t>
      </w:r>
      <w:r w:rsidR="00E06FD0">
        <w:rPr>
          <w:rFonts w:ascii="Bookman Old Style" w:eastAsia="Arial Unicode MS" w:hAnsi="Bookman Old Style" w:cs="Arial Unicode MS"/>
          <w:sz w:val="24"/>
          <w:szCs w:val="24"/>
        </w:rPr>
        <w:t>,</w:t>
      </w:r>
      <w:r w:rsidR="008C392C">
        <w:rPr>
          <w:rFonts w:ascii="Bookman Old Style" w:eastAsia="Arial Unicode MS" w:hAnsi="Bookman Old Style" w:cs="Arial Unicode MS"/>
          <w:sz w:val="24"/>
          <w:szCs w:val="24"/>
        </w:rPr>
        <w:t xml:space="preserve"> the 1</w:t>
      </w:r>
      <w:r w:rsidR="008C392C" w:rsidRPr="008C392C">
        <w:rPr>
          <w:rFonts w:ascii="Bookman Old Style" w:eastAsia="Arial Unicode MS" w:hAnsi="Bookman Old Style" w:cs="Arial Unicode MS"/>
          <w:sz w:val="24"/>
          <w:szCs w:val="24"/>
          <w:vertAlign w:val="superscript"/>
        </w:rPr>
        <w:t>st</w:t>
      </w:r>
      <w:r w:rsidR="008C392C">
        <w:rPr>
          <w:rFonts w:ascii="Bookman Old Style" w:eastAsia="Arial Unicode MS" w:hAnsi="Bookman Old Style" w:cs="Arial Unicode MS"/>
          <w:sz w:val="24"/>
          <w:szCs w:val="24"/>
        </w:rPr>
        <w:t xml:space="preserve"> and 2</w:t>
      </w:r>
      <w:r w:rsidR="008C392C" w:rsidRPr="008C392C">
        <w:rPr>
          <w:rFonts w:ascii="Bookman Old Style" w:eastAsia="Arial Unicode MS" w:hAnsi="Bookman Old Style" w:cs="Arial Unicode MS"/>
          <w:sz w:val="24"/>
          <w:szCs w:val="24"/>
          <w:vertAlign w:val="superscript"/>
        </w:rPr>
        <w:t>nd</w:t>
      </w:r>
      <w:r w:rsidR="008C392C">
        <w:rPr>
          <w:rFonts w:ascii="Bookman Old Style" w:eastAsia="Arial Unicode MS" w:hAnsi="Bookman Old Style" w:cs="Arial Unicode MS"/>
          <w:sz w:val="24"/>
          <w:szCs w:val="24"/>
        </w:rPr>
        <w:t xml:space="preserve"> defendants qualified or limite</w:t>
      </w:r>
      <w:r w:rsidR="005F4D59">
        <w:rPr>
          <w:rFonts w:ascii="Bookman Old Style" w:eastAsia="Arial Unicode MS" w:hAnsi="Bookman Old Style" w:cs="Arial Unicode MS"/>
          <w:sz w:val="24"/>
          <w:szCs w:val="24"/>
        </w:rPr>
        <w:t>d their assertion to paramount C</w:t>
      </w:r>
      <w:r w:rsidR="008C392C">
        <w:rPr>
          <w:rFonts w:ascii="Bookman Old Style" w:eastAsia="Arial Unicode MS" w:hAnsi="Bookman Old Style" w:cs="Arial Unicode MS"/>
          <w:sz w:val="24"/>
          <w:szCs w:val="24"/>
        </w:rPr>
        <w:t xml:space="preserve">hief Chitimukulu of the Royal </w:t>
      </w:r>
      <w:r w:rsidR="005F4D59">
        <w:rPr>
          <w:rFonts w:ascii="Bookman Old Style" w:eastAsia="Arial Unicode MS" w:hAnsi="Bookman Old Style" w:cs="Arial Unicode MS"/>
          <w:sz w:val="24"/>
          <w:szCs w:val="24"/>
        </w:rPr>
        <w:t xml:space="preserve">Bemba </w:t>
      </w:r>
      <w:r w:rsidR="008C392C">
        <w:rPr>
          <w:rFonts w:ascii="Bookman Old Style" w:eastAsia="Arial Unicode MS" w:hAnsi="Bookman Old Style" w:cs="Arial Unicode MS"/>
          <w:sz w:val="24"/>
          <w:szCs w:val="24"/>
        </w:rPr>
        <w:t>Establishment. Even then</w:t>
      </w:r>
      <w:r w:rsidR="00E509EE">
        <w:rPr>
          <w:rFonts w:ascii="Bookman Old Style" w:eastAsia="Arial Unicode MS" w:hAnsi="Bookman Old Style" w:cs="Arial Unicode MS"/>
          <w:sz w:val="24"/>
          <w:szCs w:val="24"/>
        </w:rPr>
        <w:t>,</w:t>
      </w:r>
      <w:r w:rsidR="008C392C">
        <w:rPr>
          <w:rFonts w:ascii="Bookman Old Style" w:eastAsia="Arial Unicode MS" w:hAnsi="Bookman Old Style" w:cs="Arial Unicode MS"/>
          <w:sz w:val="24"/>
          <w:szCs w:val="24"/>
        </w:rPr>
        <w:t xml:space="preserve"> the 1</w:t>
      </w:r>
      <w:r w:rsidR="008C392C" w:rsidRPr="008C392C">
        <w:rPr>
          <w:rFonts w:ascii="Bookman Old Style" w:eastAsia="Arial Unicode MS" w:hAnsi="Bookman Old Style" w:cs="Arial Unicode MS"/>
          <w:sz w:val="24"/>
          <w:szCs w:val="24"/>
          <w:vertAlign w:val="superscript"/>
        </w:rPr>
        <w:t>st</w:t>
      </w:r>
      <w:r w:rsidR="008C392C">
        <w:rPr>
          <w:rFonts w:ascii="Bookman Old Style" w:eastAsia="Arial Unicode MS" w:hAnsi="Bookman Old Style" w:cs="Arial Unicode MS"/>
          <w:sz w:val="24"/>
          <w:szCs w:val="24"/>
        </w:rPr>
        <w:t xml:space="preserve"> and 2</w:t>
      </w:r>
      <w:r w:rsidR="008C392C" w:rsidRPr="008C392C">
        <w:rPr>
          <w:rFonts w:ascii="Bookman Old Style" w:eastAsia="Arial Unicode MS" w:hAnsi="Bookman Old Style" w:cs="Arial Unicode MS"/>
          <w:sz w:val="24"/>
          <w:szCs w:val="24"/>
          <w:vertAlign w:val="superscript"/>
        </w:rPr>
        <w:t>nd</w:t>
      </w:r>
      <w:r w:rsidR="008C392C">
        <w:rPr>
          <w:rFonts w:ascii="Bookman Old Style" w:eastAsia="Arial Unicode MS" w:hAnsi="Bookman Old Style" w:cs="Arial Unicode MS"/>
          <w:sz w:val="24"/>
          <w:szCs w:val="24"/>
        </w:rPr>
        <w:t xml:space="preserve"> defendants have not supplied any particulars to justify the allegation that the plaintif</w:t>
      </w:r>
      <w:r w:rsidR="005F4D59">
        <w:rPr>
          <w:rFonts w:ascii="Bookman Old Style" w:eastAsia="Arial Unicode MS" w:hAnsi="Bookman Old Style" w:cs="Arial Unicode MS"/>
          <w:sz w:val="24"/>
          <w:szCs w:val="24"/>
        </w:rPr>
        <w:t>f has no respect for paramount C</w:t>
      </w:r>
      <w:r w:rsidR="008C392C">
        <w:rPr>
          <w:rFonts w:ascii="Bookman Old Style" w:eastAsia="Arial Unicode MS" w:hAnsi="Bookman Old Style" w:cs="Arial Unicode MS"/>
          <w:sz w:val="24"/>
          <w:szCs w:val="24"/>
        </w:rPr>
        <w:t>hief Chitimukulu. I therefore find that the 1</w:t>
      </w:r>
      <w:r w:rsidR="008C392C" w:rsidRPr="008C392C">
        <w:rPr>
          <w:rFonts w:ascii="Bookman Old Style" w:eastAsia="Arial Unicode MS" w:hAnsi="Bookman Old Style" w:cs="Arial Unicode MS"/>
          <w:sz w:val="24"/>
          <w:szCs w:val="24"/>
          <w:vertAlign w:val="superscript"/>
        </w:rPr>
        <w:t>st</w:t>
      </w:r>
      <w:r w:rsidR="008C392C">
        <w:rPr>
          <w:rFonts w:ascii="Bookman Old Style" w:eastAsia="Arial Unicode MS" w:hAnsi="Bookman Old Style" w:cs="Arial Unicode MS"/>
          <w:sz w:val="24"/>
          <w:szCs w:val="24"/>
        </w:rPr>
        <w:t xml:space="preserve"> and 2</w:t>
      </w:r>
      <w:r w:rsidR="008C392C" w:rsidRPr="008C392C">
        <w:rPr>
          <w:rFonts w:ascii="Bookman Old Style" w:eastAsia="Arial Unicode MS" w:hAnsi="Bookman Old Style" w:cs="Arial Unicode MS"/>
          <w:sz w:val="24"/>
          <w:szCs w:val="24"/>
          <w:vertAlign w:val="superscript"/>
        </w:rPr>
        <w:t>nd</w:t>
      </w:r>
      <w:r w:rsidR="008C392C">
        <w:rPr>
          <w:rFonts w:ascii="Bookman Old Style" w:eastAsia="Arial Unicode MS" w:hAnsi="Bookman Old Style" w:cs="Arial Unicode MS"/>
          <w:sz w:val="24"/>
          <w:szCs w:val="24"/>
        </w:rPr>
        <w:t xml:space="preserve"> defendants have failed to justify the allegations. </w:t>
      </w:r>
    </w:p>
    <w:p w:rsidR="00F37BC4" w:rsidRDefault="008C392C"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Lastly, I have already held that there is nothing in the statement to suggest the interpretation or meaning given to </w:t>
      </w:r>
      <w:r w:rsidR="00680349">
        <w:rPr>
          <w:rFonts w:ascii="Bookman Old Style" w:eastAsia="Arial Unicode MS" w:hAnsi="Bookman Old Style" w:cs="Arial Unicode MS"/>
          <w:sz w:val="24"/>
          <w:szCs w:val="24"/>
        </w:rPr>
        <w:t>it</w:t>
      </w:r>
      <w:r>
        <w:rPr>
          <w:rFonts w:ascii="Bookman Old Style" w:eastAsia="Arial Unicode MS" w:hAnsi="Bookman Old Style" w:cs="Arial Unicode MS"/>
          <w:sz w:val="24"/>
          <w:szCs w:val="24"/>
        </w:rPr>
        <w:t xml:space="preserve"> by the plaintiff. Overall, both the common law and statut</w:t>
      </w:r>
      <w:r w:rsidR="00E509EE">
        <w:rPr>
          <w:rFonts w:ascii="Bookman Old Style" w:eastAsia="Arial Unicode MS" w:hAnsi="Bookman Old Style" w:cs="Arial Unicode MS"/>
          <w:sz w:val="24"/>
          <w:szCs w:val="24"/>
        </w:rPr>
        <w:t>ory defence of justification put forward by the 1</w:t>
      </w:r>
      <w:r w:rsidR="00E509EE" w:rsidRPr="00E509EE">
        <w:rPr>
          <w:rFonts w:ascii="Bookman Old Style" w:eastAsia="Arial Unicode MS" w:hAnsi="Bookman Old Style" w:cs="Arial Unicode MS"/>
          <w:sz w:val="24"/>
          <w:szCs w:val="24"/>
          <w:vertAlign w:val="superscript"/>
        </w:rPr>
        <w:t>st</w:t>
      </w:r>
      <w:r w:rsidR="00E509EE">
        <w:rPr>
          <w:rFonts w:ascii="Bookman Old Style" w:eastAsia="Arial Unicode MS" w:hAnsi="Bookman Old Style" w:cs="Arial Unicode MS"/>
          <w:sz w:val="24"/>
          <w:szCs w:val="24"/>
        </w:rPr>
        <w:t xml:space="preserve"> and 2</w:t>
      </w:r>
      <w:r w:rsidR="00E509EE" w:rsidRPr="00E509EE">
        <w:rPr>
          <w:rFonts w:ascii="Bookman Old Style" w:eastAsia="Arial Unicode MS" w:hAnsi="Bookman Old Style" w:cs="Arial Unicode MS"/>
          <w:sz w:val="24"/>
          <w:szCs w:val="24"/>
          <w:vertAlign w:val="superscript"/>
        </w:rPr>
        <w:t>nd</w:t>
      </w:r>
      <w:r w:rsidR="00E509EE">
        <w:rPr>
          <w:rFonts w:ascii="Bookman Old Style" w:eastAsia="Arial Unicode MS" w:hAnsi="Bookman Old Style" w:cs="Arial Unicode MS"/>
          <w:sz w:val="24"/>
          <w:szCs w:val="24"/>
        </w:rPr>
        <w:t xml:space="preserve"> defendants are </w:t>
      </w:r>
      <w:r w:rsidR="005F4D59">
        <w:rPr>
          <w:rFonts w:ascii="Bookman Old Style" w:eastAsia="Arial Unicode MS" w:hAnsi="Bookman Old Style" w:cs="Arial Unicode MS"/>
          <w:sz w:val="24"/>
          <w:szCs w:val="24"/>
        </w:rPr>
        <w:t xml:space="preserve">not </w:t>
      </w:r>
      <w:r w:rsidR="00E509EE">
        <w:rPr>
          <w:rFonts w:ascii="Bookman Old Style" w:eastAsia="Arial Unicode MS" w:hAnsi="Bookman Old Style" w:cs="Arial Unicode MS"/>
          <w:sz w:val="24"/>
          <w:szCs w:val="24"/>
        </w:rPr>
        <w:t>likely to succeed</w:t>
      </w:r>
      <w:r>
        <w:rPr>
          <w:rFonts w:ascii="Bookman Old Style" w:eastAsia="Arial Unicode MS" w:hAnsi="Bookman Old Style" w:cs="Arial Unicode MS"/>
          <w:sz w:val="24"/>
          <w:szCs w:val="24"/>
        </w:rPr>
        <w:t xml:space="preserve"> </w:t>
      </w:r>
      <w:r w:rsidR="005F4D59">
        <w:rPr>
          <w:rFonts w:ascii="Bookman Old Style" w:eastAsia="Arial Unicode MS" w:hAnsi="Bookman Old Style" w:cs="Arial Unicode MS"/>
          <w:sz w:val="24"/>
          <w:szCs w:val="24"/>
        </w:rPr>
        <w:t>at the trial of this action</w:t>
      </w:r>
      <w:r w:rsidR="00E509EE">
        <w:rPr>
          <w:rFonts w:ascii="Bookman Old Style" w:eastAsia="Arial Unicode MS" w:hAnsi="Bookman Old Style" w:cs="Arial Unicode MS"/>
          <w:sz w:val="24"/>
          <w:szCs w:val="24"/>
        </w:rPr>
        <w:t xml:space="preserve">. </w:t>
      </w:r>
    </w:p>
    <w:p w:rsidR="00F37BC4" w:rsidRDefault="00F37BC4" w:rsidP="00D052DE">
      <w:pPr>
        <w:spacing w:before="240" w:line="360" w:lineRule="auto"/>
        <w:jc w:val="both"/>
        <w:rPr>
          <w:rFonts w:ascii="Bookman Old Style" w:eastAsia="Arial Unicode MS" w:hAnsi="Bookman Old Style" w:cs="Arial Unicode MS"/>
          <w:sz w:val="24"/>
          <w:szCs w:val="24"/>
        </w:rPr>
      </w:pPr>
    </w:p>
    <w:p w:rsidR="00F37BC4" w:rsidRPr="00E509EE" w:rsidRDefault="00E509EE" w:rsidP="00D052DE">
      <w:pPr>
        <w:spacing w:before="240" w:line="360" w:lineRule="auto"/>
        <w:jc w:val="both"/>
        <w:rPr>
          <w:rFonts w:ascii="Bookman Old Style" w:eastAsia="Arial Unicode MS" w:hAnsi="Bookman Old Style" w:cs="Arial Unicode MS"/>
          <w:b/>
          <w:sz w:val="24"/>
          <w:szCs w:val="24"/>
        </w:rPr>
      </w:pPr>
      <w:r>
        <w:rPr>
          <w:rFonts w:ascii="Bookman Old Style" w:eastAsia="Arial Unicode MS" w:hAnsi="Bookman Old Style" w:cs="Arial Unicode MS"/>
          <w:b/>
          <w:sz w:val="24"/>
          <w:szCs w:val="24"/>
        </w:rPr>
        <w:t>FAIR COMMENT – HON</w:t>
      </w:r>
      <w:r w:rsidR="00F37BC4" w:rsidRPr="00E509EE">
        <w:rPr>
          <w:rFonts w:ascii="Bookman Old Style" w:eastAsia="Arial Unicode MS" w:hAnsi="Bookman Old Style" w:cs="Arial Unicode MS"/>
          <w:b/>
          <w:sz w:val="24"/>
          <w:szCs w:val="24"/>
        </w:rPr>
        <w:t>EST COMMENT</w:t>
      </w:r>
    </w:p>
    <w:p w:rsidR="00FC75BC" w:rsidRDefault="00F37BC4"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defence of fair comment is concerned with the protection of comment</w:t>
      </w:r>
      <w:r w:rsidR="005F4D59">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and not imputation of fact. To be within the purview of this defence, the fair </w:t>
      </w:r>
      <w:r>
        <w:rPr>
          <w:rFonts w:ascii="Bookman Old Style" w:eastAsia="Arial Unicode MS" w:hAnsi="Bookman Old Style" w:cs="Arial Unicode MS"/>
          <w:sz w:val="24"/>
          <w:szCs w:val="24"/>
        </w:rPr>
        <w:lastRenderedPageBreak/>
        <w:t xml:space="preserve">comment must be shown or demonstrated to be distinct from imputation of fact. </w:t>
      </w:r>
      <w:r w:rsidR="00B64C42">
        <w:rPr>
          <w:rFonts w:ascii="Bookman Old Style" w:eastAsia="Arial Unicode MS" w:hAnsi="Bookman Old Style" w:cs="Arial Unicode MS"/>
          <w:sz w:val="24"/>
          <w:szCs w:val="24"/>
        </w:rPr>
        <w:t>The comment must be based upon</w:t>
      </w:r>
      <w:r w:rsidR="00313200">
        <w:rPr>
          <w:rFonts w:ascii="Bookman Old Style" w:eastAsia="Arial Unicode MS" w:hAnsi="Bookman Old Style" w:cs="Arial Unicode MS"/>
          <w:sz w:val="24"/>
          <w:szCs w:val="24"/>
        </w:rPr>
        <w:t xml:space="preserve"> facts truly stated. It is vit</w:t>
      </w:r>
      <w:r w:rsidR="00B64C42">
        <w:rPr>
          <w:rFonts w:ascii="Bookman Old Style" w:eastAsia="Arial Unicode MS" w:hAnsi="Bookman Old Style" w:cs="Arial Unicode MS"/>
          <w:sz w:val="24"/>
          <w:szCs w:val="24"/>
        </w:rPr>
        <w:t xml:space="preserve">al that these facts are true or privileged. A defendant must also plead with </w:t>
      </w:r>
      <w:r w:rsidR="00336E98">
        <w:rPr>
          <w:rFonts w:ascii="Bookman Old Style" w:eastAsia="Arial Unicode MS" w:hAnsi="Bookman Old Style" w:cs="Arial Unicode MS"/>
          <w:sz w:val="24"/>
          <w:szCs w:val="24"/>
        </w:rPr>
        <w:t>sufficient</w:t>
      </w:r>
      <w:r w:rsidR="00B64C42">
        <w:rPr>
          <w:rFonts w:ascii="Bookman Old Style" w:eastAsia="Arial Unicode MS" w:hAnsi="Bookman Old Style" w:cs="Arial Unicode MS"/>
          <w:sz w:val="24"/>
          <w:szCs w:val="24"/>
        </w:rPr>
        <w:t xml:space="preserve"> precision the comment relied upon as constituting the defence so that the plaintiff knows in advance the case he has to meet.</w:t>
      </w:r>
      <w:r w:rsidR="008C439D">
        <w:rPr>
          <w:rFonts w:ascii="Bookman Old Style" w:eastAsia="Arial Unicode MS" w:hAnsi="Bookman Old Style" w:cs="Arial Unicode MS"/>
          <w:sz w:val="24"/>
          <w:szCs w:val="24"/>
        </w:rPr>
        <w:t xml:space="preserve"> The test is objective. A</w:t>
      </w:r>
      <w:r w:rsidR="00F41C12">
        <w:rPr>
          <w:rFonts w:ascii="Bookman Old Style" w:eastAsia="Arial Unicode MS" w:hAnsi="Bookman Old Style" w:cs="Arial Unicode MS"/>
          <w:sz w:val="24"/>
          <w:szCs w:val="24"/>
        </w:rPr>
        <w:t xml:space="preserve"> bold statement with</w:t>
      </w:r>
      <w:r w:rsidR="00336E98">
        <w:rPr>
          <w:rFonts w:ascii="Bookman Old Style" w:eastAsia="Arial Unicode MS" w:hAnsi="Bookman Old Style" w:cs="Arial Unicode MS"/>
          <w:sz w:val="24"/>
          <w:szCs w:val="24"/>
        </w:rPr>
        <w:t xml:space="preserve"> no supporting facts is not considered as a comment and does not qualify to be protected as</w:t>
      </w:r>
      <w:r w:rsidR="00F41C12">
        <w:rPr>
          <w:rFonts w:ascii="Bookman Old Style" w:eastAsia="Arial Unicode MS" w:hAnsi="Bookman Old Style" w:cs="Arial Unicode MS"/>
          <w:sz w:val="24"/>
          <w:szCs w:val="24"/>
        </w:rPr>
        <w:t xml:space="preserve"> such</w:t>
      </w:r>
      <w:r w:rsidR="00336E98">
        <w:rPr>
          <w:rFonts w:ascii="Bookman Old Style" w:eastAsia="Arial Unicode MS" w:hAnsi="Bookman Old Style" w:cs="Arial Unicode MS"/>
          <w:sz w:val="24"/>
          <w:szCs w:val="24"/>
        </w:rPr>
        <w:t xml:space="preserve">. Comments cannot exist in </w:t>
      </w:r>
      <w:r w:rsidR="005F4D59">
        <w:rPr>
          <w:rFonts w:ascii="Bookman Old Style" w:eastAsia="Arial Unicode MS" w:hAnsi="Bookman Old Style" w:cs="Arial Unicode MS"/>
          <w:sz w:val="24"/>
          <w:szCs w:val="24"/>
        </w:rPr>
        <w:t>“</w:t>
      </w:r>
      <w:r w:rsidR="00336E98" w:rsidRPr="005F4D59">
        <w:rPr>
          <w:rFonts w:ascii="Bookman Old Style" w:eastAsia="Arial Unicode MS" w:hAnsi="Bookman Old Style" w:cs="Arial Unicode MS"/>
          <w:i/>
          <w:sz w:val="24"/>
          <w:szCs w:val="24"/>
        </w:rPr>
        <w:t>thin air.</w:t>
      </w:r>
      <w:r w:rsidR="005F4D59" w:rsidRPr="005F4D59">
        <w:rPr>
          <w:rFonts w:ascii="Bookman Old Style" w:eastAsia="Arial Unicode MS" w:hAnsi="Bookman Old Style" w:cs="Arial Unicode MS"/>
          <w:i/>
          <w:sz w:val="24"/>
          <w:szCs w:val="24"/>
        </w:rPr>
        <w:t>”</w:t>
      </w:r>
      <w:r w:rsidR="00336E98">
        <w:rPr>
          <w:rFonts w:ascii="Bookman Old Style" w:eastAsia="Arial Unicode MS" w:hAnsi="Bookman Old Style" w:cs="Arial Unicode MS"/>
          <w:sz w:val="24"/>
          <w:szCs w:val="24"/>
        </w:rPr>
        <w:t xml:space="preserve"> </w:t>
      </w:r>
      <w:r w:rsidR="00EE5A59">
        <w:rPr>
          <w:rFonts w:ascii="Bookman Old Style" w:eastAsia="Arial Unicode MS" w:hAnsi="Bookman Old Style" w:cs="Arial Unicode MS"/>
          <w:sz w:val="24"/>
          <w:szCs w:val="24"/>
        </w:rPr>
        <w:t>In this case the 1</w:t>
      </w:r>
      <w:r w:rsidR="00EE5A59" w:rsidRPr="00EE5A59">
        <w:rPr>
          <w:rFonts w:ascii="Bookman Old Style" w:eastAsia="Arial Unicode MS" w:hAnsi="Bookman Old Style" w:cs="Arial Unicode MS"/>
          <w:sz w:val="24"/>
          <w:szCs w:val="24"/>
          <w:vertAlign w:val="superscript"/>
        </w:rPr>
        <w:t>st</w:t>
      </w:r>
      <w:r w:rsidR="00EE5A59">
        <w:rPr>
          <w:rFonts w:ascii="Bookman Old Style" w:eastAsia="Arial Unicode MS" w:hAnsi="Bookman Old Style" w:cs="Arial Unicode MS"/>
          <w:sz w:val="24"/>
          <w:szCs w:val="24"/>
        </w:rPr>
        <w:t xml:space="preserve"> and 2</w:t>
      </w:r>
      <w:r w:rsidR="00EE5A59" w:rsidRPr="00EE5A59">
        <w:rPr>
          <w:rFonts w:ascii="Bookman Old Style" w:eastAsia="Arial Unicode MS" w:hAnsi="Bookman Old Style" w:cs="Arial Unicode MS"/>
          <w:sz w:val="24"/>
          <w:szCs w:val="24"/>
          <w:vertAlign w:val="superscript"/>
        </w:rPr>
        <w:t>nd</w:t>
      </w:r>
      <w:r w:rsidR="00EE5A59">
        <w:rPr>
          <w:rFonts w:ascii="Bookman Old Style" w:eastAsia="Arial Unicode MS" w:hAnsi="Bookman Old Style" w:cs="Arial Unicode MS"/>
          <w:sz w:val="24"/>
          <w:szCs w:val="24"/>
        </w:rPr>
        <w:t xml:space="preserve"> defendants have relied on the particulars </w:t>
      </w:r>
      <w:r w:rsidR="008C439D">
        <w:rPr>
          <w:rFonts w:ascii="Bookman Old Style" w:eastAsia="Arial Unicode MS" w:hAnsi="Bookman Old Style" w:cs="Arial Unicode MS"/>
          <w:sz w:val="24"/>
          <w:szCs w:val="24"/>
        </w:rPr>
        <w:t xml:space="preserve">put forward </w:t>
      </w:r>
      <w:r w:rsidR="00EE5A59">
        <w:rPr>
          <w:rFonts w:ascii="Bookman Old Style" w:eastAsia="Arial Unicode MS" w:hAnsi="Bookman Old Style" w:cs="Arial Unicode MS"/>
          <w:sz w:val="24"/>
          <w:szCs w:val="24"/>
        </w:rPr>
        <w:t>under the defence of justification. The 3</w:t>
      </w:r>
      <w:r w:rsidR="00EE5A59" w:rsidRPr="00EE5A59">
        <w:rPr>
          <w:rFonts w:ascii="Bookman Old Style" w:eastAsia="Arial Unicode MS" w:hAnsi="Bookman Old Style" w:cs="Arial Unicode MS"/>
          <w:sz w:val="24"/>
          <w:szCs w:val="24"/>
          <w:vertAlign w:val="superscript"/>
        </w:rPr>
        <w:t>rd</w:t>
      </w:r>
      <w:r w:rsidR="00EE5A59">
        <w:rPr>
          <w:rFonts w:ascii="Bookman Old Style" w:eastAsia="Arial Unicode MS" w:hAnsi="Bookman Old Style" w:cs="Arial Unicode MS"/>
          <w:sz w:val="24"/>
          <w:szCs w:val="24"/>
        </w:rPr>
        <w:t xml:space="preserve"> defendant has not set out </w:t>
      </w:r>
      <w:r w:rsidR="005F4D59">
        <w:rPr>
          <w:rFonts w:ascii="Bookman Old Style" w:eastAsia="Arial Unicode MS" w:hAnsi="Bookman Old Style" w:cs="Arial Unicode MS"/>
          <w:sz w:val="24"/>
          <w:szCs w:val="24"/>
        </w:rPr>
        <w:t xml:space="preserve">any </w:t>
      </w:r>
      <w:r w:rsidR="00EE5A59">
        <w:rPr>
          <w:rFonts w:ascii="Bookman Old Style" w:eastAsia="Arial Unicode MS" w:hAnsi="Bookman Old Style" w:cs="Arial Unicode MS"/>
          <w:sz w:val="24"/>
          <w:szCs w:val="24"/>
        </w:rPr>
        <w:t>facts</w:t>
      </w:r>
      <w:r w:rsidR="00F41C12">
        <w:rPr>
          <w:rFonts w:ascii="Bookman Old Style" w:eastAsia="Arial Unicode MS" w:hAnsi="Bookman Old Style" w:cs="Arial Unicode MS"/>
          <w:sz w:val="24"/>
          <w:szCs w:val="24"/>
        </w:rPr>
        <w:t xml:space="preserve"> in support of the comments</w:t>
      </w:r>
      <w:r w:rsidR="00EE5A59">
        <w:rPr>
          <w:rFonts w:ascii="Bookman Old Style" w:eastAsia="Arial Unicode MS" w:hAnsi="Bookman Old Style" w:cs="Arial Unicode MS"/>
          <w:sz w:val="24"/>
          <w:szCs w:val="24"/>
        </w:rPr>
        <w:t xml:space="preserve">. I have already held that the various assertions that sought to justify the defamatory matter are not supported by facts. Since the allegations are not supported by facts, the </w:t>
      </w:r>
      <w:r w:rsidR="00F41C12">
        <w:rPr>
          <w:rFonts w:ascii="Bookman Old Style" w:eastAsia="Arial Unicode MS" w:hAnsi="Bookman Old Style" w:cs="Arial Unicode MS"/>
          <w:sz w:val="24"/>
          <w:szCs w:val="24"/>
        </w:rPr>
        <w:t xml:space="preserve">common law, and statutory </w:t>
      </w:r>
      <w:r w:rsidR="00EE5A59">
        <w:rPr>
          <w:rFonts w:ascii="Bookman Old Style" w:eastAsia="Arial Unicode MS" w:hAnsi="Bookman Old Style" w:cs="Arial Unicode MS"/>
          <w:sz w:val="24"/>
          <w:szCs w:val="24"/>
        </w:rPr>
        <w:t xml:space="preserve">defence of fair comment </w:t>
      </w:r>
      <w:r w:rsidR="00F41C12">
        <w:rPr>
          <w:rFonts w:ascii="Bookman Old Style" w:eastAsia="Arial Unicode MS" w:hAnsi="Bookman Old Style" w:cs="Arial Unicode MS"/>
          <w:sz w:val="24"/>
          <w:szCs w:val="24"/>
        </w:rPr>
        <w:t xml:space="preserve">relied on by the defendants is not likely to succeed at trial. </w:t>
      </w:r>
    </w:p>
    <w:p w:rsidR="00C41E2C" w:rsidRDefault="00C41E2C" w:rsidP="00D052DE">
      <w:pPr>
        <w:spacing w:before="240" w:line="360" w:lineRule="auto"/>
        <w:jc w:val="both"/>
        <w:rPr>
          <w:rFonts w:ascii="Bookman Old Style" w:eastAsia="Arial Unicode MS" w:hAnsi="Bookman Old Style" w:cs="Arial Unicode MS"/>
          <w:sz w:val="24"/>
          <w:szCs w:val="24"/>
        </w:rPr>
      </w:pPr>
    </w:p>
    <w:p w:rsidR="00FC75BC" w:rsidRPr="008B2DC7" w:rsidRDefault="00FC75BC" w:rsidP="00D052DE">
      <w:pPr>
        <w:spacing w:before="240" w:line="360" w:lineRule="auto"/>
        <w:jc w:val="both"/>
        <w:rPr>
          <w:rFonts w:ascii="Bookman Old Style" w:eastAsia="Arial Unicode MS" w:hAnsi="Bookman Old Style" w:cs="Arial Unicode MS"/>
          <w:b/>
          <w:sz w:val="24"/>
          <w:szCs w:val="24"/>
        </w:rPr>
      </w:pPr>
      <w:r w:rsidRPr="008B2DC7">
        <w:rPr>
          <w:rFonts w:ascii="Bookman Old Style" w:eastAsia="Arial Unicode MS" w:hAnsi="Bookman Old Style" w:cs="Arial Unicode MS"/>
          <w:b/>
          <w:sz w:val="24"/>
          <w:szCs w:val="24"/>
        </w:rPr>
        <w:t xml:space="preserve">QUALIFIED PRIVILEGE </w:t>
      </w:r>
    </w:p>
    <w:p w:rsidR="005F4D59" w:rsidRDefault="00FC75BC"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law recognises the importance of encouraging the commu</w:t>
      </w:r>
      <w:r w:rsidR="008B2DC7">
        <w:rPr>
          <w:rFonts w:ascii="Bookman Old Style" w:eastAsia="Arial Unicode MS" w:hAnsi="Bookman Old Style" w:cs="Arial Unicode MS"/>
          <w:sz w:val="24"/>
          <w:szCs w:val="24"/>
        </w:rPr>
        <w:t>nication of statements made from a social or moral stand point. Thus the defen</w:t>
      </w:r>
      <w:r w:rsidR="00115D76">
        <w:rPr>
          <w:rFonts w:ascii="Bookman Old Style" w:eastAsia="Arial Unicode MS" w:hAnsi="Bookman Old Style" w:cs="Arial Unicode MS"/>
          <w:sz w:val="24"/>
          <w:szCs w:val="24"/>
        </w:rPr>
        <w:t>ce of qualified privilege applies</w:t>
      </w:r>
      <w:r w:rsidR="008B2DC7">
        <w:rPr>
          <w:rFonts w:ascii="Bookman Old Style" w:eastAsia="Arial Unicode MS" w:hAnsi="Bookman Old Style" w:cs="Arial Unicode MS"/>
          <w:sz w:val="24"/>
          <w:szCs w:val="24"/>
        </w:rPr>
        <w:t xml:space="preserve"> to certain occasions when a person(s) should be free to publish defamatory material provided they act in good faith or are made honestly. </w:t>
      </w:r>
      <w:r w:rsidR="00115D76">
        <w:rPr>
          <w:rFonts w:ascii="Bookman Old Style" w:eastAsia="Arial Unicode MS" w:hAnsi="Bookman Old Style" w:cs="Arial Unicode MS"/>
          <w:sz w:val="24"/>
          <w:szCs w:val="24"/>
        </w:rPr>
        <w:t xml:space="preserve">This is the rationale behind the defence of privilege. </w:t>
      </w:r>
      <w:r w:rsidR="008B2DC7">
        <w:rPr>
          <w:rFonts w:ascii="Bookman Old Style" w:eastAsia="Arial Unicode MS" w:hAnsi="Bookman Old Style" w:cs="Arial Unicode MS"/>
          <w:sz w:val="24"/>
          <w:szCs w:val="24"/>
        </w:rPr>
        <w:t>H</w:t>
      </w:r>
      <w:r w:rsidR="00115D76">
        <w:rPr>
          <w:rFonts w:ascii="Bookman Old Style" w:eastAsia="Arial Unicode MS" w:hAnsi="Bookman Old Style" w:cs="Arial Unicode MS"/>
          <w:sz w:val="24"/>
          <w:szCs w:val="24"/>
        </w:rPr>
        <w:t>owever, the defence of</w:t>
      </w:r>
      <w:r w:rsidR="008B2DC7">
        <w:rPr>
          <w:rFonts w:ascii="Bookman Old Style" w:eastAsia="Arial Unicode MS" w:hAnsi="Bookman Old Style" w:cs="Arial Unicode MS"/>
          <w:sz w:val="24"/>
          <w:szCs w:val="24"/>
        </w:rPr>
        <w:t xml:space="preserve"> qualified </w:t>
      </w:r>
      <w:r w:rsidR="00115D76">
        <w:rPr>
          <w:rFonts w:ascii="Bookman Old Style" w:eastAsia="Arial Unicode MS" w:hAnsi="Bookman Old Style" w:cs="Arial Unicode MS"/>
          <w:sz w:val="24"/>
          <w:szCs w:val="24"/>
        </w:rPr>
        <w:t xml:space="preserve">privilege </w:t>
      </w:r>
      <w:r w:rsidR="008B2DC7">
        <w:rPr>
          <w:rFonts w:ascii="Bookman Old Style" w:eastAsia="Arial Unicode MS" w:hAnsi="Bookman Old Style" w:cs="Arial Unicode MS"/>
          <w:sz w:val="24"/>
          <w:szCs w:val="24"/>
        </w:rPr>
        <w:t xml:space="preserve">may be defeated by proof that the defendant was malicious. </w:t>
      </w:r>
    </w:p>
    <w:p w:rsidR="00711DD6" w:rsidRDefault="008B2DC7"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There is no exhaustive definition for the occasion in which the defence arises. It is however important to stress </w:t>
      </w:r>
      <w:r w:rsidR="00A94A7B">
        <w:rPr>
          <w:rFonts w:ascii="Bookman Old Style" w:eastAsia="Arial Unicode MS" w:hAnsi="Bookman Old Style" w:cs="Arial Unicode MS"/>
          <w:sz w:val="24"/>
          <w:szCs w:val="24"/>
        </w:rPr>
        <w:t>that it</w:t>
      </w:r>
      <w:r w:rsidR="00115D76">
        <w:rPr>
          <w:rFonts w:ascii="Bookman Old Style" w:eastAsia="Arial Unicode MS" w:hAnsi="Bookman Old Style" w:cs="Arial Unicode MS"/>
          <w:sz w:val="24"/>
          <w:szCs w:val="24"/>
        </w:rPr>
        <w:t xml:space="preserve"> is the occasion that is</w:t>
      </w:r>
      <w:r>
        <w:rPr>
          <w:rFonts w:ascii="Bookman Old Style" w:eastAsia="Arial Unicode MS" w:hAnsi="Bookman Old Style" w:cs="Arial Unicode MS"/>
          <w:sz w:val="24"/>
          <w:szCs w:val="24"/>
        </w:rPr>
        <w:t xml:space="preserve"> privileged. This privilege therefore does not belong to the communications, or the people or organisations, w</w:t>
      </w:r>
      <w:r w:rsidR="005F4D59">
        <w:rPr>
          <w:rFonts w:ascii="Bookman Old Style" w:eastAsia="Arial Unicode MS" w:hAnsi="Bookman Old Style" w:cs="Arial Unicode MS"/>
          <w:sz w:val="24"/>
          <w:szCs w:val="24"/>
        </w:rPr>
        <w:t>ho communicate. Thu</w:t>
      </w:r>
      <w:r>
        <w:rPr>
          <w:rFonts w:ascii="Bookman Old Style" w:eastAsia="Arial Unicode MS" w:hAnsi="Bookman Old Style" w:cs="Arial Unicode MS"/>
          <w:sz w:val="24"/>
          <w:szCs w:val="24"/>
        </w:rPr>
        <w:t>s a claim to privilege is not dependant on who or what the organ</w:t>
      </w:r>
      <w:r w:rsidR="00115D76">
        <w:rPr>
          <w:rFonts w:ascii="Bookman Old Style" w:eastAsia="Arial Unicode MS" w:hAnsi="Bookman Old Style" w:cs="Arial Unicode MS"/>
          <w:sz w:val="24"/>
          <w:szCs w:val="24"/>
        </w:rPr>
        <w:t>ization do</w:t>
      </w:r>
      <w:r>
        <w:rPr>
          <w:rFonts w:ascii="Bookman Old Style" w:eastAsia="Arial Unicode MS" w:hAnsi="Bookman Old Style" w:cs="Arial Unicode MS"/>
          <w:sz w:val="24"/>
          <w:szCs w:val="24"/>
        </w:rPr>
        <w:t xml:space="preserve">es. A claim to privilege is </w:t>
      </w:r>
      <w:r w:rsidR="00857643">
        <w:rPr>
          <w:rFonts w:ascii="Bookman Old Style" w:eastAsia="Arial Unicode MS" w:hAnsi="Bookman Old Style" w:cs="Arial Unicode MS"/>
          <w:sz w:val="24"/>
          <w:szCs w:val="24"/>
        </w:rPr>
        <w:t>dependent</w:t>
      </w:r>
      <w:r>
        <w:rPr>
          <w:rFonts w:ascii="Bookman Old Style" w:eastAsia="Arial Unicode MS" w:hAnsi="Bookman Old Style" w:cs="Arial Unicode MS"/>
          <w:sz w:val="24"/>
          <w:szCs w:val="24"/>
        </w:rPr>
        <w:t xml:space="preserve"> on the </w:t>
      </w:r>
      <w:r>
        <w:rPr>
          <w:rFonts w:ascii="Bookman Old Style" w:eastAsia="Arial Unicode MS" w:hAnsi="Bookman Old Style" w:cs="Arial Unicode MS"/>
          <w:sz w:val="24"/>
          <w:szCs w:val="24"/>
        </w:rPr>
        <w:lastRenderedPageBreak/>
        <w:t xml:space="preserve">occasion. </w:t>
      </w:r>
      <w:r w:rsidR="00857643">
        <w:rPr>
          <w:rFonts w:ascii="Bookman Old Style" w:eastAsia="Arial Unicode MS" w:hAnsi="Bookman Old Style" w:cs="Arial Unicode MS"/>
          <w:sz w:val="24"/>
          <w:szCs w:val="24"/>
        </w:rPr>
        <w:t>The concept of duty and interest is the primary means by which the common law indentifies the circumstances in which it is considered desirable for communications to be made freely without fear of being sued, if it turns out later that the</w:t>
      </w:r>
      <w:r w:rsidR="00711DD6">
        <w:rPr>
          <w:rFonts w:ascii="Bookman Old Style" w:eastAsia="Arial Unicode MS" w:hAnsi="Bookman Old Style" w:cs="Arial Unicode MS"/>
          <w:sz w:val="24"/>
          <w:szCs w:val="24"/>
        </w:rPr>
        <w:t xml:space="preserve"> communication was defamatory. </w:t>
      </w:r>
    </w:p>
    <w:p w:rsidR="00711DD6" w:rsidRDefault="00711DD6" w:rsidP="00D052DE">
      <w:pPr>
        <w:spacing w:before="240" w:line="360" w:lineRule="auto"/>
        <w:jc w:val="both"/>
        <w:rPr>
          <w:rFonts w:ascii="Bookman Old Style" w:eastAsia="Arial Unicode MS" w:hAnsi="Bookman Old Style" w:cs="Arial Unicode MS"/>
          <w:sz w:val="24"/>
          <w:szCs w:val="24"/>
        </w:rPr>
      </w:pPr>
    </w:p>
    <w:p w:rsidR="000B175B" w:rsidRDefault="00711DD6"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It must be noticed however that this branch of the law is strongl</w:t>
      </w:r>
      <w:r w:rsidR="00115D76">
        <w:rPr>
          <w:rFonts w:ascii="Bookman Old Style" w:eastAsia="Arial Unicode MS" w:hAnsi="Bookman Old Style" w:cs="Arial Unicode MS"/>
          <w:sz w:val="24"/>
          <w:szCs w:val="24"/>
        </w:rPr>
        <w:t>y impressed with considerations</w:t>
      </w:r>
      <w:r>
        <w:rPr>
          <w:rFonts w:ascii="Bookman Old Style" w:eastAsia="Arial Unicode MS" w:hAnsi="Bookman Old Style" w:cs="Arial Unicode MS"/>
          <w:sz w:val="24"/>
          <w:szCs w:val="24"/>
        </w:rPr>
        <w:t xml:space="preserve"> of public interest. The defence of qualified privilege has been and ought to be developed in accordance with social needs. It has been argued extra judicially that if newspapers or television receive or obtain information fairly from a reliable and </w:t>
      </w:r>
      <w:r w:rsidR="005F4D59">
        <w:rPr>
          <w:rFonts w:ascii="Bookman Old Style" w:eastAsia="Arial Unicode MS" w:hAnsi="Bookman Old Style" w:cs="Arial Unicode MS"/>
          <w:sz w:val="24"/>
          <w:szCs w:val="24"/>
        </w:rPr>
        <w:t>responsible source, which is</w:t>
      </w:r>
      <w:r>
        <w:rPr>
          <w:rFonts w:ascii="Bookman Old Style" w:eastAsia="Arial Unicode MS" w:hAnsi="Bookman Old Style" w:cs="Arial Unicode MS"/>
          <w:sz w:val="24"/>
          <w:szCs w:val="24"/>
        </w:rPr>
        <w:t xml:space="preserve"> in the public</w:t>
      </w:r>
      <w:r w:rsidR="00F3676F">
        <w:rPr>
          <w:rFonts w:ascii="Bookman Old Style" w:eastAsia="Arial Unicode MS" w:hAnsi="Bookman Old Style" w:cs="Arial Unicode MS"/>
          <w:sz w:val="24"/>
          <w:szCs w:val="24"/>
        </w:rPr>
        <w:t xml:space="preserve"> interest that they should know</w:t>
      </w:r>
      <w:r w:rsidR="00115D76">
        <w:rPr>
          <w:rFonts w:ascii="Bookman Old Style" w:eastAsia="Arial Unicode MS" w:hAnsi="Bookman Old Style" w:cs="Arial Unicode MS"/>
          <w:sz w:val="24"/>
          <w:szCs w:val="24"/>
        </w:rPr>
        <w:t>,</w:t>
      </w:r>
      <w:r w:rsidR="00F3676F">
        <w:rPr>
          <w:rFonts w:ascii="Bookman Old Style" w:eastAsia="Arial Unicode MS" w:hAnsi="Bookman Old Style" w:cs="Arial Unicode MS"/>
          <w:sz w:val="24"/>
          <w:szCs w:val="24"/>
        </w:rPr>
        <w:t xml:space="preserve"> then there is qu</w:t>
      </w:r>
      <w:r w:rsidR="005F4D59">
        <w:rPr>
          <w:rFonts w:ascii="Bookman Old Style" w:eastAsia="Arial Unicode MS" w:hAnsi="Bookman Old Style" w:cs="Arial Unicode MS"/>
          <w:sz w:val="24"/>
          <w:szCs w:val="24"/>
        </w:rPr>
        <w:t>alified privilege to publish it; t</w:t>
      </w:r>
      <w:r w:rsidR="00F3676F">
        <w:rPr>
          <w:rFonts w:ascii="Bookman Old Style" w:eastAsia="Arial Unicode MS" w:hAnsi="Bookman Old Style" w:cs="Arial Unicode MS"/>
          <w:sz w:val="24"/>
          <w:szCs w:val="24"/>
        </w:rPr>
        <w:t>hey should not be liable in the absence of malice.</w:t>
      </w:r>
      <w:r w:rsidR="00DF2EF9">
        <w:rPr>
          <w:rStyle w:val="FootnoteReference"/>
          <w:rFonts w:ascii="Bookman Old Style" w:eastAsia="Arial Unicode MS" w:hAnsi="Bookman Old Style" w:cs="Arial Unicode MS"/>
          <w:sz w:val="24"/>
          <w:szCs w:val="24"/>
        </w:rPr>
        <w:footnoteReference w:id="157"/>
      </w:r>
      <w:r w:rsidR="00F3676F">
        <w:rPr>
          <w:rFonts w:ascii="Bookman Old Style" w:eastAsia="Arial Unicode MS" w:hAnsi="Bookman Old Style" w:cs="Arial Unicode MS"/>
          <w:sz w:val="24"/>
          <w:szCs w:val="24"/>
        </w:rPr>
        <w:t xml:space="preserve"> </w:t>
      </w:r>
      <w:r w:rsidR="005754D2">
        <w:rPr>
          <w:rFonts w:ascii="Bookman Old Style" w:eastAsia="Arial Unicode MS" w:hAnsi="Bookman Old Style" w:cs="Arial Unicode MS"/>
          <w:sz w:val="24"/>
          <w:szCs w:val="24"/>
        </w:rPr>
        <w:t xml:space="preserve">However, it must be demonstrated that the public advantage in receiving the information </w:t>
      </w:r>
      <w:r w:rsidR="00115D76">
        <w:rPr>
          <w:rFonts w:ascii="Bookman Old Style" w:eastAsia="Arial Unicode MS" w:hAnsi="Bookman Old Style" w:cs="Arial Unicode MS"/>
          <w:sz w:val="24"/>
          <w:szCs w:val="24"/>
        </w:rPr>
        <w:t>outweighs the private injury that</w:t>
      </w:r>
      <w:r w:rsidR="005754D2">
        <w:rPr>
          <w:rFonts w:ascii="Bookman Old Style" w:eastAsia="Arial Unicode MS" w:hAnsi="Bookman Old Style" w:cs="Arial Unicode MS"/>
          <w:sz w:val="24"/>
          <w:szCs w:val="24"/>
        </w:rPr>
        <w:t xml:space="preserve"> may be suffered.</w:t>
      </w:r>
      <w:r w:rsidR="005754D2">
        <w:rPr>
          <w:rStyle w:val="FootnoteReference"/>
          <w:rFonts w:ascii="Bookman Old Style" w:eastAsia="Arial Unicode MS" w:hAnsi="Bookman Old Style" w:cs="Arial Unicode MS"/>
          <w:sz w:val="24"/>
          <w:szCs w:val="24"/>
        </w:rPr>
        <w:footnoteReference w:id="158"/>
      </w:r>
      <w:r w:rsidR="005754D2">
        <w:rPr>
          <w:rFonts w:ascii="Bookman Old Style" w:eastAsia="Arial Unicode MS" w:hAnsi="Bookman Old Style" w:cs="Arial Unicode MS"/>
          <w:sz w:val="24"/>
          <w:szCs w:val="24"/>
        </w:rPr>
        <w:t xml:space="preserve"> </w:t>
      </w:r>
    </w:p>
    <w:p w:rsidR="004B6780" w:rsidRDefault="004B6780" w:rsidP="00D052DE">
      <w:pPr>
        <w:spacing w:before="240" w:line="360" w:lineRule="auto"/>
        <w:jc w:val="both"/>
        <w:rPr>
          <w:rFonts w:ascii="Bookman Old Style" w:eastAsia="Arial Unicode MS" w:hAnsi="Bookman Old Style" w:cs="Arial Unicode MS"/>
          <w:sz w:val="24"/>
          <w:szCs w:val="24"/>
        </w:rPr>
      </w:pPr>
    </w:p>
    <w:p w:rsidR="003E5B1A" w:rsidRDefault="004B6780" w:rsidP="00947F4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Although Lord Nicholls used the word </w:t>
      </w:r>
      <w:r w:rsidR="00D72763" w:rsidRPr="000A73AE">
        <w:rPr>
          <w:rFonts w:ascii="Bookman Old Style" w:eastAsia="Arial Unicode MS" w:hAnsi="Bookman Old Style" w:cs="Arial Unicode MS"/>
          <w:i/>
          <w:sz w:val="24"/>
          <w:szCs w:val="24"/>
        </w:rPr>
        <w:t>“</w:t>
      </w:r>
      <w:r w:rsidRPr="000A73AE">
        <w:rPr>
          <w:rFonts w:ascii="Bookman Old Style" w:eastAsia="Arial Unicode MS" w:hAnsi="Bookman Old Style" w:cs="Arial Unicode MS"/>
          <w:i/>
          <w:sz w:val="24"/>
          <w:szCs w:val="24"/>
        </w:rPr>
        <w:t>privilege</w:t>
      </w:r>
      <w:r w:rsidR="00D72763">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in the </w:t>
      </w:r>
      <w:r w:rsidRPr="000A73AE">
        <w:rPr>
          <w:rFonts w:ascii="Bookman Old Style" w:eastAsia="Arial Unicode MS" w:hAnsi="Bookman Old Style" w:cs="Arial Unicode MS"/>
          <w:i/>
          <w:sz w:val="24"/>
          <w:szCs w:val="24"/>
        </w:rPr>
        <w:t>Reynolds case</w:t>
      </w:r>
      <w:r>
        <w:rPr>
          <w:rFonts w:ascii="Bookman Old Style" w:eastAsia="Arial Unicode MS" w:hAnsi="Bookman Old Style" w:cs="Arial Unicode MS"/>
          <w:sz w:val="24"/>
          <w:szCs w:val="24"/>
        </w:rPr>
        <w:t>, it is not</w:t>
      </w:r>
      <w:r w:rsidR="000A73AE">
        <w:rPr>
          <w:rFonts w:ascii="Bookman Old Style" w:eastAsia="Arial Unicode MS" w:hAnsi="Bookman Old Style" w:cs="Arial Unicode MS"/>
          <w:sz w:val="24"/>
          <w:szCs w:val="24"/>
        </w:rPr>
        <w:t xml:space="preserve"> presently</w:t>
      </w:r>
      <w:r>
        <w:rPr>
          <w:rFonts w:ascii="Bookman Old Style" w:eastAsia="Arial Unicode MS" w:hAnsi="Bookman Old Style" w:cs="Arial Unicode MS"/>
          <w:sz w:val="24"/>
          <w:szCs w:val="24"/>
        </w:rPr>
        <w:t xml:space="preserve"> used in the old sense</w:t>
      </w:r>
      <w:r w:rsidR="000A73AE">
        <w:rPr>
          <w:rFonts w:ascii="Bookman Old Style" w:eastAsia="Arial Unicode MS" w:hAnsi="Bookman Old Style" w:cs="Arial Unicode MS"/>
          <w:sz w:val="24"/>
          <w:szCs w:val="24"/>
        </w:rPr>
        <w:t>. A</w:t>
      </w:r>
      <w:r>
        <w:rPr>
          <w:rFonts w:ascii="Bookman Old Style" w:eastAsia="Arial Unicode MS" w:hAnsi="Bookman Old Style" w:cs="Arial Unicode MS"/>
          <w:sz w:val="24"/>
          <w:szCs w:val="24"/>
        </w:rPr>
        <w:t>ccording to the “</w:t>
      </w:r>
      <w:r w:rsidRPr="000A73AE">
        <w:rPr>
          <w:rFonts w:ascii="Bookman Old Style" w:eastAsia="Arial Unicode MS" w:hAnsi="Bookman Old Style" w:cs="Arial Unicode MS"/>
          <w:i/>
          <w:sz w:val="24"/>
          <w:szCs w:val="24"/>
        </w:rPr>
        <w:t>Reynold’s defence</w:t>
      </w:r>
      <w:r>
        <w:rPr>
          <w:rFonts w:ascii="Bookman Old Style" w:eastAsia="Arial Unicode MS" w:hAnsi="Bookman Old Style" w:cs="Arial Unicode MS"/>
          <w:sz w:val="24"/>
          <w:szCs w:val="24"/>
        </w:rPr>
        <w:t>” it is the material which is privilege</w:t>
      </w:r>
      <w:r w:rsidR="000A73AE">
        <w:rPr>
          <w:rFonts w:ascii="Bookman Old Style" w:eastAsia="Arial Unicode MS" w:hAnsi="Bookman Old Style" w:cs="Arial Unicode MS"/>
          <w:sz w:val="24"/>
          <w:szCs w:val="24"/>
        </w:rPr>
        <w:t xml:space="preserve">d, and </w:t>
      </w:r>
      <w:r>
        <w:rPr>
          <w:rFonts w:ascii="Bookman Old Style" w:eastAsia="Arial Unicode MS" w:hAnsi="Bookman Old Style" w:cs="Arial Unicode MS"/>
          <w:sz w:val="24"/>
          <w:szCs w:val="24"/>
        </w:rPr>
        <w:t>n</w:t>
      </w:r>
      <w:r w:rsidR="000A73AE">
        <w:rPr>
          <w:rFonts w:ascii="Bookman Old Style" w:eastAsia="Arial Unicode MS" w:hAnsi="Bookman Old Style" w:cs="Arial Unicode MS"/>
          <w:sz w:val="24"/>
          <w:szCs w:val="24"/>
        </w:rPr>
        <w:t>ot</w:t>
      </w:r>
      <w:r>
        <w:rPr>
          <w:rFonts w:ascii="Bookman Old Style" w:eastAsia="Arial Unicode MS" w:hAnsi="Bookman Old Style" w:cs="Arial Unicode MS"/>
          <w:sz w:val="24"/>
          <w:szCs w:val="24"/>
        </w:rPr>
        <w:t xml:space="preserve"> the occasion on which it is published. </w:t>
      </w:r>
      <w:r w:rsidR="000B175B">
        <w:rPr>
          <w:rFonts w:ascii="Bookman Old Style" w:eastAsia="Arial Unicode MS" w:hAnsi="Bookman Old Style" w:cs="Arial Unicode MS"/>
          <w:sz w:val="24"/>
          <w:szCs w:val="24"/>
        </w:rPr>
        <w:t xml:space="preserve">In </w:t>
      </w:r>
      <w:r w:rsidR="008C439D">
        <w:rPr>
          <w:rFonts w:ascii="Bookman Old Style" w:eastAsia="Arial Unicode MS" w:hAnsi="Bookman Old Style" w:cs="Arial Unicode MS"/>
          <w:sz w:val="24"/>
          <w:szCs w:val="24"/>
        </w:rPr>
        <w:t xml:space="preserve">the </w:t>
      </w:r>
      <w:r w:rsidR="000B175B" w:rsidRPr="000B175B">
        <w:rPr>
          <w:rFonts w:ascii="Bookman Old Style" w:eastAsia="Arial Unicode MS" w:hAnsi="Bookman Old Style" w:cs="Arial Unicode MS"/>
          <w:i/>
          <w:sz w:val="24"/>
          <w:szCs w:val="24"/>
        </w:rPr>
        <w:t>Reynolds</w:t>
      </w:r>
      <w:r w:rsidR="008C439D">
        <w:rPr>
          <w:rFonts w:ascii="Bookman Old Style" w:eastAsia="Arial Unicode MS" w:hAnsi="Bookman Old Style" w:cs="Arial Unicode MS"/>
          <w:i/>
          <w:sz w:val="24"/>
          <w:szCs w:val="24"/>
        </w:rPr>
        <w:t xml:space="preserve"> case</w:t>
      </w:r>
      <w:r w:rsidR="005F4D59">
        <w:rPr>
          <w:rFonts w:ascii="Bookman Old Style" w:eastAsia="Arial Unicode MS" w:hAnsi="Bookman Old Style" w:cs="Arial Unicode MS"/>
          <w:i/>
          <w:sz w:val="24"/>
          <w:szCs w:val="24"/>
        </w:rPr>
        <w:t>,</w:t>
      </w:r>
      <w:r w:rsidR="000B175B" w:rsidRPr="000B175B">
        <w:rPr>
          <w:rStyle w:val="FootnoteReference"/>
          <w:rFonts w:ascii="Bookman Old Style" w:eastAsia="Arial Unicode MS" w:hAnsi="Bookman Old Style" w:cs="Arial Unicode MS"/>
          <w:i/>
          <w:sz w:val="24"/>
          <w:szCs w:val="24"/>
        </w:rPr>
        <w:footnoteReference w:id="159"/>
      </w:r>
      <w:r w:rsidR="00DF2EF9" w:rsidRPr="000B175B">
        <w:rPr>
          <w:rFonts w:ascii="Bookman Old Style" w:eastAsia="Arial Unicode MS" w:hAnsi="Bookman Old Style" w:cs="Arial Unicode MS"/>
          <w:i/>
          <w:sz w:val="24"/>
          <w:szCs w:val="24"/>
        </w:rPr>
        <w:t xml:space="preserve"> </w:t>
      </w:r>
      <w:r w:rsidR="000B175B" w:rsidRPr="000B175B">
        <w:rPr>
          <w:rFonts w:ascii="Bookman Old Style" w:eastAsia="Arial Unicode MS" w:hAnsi="Bookman Old Style" w:cs="Arial Unicode MS"/>
          <w:i/>
          <w:sz w:val="24"/>
          <w:szCs w:val="24"/>
        </w:rPr>
        <w:t>Lord Nichollas</w:t>
      </w:r>
      <w:r w:rsidR="000B175B">
        <w:rPr>
          <w:rFonts w:ascii="Bookman Old Style" w:eastAsia="Arial Unicode MS" w:hAnsi="Bookman Old Style" w:cs="Arial Unicode MS"/>
          <w:sz w:val="24"/>
          <w:szCs w:val="24"/>
        </w:rPr>
        <w:t xml:space="preserve"> listed ten factors (not to be treat</w:t>
      </w:r>
      <w:r w:rsidR="00115D76">
        <w:rPr>
          <w:rFonts w:ascii="Bookman Old Style" w:eastAsia="Arial Unicode MS" w:hAnsi="Bookman Old Style" w:cs="Arial Unicode MS"/>
          <w:sz w:val="24"/>
          <w:szCs w:val="24"/>
        </w:rPr>
        <w:t>ed as exhaustive) as bearing on</w:t>
      </w:r>
      <w:r w:rsidR="000B175B">
        <w:rPr>
          <w:rFonts w:ascii="Bookman Old Style" w:eastAsia="Arial Unicode MS" w:hAnsi="Bookman Old Style" w:cs="Arial Unicode MS"/>
          <w:sz w:val="24"/>
          <w:szCs w:val="24"/>
        </w:rPr>
        <w:t xml:space="preserve"> whether or not</w:t>
      </w:r>
      <w:r w:rsidR="00115D76">
        <w:rPr>
          <w:rFonts w:ascii="Bookman Old Style" w:eastAsia="Arial Unicode MS" w:hAnsi="Bookman Old Style" w:cs="Arial Unicode MS"/>
          <w:sz w:val="24"/>
          <w:szCs w:val="24"/>
        </w:rPr>
        <w:t xml:space="preserve"> in</w:t>
      </w:r>
      <w:r w:rsidR="000B175B">
        <w:rPr>
          <w:rFonts w:ascii="Bookman Old Style" w:eastAsia="Arial Unicode MS" w:hAnsi="Bookman Old Style" w:cs="Arial Unicode MS"/>
          <w:sz w:val="24"/>
          <w:szCs w:val="24"/>
        </w:rPr>
        <w:t xml:space="preserve"> the particular case qualified privilege would attach. To recapitulate, these were: the seriousness of the allegations; the nature of the information; and the extent to which the subject matter was of public concern; the source of information; the steps taken to verify the information: the status of the matter; wh</w:t>
      </w:r>
      <w:r w:rsidR="00115D76">
        <w:rPr>
          <w:rFonts w:ascii="Bookman Old Style" w:eastAsia="Arial Unicode MS" w:hAnsi="Bookman Old Style" w:cs="Arial Unicode MS"/>
          <w:sz w:val="24"/>
          <w:szCs w:val="24"/>
        </w:rPr>
        <w:t>ether comment had been sought f</w:t>
      </w:r>
      <w:r w:rsidR="000B175B">
        <w:rPr>
          <w:rFonts w:ascii="Bookman Old Style" w:eastAsia="Arial Unicode MS" w:hAnsi="Bookman Old Style" w:cs="Arial Unicode MS"/>
          <w:sz w:val="24"/>
          <w:szCs w:val="24"/>
        </w:rPr>
        <w:t>r</w:t>
      </w:r>
      <w:r w:rsidR="00115D76">
        <w:rPr>
          <w:rFonts w:ascii="Bookman Old Style" w:eastAsia="Arial Unicode MS" w:hAnsi="Bookman Old Style" w:cs="Arial Unicode MS"/>
          <w:sz w:val="24"/>
          <w:szCs w:val="24"/>
        </w:rPr>
        <w:t>o</w:t>
      </w:r>
      <w:r w:rsidR="000B175B">
        <w:rPr>
          <w:rFonts w:ascii="Bookman Old Style" w:eastAsia="Arial Unicode MS" w:hAnsi="Bookman Old Style" w:cs="Arial Unicode MS"/>
          <w:sz w:val="24"/>
          <w:szCs w:val="24"/>
        </w:rPr>
        <w:t>m the plaintiff; whether the</w:t>
      </w:r>
      <w:r w:rsidR="00115D76">
        <w:rPr>
          <w:rFonts w:ascii="Bookman Old Style" w:eastAsia="Arial Unicode MS" w:hAnsi="Bookman Old Style" w:cs="Arial Unicode MS"/>
          <w:sz w:val="24"/>
          <w:szCs w:val="24"/>
        </w:rPr>
        <w:t>y</w:t>
      </w:r>
      <w:r w:rsidR="000B175B">
        <w:rPr>
          <w:rFonts w:ascii="Bookman Old Style" w:eastAsia="Arial Unicode MS" w:hAnsi="Bookman Old Style" w:cs="Arial Unicode MS"/>
          <w:sz w:val="24"/>
          <w:szCs w:val="24"/>
        </w:rPr>
        <w:t xml:space="preserve"> contained the gist of the plaintiff’s side of the story; the tone of the articles and the circumstances of the publication </w:t>
      </w:r>
      <w:r w:rsidR="000B175B">
        <w:rPr>
          <w:rFonts w:ascii="Bookman Old Style" w:eastAsia="Arial Unicode MS" w:hAnsi="Bookman Old Style" w:cs="Arial Unicode MS"/>
          <w:sz w:val="24"/>
          <w:szCs w:val="24"/>
        </w:rPr>
        <w:lastRenderedPageBreak/>
        <w:t>including the timing</w:t>
      </w:r>
      <w:r w:rsidR="005F4D59">
        <w:rPr>
          <w:rFonts w:ascii="Bookman Old Style" w:eastAsia="Arial Unicode MS" w:hAnsi="Bookman Old Style" w:cs="Arial Unicode MS"/>
          <w:sz w:val="24"/>
          <w:szCs w:val="24"/>
        </w:rPr>
        <w:t xml:space="preserve">. In light of the </w:t>
      </w:r>
      <w:r w:rsidR="008C439D">
        <w:rPr>
          <w:rFonts w:ascii="Bookman Old Style" w:eastAsia="Arial Unicode MS" w:hAnsi="Bookman Old Style" w:cs="Arial Unicode MS"/>
          <w:i/>
          <w:sz w:val="24"/>
          <w:szCs w:val="24"/>
        </w:rPr>
        <w:t>“Reynolds defence</w:t>
      </w:r>
      <w:r w:rsidR="00867404" w:rsidRPr="005F4D59">
        <w:rPr>
          <w:rFonts w:ascii="Bookman Old Style" w:eastAsia="Arial Unicode MS" w:hAnsi="Bookman Old Style" w:cs="Arial Unicode MS"/>
          <w:i/>
          <w:sz w:val="24"/>
          <w:szCs w:val="24"/>
        </w:rPr>
        <w:t>,”</w:t>
      </w:r>
      <w:r w:rsidR="00867404">
        <w:rPr>
          <w:rFonts w:ascii="Bookman Old Style" w:eastAsia="Arial Unicode MS" w:hAnsi="Bookman Old Style" w:cs="Arial Unicode MS"/>
          <w:sz w:val="24"/>
          <w:szCs w:val="24"/>
        </w:rPr>
        <w:t xml:space="preserve"> the</w:t>
      </w:r>
      <w:r w:rsidR="008C439D">
        <w:rPr>
          <w:rFonts w:ascii="Bookman Old Style" w:eastAsia="Arial Unicode MS" w:hAnsi="Bookman Old Style" w:cs="Arial Unicode MS"/>
          <w:sz w:val="24"/>
          <w:szCs w:val="24"/>
        </w:rPr>
        <w:t xml:space="preserve"> defence of qualified privilege</w:t>
      </w:r>
      <w:r w:rsidR="00867404">
        <w:rPr>
          <w:rFonts w:ascii="Bookman Old Style" w:eastAsia="Arial Unicode MS" w:hAnsi="Bookman Old Style" w:cs="Arial Unicode MS"/>
          <w:sz w:val="24"/>
          <w:szCs w:val="24"/>
        </w:rPr>
        <w:t xml:space="preserve"> should not in my opinion be</w:t>
      </w:r>
      <w:r w:rsidR="008C439D">
        <w:rPr>
          <w:rFonts w:ascii="Bookman Old Style" w:eastAsia="Arial Unicode MS" w:hAnsi="Bookman Old Style" w:cs="Arial Unicode MS"/>
          <w:sz w:val="24"/>
          <w:szCs w:val="24"/>
        </w:rPr>
        <w:t xml:space="preserve"> bro</w:t>
      </w:r>
      <w:r w:rsidR="005F4D59">
        <w:rPr>
          <w:rFonts w:ascii="Bookman Old Style" w:eastAsia="Arial Unicode MS" w:hAnsi="Bookman Old Style" w:cs="Arial Unicode MS"/>
          <w:sz w:val="24"/>
          <w:szCs w:val="24"/>
        </w:rPr>
        <w:t xml:space="preserve">ached </w:t>
      </w:r>
      <w:r w:rsidR="008C439D">
        <w:rPr>
          <w:rFonts w:ascii="Bookman Old Style" w:eastAsia="Arial Unicode MS" w:hAnsi="Bookman Old Style" w:cs="Arial Unicode MS"/>
          <w:sz w:val="24"/>
          <w:szCs w:val="24"/>
        </w:rPr>
        <w:t xml:space="preserve">in a </w:t>
      </w:r>
      <w:r w:rsidR="005F4D59">
        <w:rPr>
          <w:rFonts w:ascii="Bookman Old Style" w:eastAsia="Arial Unicode MS" w:hAnsi="Bookman Old Style" w:cs="Arial Unicode MS"/>
          <w:sz w:val="24"/>
          <w:szCs w:val="24"/>
        </w:rPr>
        <w:t>narrow sense</w:t>
      </w:r>
      <w:r w:rsidR="00867404">
        <w:rPr>
          <w:rFonts w:ascii="Bookman Old Style" w:eastAsia="Arial Unicode MS" w:hAnsi="Bookman Old Style" w:cs="Arial Unicode MS"/>
          <w:sz w:val="24"/>
          <w:szCs w:val="24"/>
        </w:rPr>
        <w:t xml:space="preserve">, or confines of whether </w:t>
      </w:r>
      <w:r w:rsidR="005F4D59">
        <w:rPr>
          <w:rFonts w:ascii="Bookman Old Style" w:eastAsia="Arial Unicode MS" w:hAnsi="Bookman Old Style" w:cs="Arial Unicode MS"/>
          <w:sz w:val="24"/>
          <w:szCs w:val="24"/>
        </w:rPr>
        <w:t xml:space="preserve">the </w:t>
      </w:r>
      <w:r w:rsidR="00867404">
        <w:rPr>
          <w:rFonts w:ascii="Bookman Old Style" w:eastAsia="Arial Unicode MS" w:hAnsi="Bookman Old Style" w:cs="Arial Unicode MS"/>
          <w:sz w:val="24"/>
          <w:szCs w:val="24"/>
        </w:rPr>
        <w:t xml:space="preserve">defendants have a duty to communicate the information complained of, and the plaintiff has a corresponding interest in receiving it. </w:t>
      </w:r>
    </w:p>
    <w:p w:rsidR="003E5B1A" w:rsidRDefault="003E5B1A" w:rsidP="00947F4E">
      <w:pPr>
        <w:spacing w:before="240" w:line="360" w:lineRule="auto"/>
        <w:jc w:val="both"/>
        <w:rPr>
          <w:rFonts w:ascii="Bookman Old Style" w:eastAsia="Arial Unicode MS" w:hAnsi="Bookman Old Style" w:cs="Arial Unicode MS"/>
          <w:sz w:val="24"/>
          <w:szCs w:val="24"/>
        </w:rPr>
      </w:pPr>
    </w:p>
    <w:p w:rsidR="00B537A4" w:rsidRDefault="005F4D59" w:rsidP="00947F4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The ce</w:t>
      </w:r>
      <w:r w:rsidR="008C439D">
        <w:rPr>
          <w:rFonts w:ascii="Bookman Old Style" w:eastAsia="Arial Unicode MS" w:hAnsi="Bookman Old Style" w:cs="Arial Unicode MS"/>
          <w:sz w:val="24"/>
          <w:szCs w:val="24"/>
        </w:rPr>
        <w:t>ntra</w:t>
      </w:r>
      <w:r w:rsidR="00BC3ED1">
        <w:rPr>
          <w:rFonts w:ascii="Bookman Old Style" w:eastAsia="Arial Unicode MS" w:hAnsi="Bookman Old Style" w:cs="Arial Unicode MS"/>
          <w:sz w:val="24"/>
          <w:szCs w:val="24"/>
        </w:rPr>
        <w:t xml:space="preserve">l issue </w:t>
      </w:r>
      <w:r w:rsidR="008C439D">
        <w:rPr>
          <w:rFonts w:ascii="Bookman Old Style" w:eastAsia="Arial Unicode MS" w:hAnsi="Bookman Old Style" w:cs="Arial Unicode MS"/>
          <w:sz w:val="24"/>
          <w:szCs w:val="24"/>
        </w:rPr>
        <w:t xml:space="preserve">or question </w:t>
      </w:r>
      <w:r w:rsidR="00BC3ED1">
        <w:rPr>
          <w:rFonts w:ascii="Bookman Old Style" w:eastAsia="Arial Unicode MS" w:hAnsi="Bookman Old Style" w:cs="Arial Unicode MS"/>
          <w:sz w:val="24"/>
          <w:szCs w:val="24"/>
        </w:rPr>
        <w:t>in the context of the “</w:t>
      </w:r>
      <w:r w:rsidR="008C439D">
        <w:rPr>
          <w:rFonts w:ascii="Bookman Old Style" w:eastAsia="Arial Unicode MS" w:hAnsi="Bookman Old Style" w:cs="Arial Unicode MS"/>
          <w:i/>
          <w:sz w:val="24"/>
          <w:szCs w:val="24"/>
        </w:rPr>
        <w:t>Reynolds defence</w:t>
      </w:r>
      <w:r w:rsidR="00BC3ED1" w:rsidRPr="00BC3ED1">
        <w:rPr>
          <w:rFonts w:ascii="Bookman Old Style" w:eastAsia="Arial Unicode MS" w:hAnsi="Bookman Old Style" w:cs="Arial Unicode MS"/>
          <w:i/>
          <w:sz w:val="24"/>
          <w:szCs w:val="24"/>
        </w:rPr>
        <w:t>,”</w:t>
      </w:r>
      <w:r w:rsidR="00BC3ED1">
        <w:rPr>
          <w:rFonts w:ascii="Bookman Old Style" w:eastAsia="Arial Unicode MS" w:hAnsi="Bookman Old Style" w:cs="Arial Unicode MS"/>
          <w:sz w:val="24"/>
          <w:szCs w:val="24"/>
        </w:rPr>
        <w:t xml:space="preserve"> is</w:t>
      </w:r>
      <w:r>
        <w:rPr>
          <w:rFonts w:ascii="Bookman Old Style" w:eastAsia="Arial Unicode MS" w:hAnsi="Bookman Old Style" w:cs="Arial Unicode MS"/>
          <w:sz w:val="24"/>
          <w:szCs w:val="24"/>
        </w:rPr>
        <w:t xml:space="preserve"> whether or not the defendants</w:t>
      </w:r>
      <w:r w:rsidR="00BC3ED1">
        <w:rPr>
          <w:rFonts w:ascii="Bookman Old Style" w:eastAsia="Arial Unicode MS" w:hAnsi="Bookman Old Style" w:cs="Arial Unicode MS"/>
          <w:sz w:val="24"/>
          <w:szCs w:val="24"/>
        </w:rPr>
        <w:t xml:space="preserve"> </w:t>
      </w:r>
      <w:r w:rsidR="008C439D">
        <w:rPr>
          <w:rFonts w:ascii="Bookman Old Style" w:eastAsia="Arial Unicode MS" w:hAnsi="Bookman Old Style" w:cs="Arial Unicode MS"/>
          <w:sz w:val="24"/>
          <w:szCs w:val="24"/>
        </w:rPr>
        <w:t xml:space="preserve">behaved fairly, and responsibly </w:t>
      </w:r>
      <w:r w:rsidR="000A73AE">
        <w:rPr>
          <w:rFonts w:ascii="Bookman Old Style" w:eastAsia="Arial Unicode MS" w:hAnsi="Bookman Old Style" w:cs="Arial Unicode MS"/>
          <w:sz w:val="24"/>
          <w:szCs w:val="24"/>
        </w:rPr>
        <w:t xml:space="preserve">in </w:t>
      </w:r>
      <w:r w:rsidR="008C439D">
        <w:rPr>
          <w:rFonts w:ascii="Bookman Old Style" w:eastAsia="Arial Unicode MS" w:hAnsi="Bookman Old Style" w:cs="Arial Unicode MS"/>
          <w:sz w:val="24"/>
          <w:szCs w:val="24"/>
        </w:rPr>
        <w:t>gathering</w:t>
      </w:r>
      <w:r w:rsidR="00D54BB9">
        <w:rPr>
          <w:rFonts w:ascii="Bookman Old Style" w:eastAsia="Arial Unicode MS" w:hAnsi="Bookman Old Style" w:cs="Arial Unicode MS"/>
          <w:sz w:val="24"/>
          <w:szCs w:val="24"/>
        </w:rPr>
        <w:t>, and</w:t>
      </w:r>
      <w:r w:rsidR="00C3083D">
        <w:rPr>
          <w:rFonts w:ascii="Bookman Old Style" w:eastAsia="Arial Unicode MS" w:hAnsi="Bookman Old Style" w:cs="Arial Unicode MS"/>
          <w:sz w:val="24"/>
          <w:szCs w:val="24"/>
        </w:rPr>
        <w:t xml:space="preserve"> </w:t>
      </w:r>
      <w:r w:rsidR="000A73AE">
        <w:rPr>
          <w:rFonts w:ascii="Bookman Old Style" w:eastAsia="Arial Unicode MS" w:hAnsi="Bookman Old Style" w:cs="Arial Unicode MS"/>
          <w:sz w:val="24"/>
          <w:szCs w:val="24"/>
        </w:rPr>
        <w:t>publishing the statement complained of. To</w:t>
      </w:r>
      <w:r w:rsidR="00C3083D">
        <w:rPr>
          <w:rFonts w:ascii="Bookman Old Style" w:eastAsia="Arial Unicode MS" w:hAnsi="Bookman Old Style" w:cs="Arial Unicode MS"/>
          <w:sz w:val="24"/>
          <w:szCs w:val="24"/>
        </w:rPr>
        <w:t xml:space="preserve"> </w:t>
      </w:r>
      <w:r w:rsidR="00E345F3">
        <w:rPr>
          <w:rFonts w:ascii="Bookman Old Style" w:eastAsia="Arial Unicode MS" w:hAnsi="Bookman Old Style" w:cs="Arial Unicode MS"/>
          <w:sz w:val="24"/>
          <w:szCs w:val="24"/>
        </w:rPr>
        <w:t xml:space="preserve">put </w:t>
      </w:r>
      <w:r w:rsidR="00D54BB9">
        <w:rPr>
          <w:rFonts w:ascii="Bookman Old Style" w:eastAsia="Arial Unicode MS" w:hAnsi="Bookman Old Style" w:cs="Arial Unicode MS"/>
          <w:sz w:val="24"/>
          <w:szCs w:val="24"/>
        </w:rPr>
        <w:t xml:space="preserve">it </w:t>
      </w:r>
      <w:r w:rsidR="00C3083D">
        <w:rPr>
          <w:rFonts w:ascii="Bookman Old Style" w:eastAsia="Arial Unicode MS" w:hAnsi="Bookman Old Style" w:cs="Arial Unicode MS"/>
          <w:sz w:val="24"/>
          <w:szCs w:val="24"/>
        </w:rPr>
        <w:t>simply the question is</w:t>
      </w:r>
      <w:r w:rsidR="000A73AE">
        <w:rPr>
          <w:rFonts w:ascii="Bookman Old Style" w:eastAsia="Arial Unicode MS" w:hAnsi="Bookman Old Style" w:cs="Arial Unicode MS"/>
          <w:sz w:val="24"/>
          <w:szCs w:val="24"/>
        </w:rPr>
        <w:t xml:space="preserve"> this</w:t>
      </w:r>
      <w:r w:rsidR="00C3083D">
        <w:rPr>
          <w:rFonts w:ascii="Bookman Old Style" w:eastAsia="Arial Unicode MS" w:hAnsi="Bookman Old Style" w:cs="Arial Unicode MS"/>
          <w:sz w:val="24"/>
          <w:szCs w:val="24"/>
        </w:rPr>
        <w:t>: has the defendant</w:t>
      </w:r>
      <w:r w:rsidR="000A73AE">
        <w:rPr>
          <w:rFonts w:ascii="Bookman Old Style" w:eastAsia="Arial Unicode MS" w:hAnsi="Bookman Old Style" w:cs="Arial Unicode MS"/>
          <w:sz w:val="24"/>
          <w:szCs w:val="24"/>
        </w:rPr>
        <w:t>’</w:t>
      </w:r>
      <w:r w:rsidR="0064495F">
        <w:rPr>
          <w:rFonts w:ascii="Bookman Old Style" w:eastAsia="Arial Unicode MS" w:hAnsi="Bookman Old Style" w:cs="Arial Unicode MS"/>
          <w:sz w:val="24"/>
          <w:szCs w:val="24"/>
        </w:rPr>
        <w:t>s conduct in gathering</w:t>
      </w:r>
      <w:r w:rsidR="00C3083D">
        <w:rPr>
          <w:rFonts w:ascii="Bookman Old Style" w:eastAsia="Arial Unicode MS" w:hAnsi="Bookman Old Style" w:cs="Arial Unicode MS"/>
          <w:sz w:val="24"/>
          <w:szCs w:val="24"/>
        </w:rPr>
        <w:t xml:space="preserve"> and publishing the information contained in the statement complained of fallen short of the standard of “</w:t>
      </w:r>
      <w:r w:rsidR="00C3083D" w:rsidRPr="00C3083D">
        <w:rPr>
          <w:rFonts w:ascii="Bookman Old Style" w:eastAsia="Arial Unicode MS" w:hAnsi="Bookman Old Style" w:cs="Arial Unicode MS"/>
          <w:i/>
          <w:sz w:val="24"/>
          <w:szCs w:val="24"/>
        </w:rPr>
        <w:t>responsible journalism</w:t>
      </w:r>
      <w:r w:rsidR="00C3083D">
        <w:rPr>
          <w:rFonts w:ascii="Bookman Old Style" w:eastAsia="Arial Unicode MS" w:hAnsi="Bookman Old Style" w:cs="Arial Unicode MS"/>
          <w:sz w:val="24"/>
          <w:szCs w:val="24"/>
        </w:rPr>
        <w:t>,”</w:t>
      </w:r>
      <w:r w:rsidR="000A73AE">
        <w:rPr>
          <w:rFonts w:ascii="Bookman Old Style" w:eastAsia="Arial Unicode MS" w:hAnsi="Bookman Old Style" w:cs="Arial Unicode MS"/>
          <w:sz w:val="24"/>
          <w:szCs w:val="24"/>
        </w:rPr>
        <w:t>?</w:t>
      </w:r>
      <w:r w:rsidR="008C439D">
        <w:rPr>
          <w:rFonts w:ascii="Bookman Old Style" w:eastAsia="Arial Unicode MS" w:hAnsi="Bookman Old Style" w:cs="Arial Unicode MS"/>
          <w:sz w:val="24"/>
          <w:szCs w:val="24"/>
        </w:rPr>
        <w:t xml:space="preserve"> </w:t>
      </w:r>
      <w:r w:rsidR="00C3083D">
        <w:rPr>
          <w:rFonts w:ascii="Bookman Old Style" w:eastAsia="Arial Unicode MS" w:hAnsi="Bookman Old Style" w:cs="Arial Unicode MS"/>
          <w:sz w:val="24"/>
          <w:szCs w:val="24"/>
        </w:rPr>
        <w:t>The notion or “</w:t>
      </w:r>
      <w:r w:rsidR="00C3083D" w:rsidRPr="00C3083D">
        <w:rPr>
          <w:rFonts w:ascii="Bookman Old Style" w:eastAsia="Arial Unicode MS" w:hAnsi="Bookman Old Style" w:cs="Arial Unicode MS"/>
          <w:i/>
          <w:sz w:val="24"/>
          <w:szCs w:val="24"/>
        </w:rPr>
        <w:t>r</w:t>
      </w:r>
      <w:r w:rsidR="00BC3ED1" w:rsidRPr="00C3083D">
        <w:rPr>
          <w:rFonts w:ascii="Bookman Old Style" w:eastAsia="Arial Unicode MS" w:hAnsi="Bookman Old Style" w:cs="Arial Unicode MS"/>
          <w:i/>
          <w:sz w:val="24"/>
          <w:szCs w:val="24"/>
        </w:rPr>
        <w:t>esponsible journalism</w:t>
      </w:r>
      <w:r w:rsidRPr="00C3083D">
        <w:rPr>
          <w:rFonts w:ascii="Bookman Old Style" w:eastAsia="Arial Unicode MS" w:hAnsi="Bookman Old Style" w:cs="Arial Unicode MS"/>
          <w:i/>
          <w:sz w:val="24"/>
          <w:szCs w:val="24"/>
        </w:rPr>
        <w:t>,</w:t>
      </w:r>
      <w:r w:rsidR="00C3083D" w:rsidRPr="00C3083D">
        <w:rPr>
          <w:rFonts w:ascii="Bookman Old Style" w:eastAsia="Arial Unicode MS" w:hAnsi="Bookman Old Style" w:cs="Arial Unicode MS"/>
          <w:i/>
          <w:sz w:val="24"/>
          <w:szCs w:val="24"/>
        </w:rPr>
        <w:t>”</w:t>
      </w:r>
      <w:r>
        <w:rPr>
          <w:rFonts w:ascii="Bookman Old Style" w:eastAsia="Arial Unicode MS" w:hAnsi="Bookman Old Style" w:cs="Arial Unicode MS"/>
          <w:sz w:val="24"/>
          <w:szCs w:val="24"/>
        </w:rPr>
        <w:t xml:space="preserve"> “as defined in the case of </w:t>
      </w:r>
      <w:r w:rsidRPr="00C3083D">
        <w:rPr>
          <w:rFonts w:ascii="Bookman Old Style" w:eastAsia="Arial Unicode MS" w:hAnsi="Bookman Old Style" w:cs="Arial Unicode MS"/>
          <w:i/>
          <w:sz w:val="24"/>
          <w:szCs w:val="24"/>
        </w:rPr>
        <w:t>Bonnick v Morris</w:t>
      </w:r>
      <w:r>
        <w:rPr>
          <w:rFonts w:ascii="Bookman Old Style" w:eastAsia="Arial Unicode MS" w:hAnsi="Bookman Old Style" w:cs="Arial Unicode MS"/>
          <w:sz w:val="24"/>
          <w:szCs w:val="24"/>
        </w:rPr>
        <w:t xml:space="preserve"> (supra),</w:t>
      </w:r>
      <w:r w:rsidR="00BC3ED1">
        <w:rPr>
          <w:rFonts w:ascii="Bookman Old Style" w:eastAsia="Arial Unicode MS" w:hAnsi="Bookman Old Style" w:cs="Arial Unicode MS"/>
          <w:sz w:val="24"/>
          <w:szCs w:val="24"/>
        </w:rPr>
        <w:t xml:space="preserve"> is aimed at resolving the tension between freedom of expression on matters of public concern, and </w:t>
      </w:r>
      <w:r>
        <w:rPr>
          <w:rFonts w:ascii="Bookman Old Style" w:eastAsia="Arial Unicode MS" w:hAnsi="Bookman Old Style" w:cs="Arial Unicode MS"/>
          <w:sz w:val="24"/>
          <w:szCs w:val="24"/>
        </w:rPr>
        <w:t xml:space="preserve">protection of </w:t>
      </w:r>
      <w:r w:rsidR="00BC3ED1">
        <w:rPr>
          <w:rFonts w:ascii="Bookman Old Style" w:eastAsia="Arial Unicode MS" w:hAnsi="Bookman Old Style" w:cs="Arial Unicode MS"/>
          <w:sz w:val="24"/>
          <w:szCs w:val="24"/>
        </w:rPr>
        <w:t>reputations of individuals. In the long run</w:t>
      </w:r>
      <w:r w:rsidR="00B537A4">
        <w:rPr>
          <w:rFonts w:ascii="Bookman Old Style" w:eastAsia="Arial Unicode MS" w:hAnsi="Bookman Old Style" w:cs="Arial Unicode MS"/>
          <w:sz w:val="24"/>
          <w:szCs w:val="24"/>
        </w:rPr>
        <w:t>, the requirement</w:t>
      </w:r>
      <w:r w:rsidR="00BC3ED1">
        <w:rPr>
          <w:rFonts w:ascii="Bookman Old Style" w:eastAsia="Arial Unicode MS" w:hAnsi="Bookman Old Style" w:cs="Arial Unicode MS"/>
          <w:sz w:val="24"/>
          <w:szCs w:val="24"/>
        </w:rPr>
        <w:t xml:space="preserve"> of “</w:t>
      </w:r>
      <w:r w:rsidR="00BC3ED1" w:rsidRPr="00BC3ED1">
        <w:rPr>
          <w:rFonts w:ascii="Bookman Old Style" w:eastAsia="Arial Unicode MS" w:hAnsi="Bookman Old Style" w:cs="Arial Unicode MS"/>
          <w:i/>
          <w:sz w:val="24"/>
          <w:szCs w:val="24"/>
        </w:rPr>
        <w:t>responsible journalism</w:t>
      </w:r>
      <w:r w:rsidR="00B537A4">
        <w:rPr>
          <w:rFonts w:ascii="Bookman Old Style" w:eastAsia="Arial Unicode MS" w:hAnsi="Bookman Old Style" w:cs="Arial Unicode MS"/>
          <w:sz w:val="24"/>
          <w:szCs w:val="24"/>
        </w:rPr>
        <w:t>” enhance</w:t>
      </w:r>
      <w:r w:rsidR="00C3083D">
        <w:rPr>
          <w:rFonts w:ascii="Bookman Old Style" w:eastAsia="Arial Unicode MS" w:hAnsi="Bookman Old Style" w:cs="Arial Unicode MS"/>
          <w:sz w:val="24"/>
          <w:szCs w:val="24"/>
        </w:rPr>
        <w:t>s</w:t>
      </w:r>
      <w:r w:rsidR="000A73AE">
        <w:rPr>
          <w:rFonts w:ascii="Bookman Old Style" w:eastAsia="Arial Unicode MS" w:hAnsi="Bookman Old Style" w:cs="Arial Unicode MS"/>
          <w:sz w:val="24"/>
          <w:szCs w:val="24"/>
        </w:rPr>
        <w:t xml:space="preserve"> the protection of</w:t>
      </w:r>
      <w:r w:rsidR="00BC3ED1">
        <w:rPr>
          <w:rFonts w:ascii="Bookman Old Style" w:eastAsia="Arial Unicode MS" w:hAnsi="Bookman Old Style" w:cs="Arial Unicode MS"/>
          <w:sz w:val="24"/>
          <w:szCs w:val="24"/>
        </w:rPr>
        <w:t xml:space="preserve"> the reputation</w:t>
      </w:r>
      <w:r w:rsidR="000A73AE">
        <w:rPr>
          <w:rFonts w:ascii="Bookman Old Style" w:eastAsia="Arial Unicode MS" w:hAnsi="Bookman Old Style" w:cs="Arial Unicode MS"/>
          <w:sz w:val="24"/>
          <w:szCs w:val="24"/>
        </w:rPr>
        <w:t>s</w:t>
      </w:r>
      <w:r w:rsidR="00BC3ED1">
        <w:rPr>
          <w:rFonts w:ascii="Bookman Old Style" w:eastAsia="Arial Unicode MS" w:hAnsi="Bookman Old Style" w:cs="Arial Unicode MS"/>
          <w:sz w:val="24"/>
          <w:szCs w:val="24"/>
        </w:rPr>
        <w:t xml:space="preserve"> of defamed individuals. </w:t>
      </w:r>
      <w:r w:rsidR="00C3083D">
        <w:rPr>
          <w:rFonts w:ascii="Bookman Old Style" w:eastAsia="Arial Unicode MS" w:hAnsi="Bookman Old Style" w:cs="Arial Unicode MS"/>
          <w:sz w:val="24"/>
          <w:szCs w:val="24"/>
        </w:rPr>
        <w:t>The standard of “</w:t>
      </w:r>
      <w:r w:rsidR="00C3083D" w:rsidRPr="00C3083D">
        <w:rPr>
          <w:rFonts w:ascii="Bookman Old Style" w:eastAsia="Arial Unicode MS" w:hAnsi="Bookman Old Style" w:cs="Arial Unicode MS"/>
          <w:i/>
          <w:sz w:val="24"/>
          <w:szCs w:val="24"/>
        </w:rPr>
        <w:t>responsible journalism</w:t>
      </w:r>
      <w:r w:rsidR="00C3083D">
        <w:rPr>
          <w:rFonts w:ascii="Bookman Old Style" w:eastAsia="Arial Unicode MS" w:hAnsi="Bookman Old Style" w:cs="Arial Unicode MS"/>
          <w:sz w:val="24"/>
          <w:szCs w:val="24"/>
        </w:rPr>
        <w:t xml:space="preserve">” is objective. </w:t>
      </w:r>
      <w:r w:rsidR="00BC3ED1">
        <w:rPr>
          <w:rFonts w:ascii="Bookman Old Style" w:eastAsia="Arial Unicode MS" w:hAnsi="Bookman Old Style" w:cs="Arial Unicode MS"/>
          <w:sz w:val="24"/>
          <w:szCs w:val="24"/>
        </w:rPr>
        <w:t>Furthermore, the notion of “</w:t>
      </w:r>
      <w:r w:rsidR="00BC3ED1" w:rsidRPr="00BC3ED1">
        <w:rPr>
          <w:rFonts w:ascii="Bookman Old Style" w:eastAsia="Arial Unicode MS" w:hAnsi="Bookman Old Style" w:cs="Arial Unicode MS"/>
          <w:i/>
          <w:sz w:val="24"/>
          <w:szCs w:val="24"/>
        </w:rPr>
        <w:t>responsible journalism</w:t>
      </w:r>
      <w:r w:rsidR="00BC3ED1">
        <w:rPr>
          <w:rFonts w:ascii="Bookman Old Style" w:eastAsia="Arial Unicode MS" w:hAnsi="Bookman Old Style" w:cs="Arial Unicode MS"/>
          <w:sz w:val="24"/>
          <w:szCs w:val="24"/>
        </w:rPr>
        <w:t>” comes down t</w:t>
      </w:r>
      <w:r>
        <w:rPr>
          <w:rFonts w:ascii="Bookman Old Style" w:eastAsia="Arial Unicode MS" w:hAnsi="Bookman Old Style" w:cs="Arial Unicode MS"/>
          <w:sz w:val="24"/>
          <w:szCs w:val="24"/>
        </w:rPr>
        <w:t>o</w:t>
      </w:r>
      <w:r w:rsidR="00BC3ED1">
        <w:rPr>
          <w:rFonts w:ascii="Bookman Old Style" w:eastAsia="Arial Unicode MS" w:hAnsi="Bookman Old Style" w:cs="Arial Unicode MS"/>
          <w:sz w:val="24"/>
          <w:szCs w:val="24"/>
        </w:rPr>
        <w:t xml:space="preserve"> the price that journalists must pay in return for the claim of qualified privilege. In my considered view, it is not a dear price to pay.</w:t>
      </w:r>
      <w:r w:rsidR="0038747D">
        <w:rPr>
          <w:rFonts w:ascii="Bookman Old Style" w:eastAsia="Arial Unicode MS" w:hAnsi="Bookman Old Style" w:cs="Arial Unicode MS"/>
          <w:sz w:val="24"/>
          <w:szCs w:val="24"/>
        </w:rPr>
        <w:t xml:space="preserve"> </w:t>
      </w:r>
    </w:p>
    <w:p w:rsidR="005C2C43" w:rsidRDefault="00C3083D" w:rsidP="00947F4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 deciding</w:t>
      </w:r>
      <w:r w:rsidR="0038747D">
        <w:rPr>
          <w:rFonts w:ascii="Bookman Old Style" w:eastAsia="Arial Unicode MS" w:hAnsi="Bookman Old Style" w:cs="Arial Unicode MS"/>
          <w:sz w:val="24"/>
          <w:szCs w:val="24"/>
        </w:rPr>
        <w:t xml:space="preserve"> whether or not a particular publication has met the threshold of </w:t>
      </w:r>
      <w:r w:rsidR="0038747D" w:rsidRPr="005F4D59">
        <w:rPr>
          <w:rFonts w:ascii="Bookman Old Style" w:eastAsia="Arial Unicode MS" w:hAnsi="Bookman Old Style" w:cs="Arial Unicode MS"/>
          <w:i/>
          <w:sz w:val="24"/>
          <w:szCs w:val="24"/>
        </w:rPr>
        <w:t>“responsible journalism,”</w:t>
      </w:r>
      <w:r>
        <w:rPr>
          <w:rFonts w:ascii="Bookman Old Style" w:eastAsia="Arial Unicode MS" w:hAnsi="Bookman Old Style" w:cs="Arial Unicode MS"/>
          <w:sz w:val="24"/>
          <w:szCs w:val="24"/>
        </w:rPr>
        <w:t xml:space="preserve"> the Court is expected to assess</w:t>
      </w:r>
      <w:r w:rsidR="0038747D">
        <w:rPr>
          <w:rFonts w:ascii="Bookman Old Style" w:eastAsia="Arial Unicode MS" w:hAnsi="Bookman Old Style" w:cs="Arial Unicode MS"/>
          <w:sz w:val="24"/>
          <w:szCs w:val="24"/>
        </w:rPr>
        <w:t xml:space="preserve"> the public value, and quality of the subject matter of the publication. In this regard, the Court ought to consider whether, or not the conditions of </w:t>
      </w:r>
      <w:r w:rsidR="0038747D" w:rsidRPr="00B73A54">
        <w:rPr>
          <w:rFonts w:ascii="Bookman Old Style" w:eastAsia="Arial Unicode MS" w:hAnsi="Bookman Old Style" w:cs="Arial Unicode MS"/>
          <w:i/>
          <w:sz w:val="24"/>
          <w:szCs w:val="24"/>
        </w:rPr>
        <w:t>“responsible journalism</w:t>
      </w:r>
      <w:r w:rsidR="0038747D">
        <w:rPr>
          <w:rFonts w:ascii="Bookman Old Style" w:eastAsia="Arial Unicode MS" w:hAnsi="Bookman Old Style" w:cs="Arial Unicode MS"/>
          <w:sz w:val="24"/>
          <w:szCs w:val="24"/>
        </w:rPr>
        <w:t xml:space="preserve">” have been satisfied or met. In the </w:t>
      </w:r>
      <w:r>
        <w:rPr>
          <w:rFonts w:ascii="Bookman Old Style" w:eastAsia="Arial Unicode MS" w:hAnsi="Bookman Old Style" w:cs="Arial Unicode MS"/>
          <w:i/>
          <w:sz w:val="24"/>
          <w:szCs w:val="24"/>
        </w:rPr>
        <w:t>Reyn</w:t>
      </w:r>
      <w:r w:rsidR="0038747D" w:rsidRPr="00B537A4">
        <w:rPr>
          <w:rFonts w:ascii="Bookman Old Style" w:eastAsia="Arial Unicode MS" w:hAnsi="Bookman Old Style" w:cs="Arial Unicode MS"/>
          <w:i/>
          <w:sz w:val="24"/>
          <w:szCs w:val="24"/>
        </w:rPr>
        <w:t>olds case</w:t>
      </w:r>
      <w:r w:rsidR="00B537A4">
        <w:rPr>
          <w:rFonts w:ascii="Bookman Old Style" w:eastAsia="Arial Unicode MS" w:hAnsi="Bookman Old Style" w:cs="Arial Unicode MS"/>
          <w:sz w:val="24"/>
          <w:szCs w:val="24"/>
        </w:rPr>
        <w:t>, Lord Nicholls of Birken</w:t>
      </w:r>
      <w:r w:rsidR="0038747D">
        <w:rPr>
          <w:rFonts w:ascii="Bookman Old Style" w:eastAsia="Arial Unicode MS" w:hAnsi="Bookman Old Style" w:cs="Arial Unicode MS"/>
          <w:sz w:val="24"/>
          <w:szCs w:val="24"/>
        </w:rPr>
        <w:t xml:space="preserve">head offered guidance in </w:t>
      </w:r>
      <w:r w:rsidR="00C41E2C">
        <w:rPr>
          <w:rFonts w:ascii="Bookman Old Style" w:eastAsia="Arial Unicode MS" w:hAnsi="Bookman Old Style" w:cs="Arial Unicode MS"/>
          <w:sz w:val="24"/>
          <w:szCs w:val="24"/>
        </w:rPr>
        <w:t>the form of a non-</w:t>
      </w:r>
      <w:r w:rsidR="0038747D">
        <w:rPr>
          <w:rFonts w:ascii="Bookman Old Style" w:eastAsia="Arial Unicode MS" w:hAnsi="Bookman Old Style" w:cs="Arial Unicode MS"/>
          <w:sz w:val="24"/>
          <w:szCs w:val="24"/>
        </w:rPr>
        <w:t>exhaustive</w:t>
      </w:r>
      <w:r>
        <w:rPr>
          <w:rFonts w:ascii="Bookman Old Style" w:eastAsia="Arial Unicode MS" w:hAnsi="Bookman Old Style" w:cs="Arial Unicode MS"/>
          <w:sz w:val="24"/>
          <w:szCs w:val="24"/>
        </w:rPr>
        <w:t>,</w:t>
      </w:r>
      <w:r w:rsidR="0038747D">
        <w:rPr>
          <w:rFonts w:ascii="Bookman Old Style" w:eastAsia="Arial Unicode MS" w:hAnsi="Bookman Old Style" w:cs="Arial Unicode MS"/>
          <w:sz w:val="24"/>
          <w:szCs w:val="24"/>
        </w:rPr>
        <w:t xml:space="preserve"> illustrative list of matters, </w:t>
      </w:r>
      <w:r>
        <w:rPr>
          <w:rFonts w:ascii="Bookman Old Style" w:eastAsia="Arial Unicode MS" w:hAnsi="Bookman Old Style" w:cs="Arial Unicode MS"/>
          <w:sz w:val="24"/>
          <w:szCs w:val="24"/>
        </w:rPr>
        <w:t>to be considered</w:t>
      </w:r>
      <w:r w:rsidR="00C41E2C">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or taken into account.</w:t>
      </w:r>
    </w:p>
    <w:p w:rsidR="00023B9A" w:rsidRDefault="005C2C43" w:rsidP="00947F4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Thus in resolving the question whether, or not qualified privilege </w:t>
      </w:r>
      <w:r w:rsidR="00FF4C50">
        <w:rPr>
          <w:rFonts w:ascii="Bookman Old Style" w:eastAsia="Arial Unicode MS" w:hAnsi="Bookman Old Style" w:cs="Arial Unicode MS"/>
          <w:sz w:val="24"/>
          <w:szCs w:val="24"/>
        </w:rPr>
        <w:t>should attach to the statement</w:t>
      </w:r>
      <w:r>
        <w:rPr>
          <w:rFonts w:ascii="Bookman Old Style" w:eastAsia="Arial Unicode MS" w:hAnsi="Bookman Old Style" w:cs="Arial Unicode MS"/>
          <w:sz w:val="24"/>
          <w:szCs w:val="24"/>
        </w:rPr>
        <w:t xml:space="preserve"> complained of, the first question that I am required to </w:t>
      </w:r>
      <w:r>
        <w:rPr>
          <w:rFonts w:ascii="Bookman Old Style" w:eastAsia="Arial Unicode MS" w:hAnsi="Bookman Old Style" w:cs="Arial Unicode MS"/>
          <w:sz w:val="24"/>
          <w:szCs w:val="24"/>
        </w:rPr>
        <w:lastRenderedPageBreak/>
        <w:t xml:space="preserve">consider is whether, or not the </w:t>
      </w:r>
      <w:r w:rsidR="00FF4C50">
        <w:rPr>
          <w:rFonts w:ascii="Bookman Old Style" w:eastAsia="Arial Unicode MS" w:hAnsi="Bookman Old Style" w:cs="Arial Unicode MS"/>
          <w:sz w:val="24"/>
          <w:szCs w:val="24"/>
        </w:rPr>
        <w:t xml:space="preserve">statement complained of </w:t>
      </w:r>
      <w:r>
        <w:rPr>
          <w:rFonts w:ascii="Bookman Old Style" w:eastAsia="Arial Unicode MS" w:hAnsi="Bookman Old Style" w:cs="Arial Unicode MS"/>
          <w:sz w:val="24"/>
          <w:szCs w:val="24"/>
        </w:rPr>
        <w:t>is a matter of public interest. In answerin</w:t>
      </w:r>
      <w:r w:rsidR="00FF4C50">
        <w:rPr>
          <w:rFonts w:ascii="Bookman Old Style" w:eastAsia="Arial Unicode MS" w:hAnsi="Bookman Old Style" w:cs="Arial Unicode MS"/>
          <w:sz w:val="24"/>
          <w:szCs w:val="24"/>
        </w:rPr>
        <w:t>g this question, the statement</w:t>
      </w:r>
      <w:r>
        <w:rPr>
          <w:rFonts w:ascii="Bookman Old Style" w:eastAsia="Arial Unicode MS" w:hAnsi="Bookman Old Style" w:cs="Arial Unicode MS"/>
          <w:sz w:val="24"/>
          <w:szCs w:val="24"/>
        </w:rPr>
        <w:t xml:space="preserve"> is required to be considered as a whole. It must also be noticed that the question whether the </w:t>
      </w:r>
      <w:r w:rsidR="00FF4C50">
        <w:rPr>
          <w:rFonts w:ascii="Bookman Old Style" w:eastAsia="Arial Unicode MS" w:hAnsi="Bookman Old Style" w:cs="Arial Unicode MS"/>
          <w:sz w:val="24"/>
          <w:szCs w:val="24"/>
        </w:rPr>
        <w:t xml:space="preserve">statement </w:t>
      </w:r>
      <w:r>
        <w:rPr>
          <w:rFonts w:ascii="Bookman Old Style" w:eastAsia="Arial Unicode MS" w:hAnsi="Bookman Old Style" w:cs="Arial Unicode MS"/>
          <w:sz w:val="24"/>
          <w:szCs w:val="24"/>
        </w:rPr>
        <w:t>is of public interest really comes d</w:t>
      </w:r>
      <w:r w:rsidR="000149A2">
        <w:rPr>
          <w:rFonts w:ascii="Bookman Old Style" w:eastAsia="Arial Unicode MS" w:hAnsi="Bookman Old Style" w:cs="Arial Unicode MS"/>
          <w:sz w:val="24"/>
          <w:szCs w:val="24"/>
        </w:rPr>
        <w:t>own to asking whether the publication is privileged because of its value to the public. In assessing</w:t>
      </w:r>
      <w:r w:rsidR="00F712AE">
        <w:rPr>
          <w:rFonts w:ascii="Bookman Old Style" w:eastAsia="Arial Unicode MS" w:hAnsi="Bookman Old Style" w:cs="Arial Unicode MS"/>
          <w:sz w:val="24"/>
          <w:szCs w:val="24"/>
        </w:rPr>
        <w:t xml:space="preserve"> the value of the </w:t>
      </w:r>
      <w:r w:rsidR="00FF4C50">
        <w:rPr>
          <w:rFonts w:ascii="Bookman Old Style" w:eastAsia="Arial Unicode MS" w:hAnsi="Bookman Old Style" w:cs="Arial Unicode MS"/>
          <w:sz w:val="24"/>
          <w:szCs w:val="24"/>
        </w:rPr>
        <w:t>statement</w:t>
      </w:r>
      <w:r w:rsidR="00F712AE">
        <w:rPr>
          <w:rFonts w:ascii="Bookman Old Style" w:eastAsia="Arial Unicode MS" w:hAnsi="Bookman Old Style" w:cs="Arial Unicode MS"/>
          <w:sz w:val="24"/>
          <w:szCs w:val="24"/>
        </w:rPr>
        <w:t xml:space="preserve"> to the public</w:t>
      </w:r>
      <w:r w:rsidR="00C3083D">
        <w:rPr>
          <w:rFonts w:ascii="Bookman Old Style" w:eastAsia="Arial Unicode MS" w:hAnsi="Bookman Old Style" w:cs="Arial Unicode MS"/>
          <w:sz w:val="24"/>
          <w:szCs w:val="24"/>
        </w:rPr>
        <w:t>, the</w:t>
      </w:r>
      <w:r w:rsidR="00F712AE">
        <w:rPr>
          <w:rFonts w:ascii="Bookman Old Style" w:eastAsia="Arial Unicode MS" w:hAnsi="Bookman Old Style" w:cs="Arial Unicode MS"/>
          <w:sz w:val="24"/>
          <w:szCs w:val="24"/>
        </w:rPr>
        <w:t xml:space="preserve"> quality of the publication needs to be carefully considered, or measured. Thus in considering the value of the publication to the public is not useful or helpful to resort to the classic test for the existence of p</w:t>
      </w:r>
      <w:r w:rsidR="00FF4C50">
        <w:rPr>
          <w:rFonts w:ascii="Bookman Old Style" w:eastAsia="Arial Unicode MS" w:hAnsi="Bookman Old Style" w:cs="Arial Unicode MS"/>
          <w:sz w:val="24"/>
          <w:szCs w:val="24"/>
        </w:rPr>
        <w:t>rivileged occasion, and to ask the question whether there i</w:t>
      </w:r>
      <w:r w:rsidR="00F712AE">
        <w:rPr>
          <w:rFonts w:ascii="Bookman Old Style" w:eastAsia="Arial Unicode MS" w:hAnsi="Bookman Old Style" w:cs="Arial Unicode MS"/>
          <w:sz w:val="24"/>
          <w:szCs w:val="24"/>
        </w:rPr>
        <w:t>s a duty to communicate the informatio</w:t>
      </w:r>
      <w:r w:rsidR="00FF4C50">
        <w:rPr>
          <w:rFonts w:ascii="Bookman Old Style" w:eastAsia="Arial Unicode MS" w:hAnsi="Bookman Old Style" w:cs="Arial Unicode MS"/>
          <w:sz w:val="24"/>
          <w:szCs w:val="24"/>
        </w:rPr>
        <w:t>n, and interest in receiving it</w:t>
      </w:r>
      <w:r w:rsidR="00F712AE">
        <w:rPr>
          <w:rFonts w:ascii="Bookman Old Style" w:eastAsia="Arial Unicode MS" w:hAnsi="Bookman Old Style" w:cs="Arial Unicode MS"/>
          <w:sz w:val="24"/>
          <w:szCs w:val="24"/>
        </w:rPr>
        <w:t xml:space="preserve">. </w:t>
      </w:r>
    </w:p>
    <w:p w:rsidR="00023B9A" w:rsidRDefault="00023B9A" w:rsidP="00947F4E">
      <w:pPr>
        <w:spacing w:before="240" w:line="360" w:lineRule="auto"/>
        <w:jc w:val="both"/>
        <w:rPr>
          <w:rFonts w:ascii="Bookman Old Style" w:eastAsia="Arial Unicode MS" w:hAnsi="Bookman Old Style" w:cs="Arial Unicode MS"/>
          <w:sz w:val="24"/>
          <w:szCs w:val="24"/>
        </w:rPr>
      </w:pPr>
    </w:p>
    <w:p w:rsidR="00B73A54" w:rsidRDefault="00C3083D" w:rsidP="00947F4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 will now pass</w:t>
      </w:r>
      <w:r w:rsidR="00FF4C50">
        <w:rPr>
          <w:rFonts w:ascii="Bookman Old Style" w:eastAsia="Arial Unicode MS" w:hAnsi="Bookman Old Style" w:cs="Arial Unicode MS"/>
          <w:sz w:val="24"/>
          <w:szCs w:val="24"/>
        </w:rPr>
        <w:t xml:space="preserve"> to apply</w:t>
      </w:r>
      <w:r>
        <w:rPr>
          <w:rFonts w:ascii="Bookman Old Style" w:eastAsia="Arial Unicode MS" w:hAnsi="Bookman Old Style" w:cs="Arial Unicode MS"/>
          <w:sz w:val="24"/>
          <w:szCs w:val="24"/>
        </w:rPr>
        <w:t xml:space="preserve"> the</w:t>
      </w:r>
      <w:r w:rsidR="00023B9A">
        <w:rPr>
          <w:rFonts w:ascii="Bookman Old Style" w:eastAsia="Arial Unicode MS" w:hAnsi="Bookman Old Style" w:cs="Arial Unicode MS"/>
          <w:sz w:val="24"/>
          <w:szCs w:val="24"/>
        </w:rPr>
        <w:t xml:space="preserve"> principles </w:t>
      </w:r>
      <w:r>
        <w:rPr>
          <w:rFonts w:ascii="Bookman Old Style" w:eastAsia="Arial Unicode MS" w:hAnsi="Bookman Old Style" w:cs="Arial Unicode MS"/>
          <w:sz w:val="24"/>
          <w:szCs w:val="24"/>
        </w:rPr>
        <w:t xml:space="preserve">referred to above </w:t>
      </w:r>
      <w:r w:rsidR="00023B9A">
        <w:rPr>
          <w:rFonts w:ascii="Bookman Old Style" w:eastAsia="Arial Unicode MS" w:hAnsi="Bookman Old Style" w:cs="Arial Unicode MS"/>
          <w:sz w:val="24"/>
          <w:szCs w:val="24"/>
        </w:rPr>
        <w:t>to the facts</w:t>
      </w:r>
      <w:r>
        <w:rPr>
          <w:rFonts w:ascii="Bookman Old Style" w:eastAsia="Arial Unicode MS" w:hAnsi="Bookman Old Style" w:cs="Arial Unicode MS"/>
          <w:sz w:val="24"/>
          <w:szCs w:val="24"/>
        </w:rPr>
        <w:t xml:space="preserve"> of</w:t>
      </w:r>
      <w:r w:rsidR="00FF4C50">
        <w:rPr>
          <w:rFonts w:ascii="Bookman Old Style" w:eastAsia="Arial Unicode MS" w:hAnsi="Bookman Old Style" w:cs="Arial Unicode MS"/>
          <w:sz w:val="24"/>
          <w:szCs w:val="24"/>
        </w:rPr>
        <w:t xml:space="preserve"> this case</w:t>
      </w:r>
      <w:r>
        <w:rPr>
          <w:rFonts w:ascii="Bookman Old Style" w:eastAsia="Arial Unicode MS" w:hAnsi="Bookman Old Style" w:cs="Arial Unicode MS"/>
          <w:sz w:val="24"/>
          <w:szCs w:val="24"/>
        </w:rPr>
        <w:t>.</w:t>
      </w:r>
      <w:r w:rsidR="00FF4C50">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It</w:t>
      </w:r>
      <w:r w:rsidR="00FF4C50">
        <w:rPr>
          <w:rFonts w:ascii="Bookman Old Style" w:eastAsia="Arial Unicode MS" w:hAnsi="Bookman Old Style" w:cs="Arial Unicode MS"/>
          <w:sz w:val="24"/>
          <w:szCs w:val="24"/>
        </w:rPr>
        <w:t xml:space="preserve"> is</w:t>
      </w:r>
      <w:r w:rsidR="00023B9A">
        <w:rPr>
          <w:rFonts w:ascii="Bookman Old Style" w:eastAsia="Arial Unicode MS" w:hAnsi="Bookman Old Style" w:cs="Arial Unicode MS"/>
          <w:sz w:val="24"/>
          <w:szCs w:val="24"/>
        </w:rPr>
        <w:t xml:space="preserve"> common ground that the plaintiff is a politician</w:t>
      </w:r>
      <w:r>
        <w:rPr>
          <w:rFonts w:ascii="Bookman Old Style" w:eastAsia="Arial Unicode MS" w:hAnsi="Bookman Old Style" w:cs="Arial Unicode MS"/>
          <w:sz w:val="24"/>
          <w:szCs w:val="24"/>
        </w:rPr>
        <w:t xml:space="preserve"> aspiring to be President of this</w:t>
      </w:r>
      <w:r w:rsidR="00023B9A">
        <w:rPr>
          <w:rFonts w:ascii="Bookman Old Style" w:eastAsia="Arial Unicode MS" w:hAnsi="Bookman Old Style" w:cs="Arial Unicode MS"/>
          <w:sz w:val="24"/>
          <w:szCs w:val="24"/>
        </w:rPr>
        <w:t xml:space="preserve"> country. Thus he is a public figure whose conduct is</w:t>
      </w:r>
      <w:r>
        <w:rPr>
          <w:rFonts w:ascii="Bookman Old Style" w:eastAsia="Arial Unicode MS" w:hAnsi="Bookman Old Style" w:cs="Arial Unicode MS"/>
          <w:sz w:val="24"/>
          <w:szCs w:val="24"/>
        </w:rPr>
        <w:t>,</w:t>
      </w:r>
      <w:r w:rsidR="00023B9A">
        <w:rPr>
          <w:rFonts w:ascii="Bookman Old Style" w:eastAsia="Arial Unicode MS" w:hAnsi="Bookman Old Style" w:cs="Arial Unicode MS"/>
          <w:sz w:val="24"/>
          <w:szCs w:val="24"/>
        </w:rPr>
        <w:t xml:space="preserve"> and should of course be subject to strict public scrut</w:t>
      </w:r>
      <w:r w:rsidR="00FF4C50">
        <w:rPr>
          <w:rFonts w:ascii="Bookman Old Style" w:eastAsia="Arial Unicode MS" w:hAnsi="Bookman Old Style" w:cs="Arial Unicode MS"/>
          <w:sz w:val="24"/>
          <w:szCs w:val="24"/>
        </w:rPr>
        <w:t>iny. The critical issue which</w:t>
      </w:r>
      <w:r>
        <w:rPr>
          <w:rFonts w:ascii="Bookman Old Style" w:eastAsia="Arial Unicode MS" w:hAnsi="Bookman Old Style" w:cs="Arial Unicode MS"/>
          <w:sz w:val="24"/>
          <w:szCs w:val="24"/>
        </w:rPr>
        <w:t>,</w:t>
      </w:r>
      <w:r w:rsidR="00FF4C50">
        <w:rPr>
          <w:rFonts w:ascii="Bookman Old Style" w:eastAsia="Arial Unicode MS" w:hAnsi="Bookman Old Style" w:cs="Arial Unicode MS"/>
          <w:sz w:val="24"/>
          <w:szCs w:val="24"/>
        </w:rPr>
        <w:t xml:space="preserve"> </w:t>
      </w:r>
      <w:r w:rsidR="00023B9A">
        <w:rPr>
          <w:rFonts w:ascii="Bookman Old Style" w:eastAsia="Arial Unicode MS" w:hAnsi="Bookman Old Style" w:cs="Arial Unicode MS"/>
          <w:sz w:val="24"/>
          <w:szCs w:val="24"/>
        </w:rPr>
        <w:t>however</w:t>
      </w:r>
      <w:r w:rsidR="00FF4C50">
        <w:rPr>
          <w:rFonts w:ascii="Bookman Old Style" w:eastAsia="Arial Unicode MS" w:hAnsi="Bookman Old Style" w:cs="Arial Unicode MS"/>
          <w:sz w:val="24"/>
          <w:szCs w:val="24"/>
        </w:rPr>
        <w:t>, I</w:t>
      </w:r>
      <w:r w:rsidR="00023B9A">
        <w:rPr>
          <w:rFonts w:ascii="Bookman Old Style" w:eastAsia="Arial Unicode MS" w:hAnsi="Bookman Old Style" w:cs="Arial Unicode MS"/>
          <w:sz w:val="24"/>
          <w:szCs w:val="24"/>
        </w:rPr>
        <w:t xml:space="preserve"> ought to consider, and resolve is</w:t>
      </w:r>
      <w:r w:rsidR="00676DDD">
        <w:rPr>
          <w:rFonts w:ascii="Bookman Old Style" w:eastAsia="Arial Unicode MS" w:hAnsi="Bookman Old Style" w:cs="Arial Unicode MS"/>
          <w:sz w:val="24"/>
          <w:szCs w:val="24"/>
        </w:rPr>
        <w:t>, whether</w:t>
      </w:r>
      <w:r w:rsidR="00023B9A">
        <w:rPr>
          <w:rFonts w:ascii="Bookman Old Style" w:eastAsia="Arial Unicode MS" w:hAnsi="Bookman Old Style" w:cs="Arial Unicode MS"/>
          <w:sz w:val="24"/>
          <w:szCs w:val="24"/>
        </w:rPr>
        <w:t xml:space="preserve"> or not the </w:t>
      </w:r>
      <w:r>
        <w:rPr>
          <w:rFonts w:ascii="Bookman Old Style" w:eastAsia="Arial Unicode MS" w:hAnsi="Bookman Old Style" w:cs="Arial Unicode MS"/>
          <w:sz w:val="24"/>
          <w:szCs w:val="24"/>
        </w:rPr>
        <w:t xml:space="preserve">statement </w:t>
      </w:r>
      <w:r w:rsidR="00023B9A">
        <w:rPr>
          <w:rFonts w:ascii="Bookman Old Style" w:eastAsia="Arial Unicode MS" w:hAnsi="Bookman Old Style" w:cs="Arial Unicode MS"/>
          <w:sz w:val="24"/>
          <w:szCs w:val="24"/>
        </w:rPr>
        <w:t xml:space="preserve">complained of is in the public interest as posited above. In my considered </w:t>
      </w:r>
      <w:r w:rsidR="00FF4C50">
        <w:rPr>
          <w:rFonts w:ascii="Bookman Old Style" w:eastAsia="Arial Unicode MS" w:hAnsi="Bookman Old Style" w:cs="Arial Unicode MS"/>
          <w:sz w:val="24"/>
          <w:szCs w:val="24"/>
        </w:rPr>
        <w:t>view</w:t>
      </w:r>
      <w:r w:rsidR="00676DDD">
        <w:rPr>
          <w:rFonts w:ascii="Bookman Old Style" w:eastAsia="Arial Unicode MS" w:hAnsi="Bookman Old Style" w:cs="Arial Unicode MS"/>
          <w:sz w:val="24"/>
          <w:szCs w:val="24"/>
        </w:rPr>
        <w:t>,</w:t>
      </w:r>
      <w:r w:rsidR="00FF4C50">
        <w:rPr>
          <w:rFonts w:ascii="Bookman Old Style" w:eastAsia="Arial Unicode MS" w:hAnsi="Bookman Old Style" w:cs="Arial Unicode MS"/>
          <w:sz w:val="24"/>
          <w:szCs w:val="24"/>
        </w:rPr>
        <w:t xml:space="preserve"> </w:t>
      </w:r>
      <w:r w:rsidR="00B73A54">
        <w:rPr>
          <w:rFonts w:ascii="Bookman Old Style" w:eastAsia="Arial Unicode MS" w:hAnsi="Bookman Old Style" w:cs="Arial Unicode MS"/>
          <w:sz w:val="24"/>
          <w:szCs w:val="24"/>
        </w:rPr>
        <w:t>first, the t</w:t>
      </w:r>
      <w:r w:rsidR="00FF4C50">
        <w:rPr>
          <w:rFonts w:ascii="Bookman Old Style" w:eastAsia="Arial Unicode MS" w:hAnsi="Bookman Old Style" w:cs="Arial Unicode MS"/>
          <w:sz w:val="24"/>
          <w:szCs w:val="24"/>
        </w:rPr>
        <w:t>h</w:t>
      </w:r>
      <w:r w:rsidR="00B73A54">
        <w:rPr>
          <w:rFonts w:ascii="Bookman Old Style" w:eastAsia="Arial Unicode MS" w:hAnsi="Bookman Old Style" w:cs="Arial Unicode MS"/>
          <w:sz w:val="24"/>
          <w:szCs w:val="24"/>
        </w:rPr>
        <w:t xml:space="preserve">rust of the </w:t>
      </w:r>
      <w:r w:rsidR="00FF4C50">
        <w:rPr>
          <w:rFonts w:ascii="Bookman Old Style" w:eastAsia="Arial Unicode MS" w:hAnsi="Bookman Old Style" w:cs="Arial Unicode MS"/>
          <w:sz w:val="24"/>
          <w:szCs w:val="24"/>
        </w:rPr>
        <w:t xml:space="preserve">statement </w:t>
      </w:r>
      <w:r w:rsidR="00B73A54">
        <w:rPr>
          <w:rFonts w:ascii="Bookman Old Style" w:eastAsia="Arial Unicode MS" w:hAnsi="Bookman Old Style" w:cs="Arial Unicode MS"/>
          <w:sz w:val="24"/>
          <w:szCs w:val="24"/>
        </w:rPr>
        <w:t>compl</w:t>
      </w:r>
      <w:r w:rsidR="00FF4C50">
        <w:rPr>
          <w:rFonts w:ascii="Bookman Old Style" w:eastAsia="Arial Unicode MS" w:hAnsi="Bookman Old Style" w:cs="Arial Unicode MS"/>
          <w:sz w:val="24"/>
          <w:szCs w:val="24"/>
        </w:rPr>
        <w:t>ained of does not have as</w:t>
      </w:r>
      <w:r w:rsidR="00B73A54">
        <w:rPr>
          <w:rFonts w:ascii="Bookman Old Style" w:eastAsia="Arial Unicode MS" w:hAnsi="Bookman Old Style" w:cs="Arial Unicode MS"/>
          <w:sz w:val="24"/>
          <w:szCs w:val="24"/>
        </w:rPr>
        <w:t xml:space="preserve"> its focus, or objective</w:t>
      </w:r>
      <w:r w:rsidR="00FF4C50">
        <w:rPr>
          <w:rFonts w:ascii="Bookman Old Style" w:eastAsia="Arial Unicode MS" w:hAnsi="Bookman Old Style" w:cs="Arial Unicode MS"/>
          <w:sz w:val="24"/>
          <w:szCs w:val="24"/>
        </w:rPr>
        <w:t>,</w:t>
      </w:r>
      <w:r w:rsidR="00B73A54">
        <w:rPr>
          <w:rFonts w:ascii="Bookman Old Style" w:eastAsia="Arial Unicode MS" w:hAnsi="Bookman Old Style" w:cs="Arial Unicode MS"/>
          <w:sz w:val="24"/>
          <w:szCs w:val="24"/>
        </w:rPr>
        <w:t xml:space="preserve"> the promotion of political discussion generally</w:t>
      </w:r>
      <w:r>
        <w:rPr>
          <w:rFonts w:ascii="Bookman Old Style" w:eastAsia="Arial Unicode MS" w:hAnsi="Bookman Old Style" w:cs="Arial Unicode MS"/>
          <w:sz w:val="24"/>
          <w:szCs w:val="24"/>
        </w:rPr>
        <w:t>,</w:t>
      </w:r>
      <w:r w:rsidR="00B73A54">
        <w:rPr>
          <w:rFonts w:ascii="Bookman Old Style" w:eastAsia="Arial Unicode MS" w:hAnsi="Bookman Old Style" w:cs="Arial Unicode MS"/>
          <w:sz w:val="24"/>
          <w:szCs w:val="24"/>
        </w:rPr>
        <w:t xml:space="preserve"> on matters of public concern in an election year. Rather the focus or “</w:t>
      </w:r>
      <w:r w:rsidR="00B73A54" w:rsidRPr="00B73A54">
        <w:rPr>
          <w:rFonts w:ascii="Bookman Old Style" w:eastAsia="Arial Unicode MS" w:hAnsi="Bookman Old Style" w:cs="Arial Unicode MS"/>
          <w:i/>
          <w:sz w:val="24"/>
          <w:szCs w:val="24"/>
        </w:rPr>
        <w:t>sting”</w:t>
      </w:r>
      <w:r w:rsidR="00B73A54">
        <w:rPr>
          <w:rFonts w:ascii="Bookman Old Style" w:eastAsia="Arial Unicode MS" w:hAnsi="Bookman Old Style" w:cs="Arial Unicode MS"/>
          <w:sz w:val="24"/>
          <w:szCs w:val="24"/>
        </w:rPr>
        <w:t xml:space="preserve"> of the </w:t>
      </w:r>
      <w:r>
        <w:rPr>
          <w:rFonts w:ascii="Bookman Old Style" w:eastAsia="Arial Unicode MS" w:hAnsi="Bookman Old Style" w:cs="Arial Unicode MS"/>
          <w:sz w:val="24"/>
          <w:szCs w:val="24"/>
        </w:rPr>
        <w:t xml:space="preserve">statement </w:t>
      </w:r>
      <w:r w:rsidR="00B73A54">
        <w:rPr>
          <w:rFonts w:ascii="Bookman Old Style" w:eastAsia="Arial Unicode MS" w:hAnsi="Bookman Old Style" w:cs="Arial Unicode MS"/>
          <w:sz w:val="24"/>
          <w:szCs w:val="24"/>
        </w:rPr>
        <w:t xml:space="preserve">is to demonstrate, or show to the Zambian public that </w:t>
      </w:r>
      <w:r w:rsidR="00FF4C50">
        <w:rPr>
          <w:rFonts w:ascii="Bookman Old Style" w:eastAsia="Arial Unicode MS" w:hAnsi="Bookman Old Style" w:cs="Arial Unicode MS"/>
          <w:sz w:val="24"/>
          <w:szCs w:val="24"/>
        </w:rPr>
        <w:t xml:space="preserve">in </w:t>
      </w:r>
      <w:r w:rsidR="00B73A54">
        <w:rPr>
          <w:rFonts w:ascii="Bookman Old Style" w:eastAsia="Arial Unicode MS" w:hAnsi="Bookman Old Style" w:cs="Arial Unicode MS"/>
          <w:sz w:val="24"/>
          <w:szCs w:val="24"/>
        </w:rPr>
        <w:t>the view of the defendants</w:t>
      </w:r>
      <w:r w:rsidR="00FF4C50">
        <w:rPr>
          <w:rFonts w:ascii="Bookman Old Style" w:eastAsia="Arial Unicode MS" w:hAnsi="Bookman Old Style" w:cs="Arial Unicode MS"/>
          <w:sz w:val="24"/>
          <w:szCs w:val="24"/>
        </w:rPr>
        <w:t>,</w:t>
      </w:r>
      <w:r w:rsidR="00B73A54">
        <w:rPr>
          <w:rFonts w:ascii="Bookman Old Style" w:eastAsia="Arial Unicode MS" w:hAnsi="Bookman Old Style" w:cs="Arial Unicode MS"/>
          <w:sz w:val="24"/>
          <w:szCs w:val="24"/>
        </w:rPr>
        <w:t xml:space="preserve"> the plaintiff is not suitable to ascend to the presidency of this country.</w:t>
      </w:r>
    </w:p>
    <w:p w:rsidR="00B73A54" w:rsidRDefault="00B73A54" w:rsidP="00947F4E">
      <w:pPr>
        <w:spacing w:before="240" w:line="360" w:lineRule="auto"/>
        <w:jc w:val="both"/>
        <w:rPr>
          <w:rFonts w:ascii="Bookman Old Style" w:eastAsia="Arial Unicode MS" w:hAnsi="Bookman Old Style" w:cs="Arial Unicode MS"/>
          <w:sz w:val="24"/>
          <w:szCs w:val="24"/>
        </w:rPr>
      </w:pPr>
    </w:p>
    <w:p w:rsidR="00681DE9" w:rsidRDefault="00B73A54" w:rsidP="00947F4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Second, I have already demons</w:t>
      </w:r>
      <w:r w:rsidR="00FF4C50">
        <w:rPr>
          <w:rFonts w:ascii="Bookman Old Style" w:eastAsia="Arial Unicode MS" w:hAnsi="Bookman Old Style" w:cs="Arial Unicode MS"/>
          <w:sz w:val="24"/>
          <w:szCs w:val="24"/>
        </w:rPr>
        <w:t>trated at length elsewhere in this</w:t>
      </w:r>
      <w:r>
        <w:rPr>
          <w:rFonts w:ascii="Bookman Old Style" w:eastAsia="Arial Unicode MS" w:hAnsi="Bookman Old Style" w:cs="Arial Unicode MS"/>
          <w:sz w:val="24"/>
          <w:szCs w:val="24"/>
        </w:rPr>
        <w:t xml:space="preserve"> ruling that the various imputation of facts, and comments </w:t>
      </w:r>
      <w:r w:rsidR="00C41E2C">
        <w:rPr>
          <w:rFonts w:ascii="Bookman Old Style" w:eastAsia="Arial Unicode MS" w:hAnsi="Bookman Old Style" w:cs="Arial Unicode MS"/>
          <w:sz w:val="24"/>
          <w:szCs w:val="24"/>
        </w:rPr>
        <w:t xml:space="preserve">complained of, and </w:t>
      </w:r>
      <w:r>
        <w:rPr>
          <w:rFonts w:ascii="Bookman Old Style" w:eastAsia="Arial Unicode MS" w:hAnsi="Bookman Old Style" w:cs="Arial Unicode MS"/>
          <w:sz w:val="24"/>
          <w:szCs w:val="24"/>
        </w:rPr>
        <w:t xml:space="preserve">made by the defendants </w:t>
      </w:r>
      <w:r w:rsidR="00FF4C50">
        <w:rPr>
          <w:rFonts w:ascii="Bookman Old Style" w:eastAsia="Arial Unicode MS" w:hAnsi="Bookman Old Style" w:cs="Arial Unicode MS"/>
          <w:sz w:val="24"/>
          <w:szCs w:val="24"/>
        </w:rPr>
        <w:t>have n</w:t>
      </w:r>
      <w:r w:rsidR="002D07CF">
        <w:rPr>
          <w:rFonts w:ascii="Bookman Old Style" w:eastAsia="Arial Unicode MS" w:hAnsi="Bookman Old Style" w:cs="Arial Unicode MS"/>
          <w:sz w:val="24"/>
          <w:szCs w:val="24"/>
        </w:rPr>
        <w:t>o factual basis. A</w:t>
      </w:r>
      <w:r w:rsidR="00E06FD0">
        <w:rPr>
          <w:rFonts w:ascii="Bookman Old Style" w:eastAsia="Arial Unicode MS" w:hAnsi="Bookman Old Style" w:cs="Arial Unicode MS"/>
          <w:sz w:val="24"/>
          <w:szCs w:val="24"/>
        </w:rPr>
        <w:t>nd therefore</w:t>
      </w:r>
      <w:r>
        <w:rPr>
          <w:rFonts w:ascii="Bookman Old Style" w:eastAsia="Arial Unicode MS" w:hAnsi="Bookman Old Style" w:cs="Arial Unicode MS"/>
          <w:sz w:val="24"/>
          <w:szCs w:val="24"/>
        </w:rPr>
        <w:t xml:space="preserve"> h</w:t>
      </w:r>
      <w:r w:rsidR="002D07CF">
        <w:rPr>
          <w:rFonts w:ascii="Bookman Old Style" w:eastAsia="Arial Unicode MS" w:hAnsi="Bookman Old Style" w:cs="Arial Unicode MS"/>
          <w:sz w:val="24"/>
          <w:szCs w:val="24"/>
        </w:rPr>
        <w:t>ave not been justified, and</w:t>
      </w:r>
      <w:r>
        <w:rPr>
          <w:rFonts w:ascii="Bookman Old Style" w:eastAsia="Arial Unicode MS" w:hAnsi="Bookman Old Style" w:cs="Arial Unicode MS"/>
          <w:sz w:val="24"/>
          <w:szCs w:val="24"/>
        </w:rPr>
        <w:t xml:space="preserve"> the comments founded on </w:t>
      </w:r>
      <w:r w:rsidR="00FF4C50">
        <w:rPr>
          <w:rFonts w:ascii="Bookman Old Style" w:eastAsia="Arial Unicode MS" w:hAnsi="Bookman Old Style" w:cs="Arial Unicode MS"/>
          <w:sz w:val="24"/>
          <w:szCs w:val="24"/>
        </w:rPr>
        <w:t>the u</w:t>
      </w:r>
      <w:r w:rsidR="002D07CF">
        <w:rPr>
          <w:rFonts w:ascii="Bookman Old Style" w:eastAsia="Arial Unicode MS" w:hAnsi="Bookman Old Style" w:cs="Arial Unicode MS"/>
          <w:sz w:val="24"/>
          <w:szCs w:val="24"/>
        </w:rPr>
        <w:t>nsubstantiated imputation of</w:t>
      </w:r>
      <w:r w:rsidR="00FF4C50">
        <w:rPr>
          <w:rFonts w:ascii="Bookman Old Style" w:eastAsia="Arial Unicode MS" w:hAnsi="Bookman Old Style" w:cs="Arial Unicode MS"/>
          <w:sz w:val="24"/>
          <w:szCs w:val="24"/>
        </w:rPr>
        <w:t xml:space="preserve"> facts</w:t>
      </w:r>
      <w:r w:rsidR="002D07CF">
        <w:rPr>
          <w:rFonts w:ascii="Bookman Old Style" w:eastAsia="Arial Unicode MS" w:hAnsi="Bookman Old Style" w:cs="Arial Unicode MS"/>
          <w:sz w:val="24"/>
          <w:szCs w:val="24"/>
        </w:rPr>
        <w:t>,</w:t>
      </w:r>
      <w:r w:rsidR="00FF4C50">
        <w:rPr>
          <w:rFonts w:ascii="Bookman Old Style" w:eastAsia="Arial Unicode MS" w:hAnsi="Bookman Old Style" w:cs="Arial Unicode MS"/>
          <w:sz w:val="24"/>
          <w:szCs w:val="24"/>
        </w:rPr>
        <w:t xml:space="preserve"> do not</w:t>
      </w:r>
      <w:r w:rsidR="002D07CF">
        <w:rPr>
          <w:rFonts w:ascii="Bookman Old Style" w:eastAsia="Arial Unicode MS" w:hAnsi="Bookman Old Style" w:cs="Arial Unicode MS"/>
          <w:sz w:val="24"/>
          <w:szCs w:val="24"/>
        </w:rPr>
        <w:t>,</w:t>
      </w:r>
      <w:r w:rsidR="00FF4C50">
        <w:rPr>
          <w:rFonts w:ascii="Bookman Old Style" w:eastAsia="Arial Unicode MS" w:hAnsi="Bookman Old Style" w:cs="Arial Unicode MS"/>
          <w:sz w:val="24"/>
          <w:szCs w:val="24"/>
        </w:rPr>
        <w:t xml:space="preserve"> as a corollary,</w:t>
      </w:r>
      <w:r>
        <w:rPr>
          <w:rFonts w:ascii="Bookman Old Style" w:eastAsia="Arial Unicode MS" w:hAnsi="Bookman Old Style" w:cs="Arial Unicode MS"/>
          <w:sz w:val="24"/>
          <w:szCs w:val="24"/>
        </w:rPr>
        <w:t xml:space="preserve"> qualify to be protected</w:t>
      </w:r>
      <w:r w:rsidR="00FF4C50">
        <w:rPr>
          <w:rFonts w:ascii="Bookman Old Style" w:eastAsia="Arial Unicode MS" w:hAnsi="Bookman Old Style" w:cs="Arial Unicode MS"/>
          <w:sz w:val="24"/>
          <w:szCs w:val="24"/>
        </w:rPr>
        <w:t>, as fair</w:t>
      </w:r>
      <w:r>
        <w:rPr>
          <w:rFonts w:ascii="Bookman Old Style" w:eastAsia="Arial Unicode MS" w:hAnsi="Bookman Old Style" w:cs="Arial Unicode MS"/>
          <w:sz w:val="24"/>
          <w:szCs w:val="24"/>
        </w:rPr>
        <w:t xml:space="preserve"> or honest comments on matters of </w:t>
      </w:r>
      <w:r>
        <w:rPr>
          <w:rFonts w:ascii="Bookman Old Style" w:eastAsia="Arial Unicode MS" w:hAnsi="Bookman Old Style" w:cs="Arial Unicode MS"/>
          <w:sz w:val="24"/>
          <w:szCs w:val="24"/>
        </w:rPr>
        <w:lastRenderedPageBreak/>
        <w:t>public concern.</w:t>
      </w:r>
      <w:r w:rsidR="002D07CF">
        <w:rPr>
          <w:rFonts w:ascii="Bookman Old Style" w:eastAsia="Arial Unicode MS" w:hAnsi="Bookman Old Style" w:cs="Arial Unicode MS"/>
          <w:sz w:val="24"/>
          <w:szCs w:val="24"/>
        </w:rPr>
        <w:t xml:space="preserve"> </w:t>
      </w:r>
      <w:r w:rsidR="001D26FF">
        <w:rPr>
          <w:rFonts w:ascii="Bookman Old Style" w:eastAsia="Arial Unicode MS" w:hAnsi="Bookman Old Style" w:cs="Arial Unicode MS"/>
          <w:sz w:val="24"/>
          <w:szCs w:val="24"/>
        </w:rPr>
        <w:t>The inference to be drawn in the circumstances of this case</w:t>
      </w:r>
      <w:r w:rsidR="00681DE9">
        <w:rPr>
          <w:rFonts w:ascii="Bookman Old Style" w:eastAsia="Arial Unicode MS" w:hAnsi="Bookman Old Style" w:cs="Arial Unicode MS"/>
          <w:sz w:val="24"/>
          <w:szCs w:val="24"/>
        </w:rPr>
        <w:t>,</w:t>
      </w:r>
      <w:r w:rsidR="001D26FF">
        <w:rPr>
          <w:rFonts w:ascii="Bookman Old Style" w:eastAsia="Arial Unicode MS" w:hAnsi="Bookman Old Style" w:cs="Arial Unicode MS"/>
          <w:sz w:val="24"/>
          <w:szCs w:val="24"/>
        </w:rPr>
        <w:t xml:space="preserve"> is that the defendants, most likely than not</w:t>
      </w:r>
      <w:r w:rsidR="00681DE9">
        <w:rPr>
          <w:rFonts w:ascii="Bookman Old Style" w:eastAsia="Arial Unicode MS" w:hAnsi="Bookman Old Style" w:cs="Arial Unicode MS"/>
          <w:sz w:val="24"/>
          <w:szCs w:val="24"/>
        </w:rPr>
        <w:t>, did not</w:t>
      </w:r>
      <w:r w:rsidR="001D26FF">
        <w:rPr>
          <w:rFonts w:ascii="Bookman Old Style" w:eastAsia="Arial Unicode MS" w:hAnsi="Bookman Old Style" w:cs="Arial Unicode MS"/>
          <w:sz w:val="24"/>
          <w:szCs w:val="24"/>
        </w:rPr>
        <w:t xml:space="preserve"> take steps to verify the information before publishing it. </w:t>
      </w:r>
      <w:r w:rsidR="00681DE9">
        <w:rPr>
          <w:rFonts w:ascii="Bookman Old Style" w:eastAsia="Arial Unicode MS" w:hAnsi="Bookman Old Style" w:cs="Arial Unicode MS"/>
          <w:sz w:val="24"/>
          <w:szCs w:val="24"/>
        </w:rPr>
        <w:t xml:space="preserve">Consequently, </w:t>
      </w:r>
      <w:r w:rsidR="001D26FF">
        <w:rPr>
          <w:rFonts w:ascii="Bookman Old Style" w:eastAsia="Arial Unicode MS" w:hAnsi="Bookman Old Style" w:cs="Arial Unicode MS"/>
          <w:sz w:val="24"/>
          <w:szCs w:val="24"/>
        </w:rPr>
        <w:t xml:space="preserve">the defendants did not </w:t>
      </w:r>
      <w:r w:rsidR="002D07CF">
        <w:rPr>
          <w:rFonts w:ascii="Bookman Old Style" w:eastAsia="Arial Unicode MS" w:hAnsi="Bookman Old Style" w:cs="Arial Unicode MS"/>
          <w:sz w:val="24"/>
          <w:szCs w:val="24"/>
        </w:rPr>
        <w:t xml:space="preserve">in my opinion </w:t>
      </w:r>
      <w:r w:rsidR="001D26FF">
        <w:rPr>
          <w:rFonts w:ascii="Bookman Old Style" w:eastAsia="Arial Unicode MS" w:hAnsi="Bookman Old Style" w:cs="Arial Unicode MS"/>
          <w:sz w:val="24"/>
          <w:szCs w:val="24"/>
        </w:rPr>
        <w:t xml:space="preserve">act </w:t>
      </w:r>
      <w:r w:rsidR="00E345F3">
        <w:rPr>
          <w:rFonts w:ascii="Bookman Old Style" w:eastAsia="Arial Unicode MS" w:hAnsi="Bookman Old Style" w:cs="Arial Unicode MS"/>
          <w:sz w:val="24"/>
          <w:szCs w:val="24"/>
        </w:rPr>
        <w:t xml:space="preserve">fairly </w:t>
      </w:r>
      <w:r w:rsidR="001D26FF">
        <w:rPr>
          <w:rFonts w:ascii="Bookman Old Style" w:eastAsia="Arial Unicode MS" w:hAnsi="Bookman Old Style" w:cs="Arial Unicode MS"/>
          <w:sz w:val="24"/>
          <w:szCs w:val="24"/>
        </w:rPr>
        <w:t>by failing to check the accuracy, and v</w:t>
      </w:r>
      <w:r w:rsidR="00681DE9">
        <w:rPr>
          <w:rFonts w:ascii="Bookman Old Style" w:eastAsia="Arial Unicode MS" w:hAnsi="Bookman Old Style" w:cs="Arial Unicode MS"/>
          <w:sz w:val="24"/>
          <w:szCs w:val="24"/>
        </w:rPr>
        <w:t xml:space="preserve">eracity of the </w:t>
      </w:r>
      <w:r w:rsidR="00E06FD0">
        <w:rPr>
          <w:rFonts w:ascii="Bookman Old Style" w:eastAsia="Arial Unicode MS" w:hAnsi="Bookman Old Style" w:cs="Arial Unicode MS"/>
          <w:sz w:val="24"/>
          <w:szCs w:val="24"/>
        </w:rPr>
        <w:t xml:space="preserve">portions of the </w:t>
      </w:r>
      <w:r w:rsidR="00681DE9">
        <w:rPr>
          <w:rFonts w:ascii="Bookman Old Style" w:eastAsia="Arial Unicode MS" w:hAnsi="Bookman Old Style" w:cs="Arial Unicode MS"/>
          <w:sz w:val="24"/>
          <w:szCs w:val="24"/>
        </w:rPr>
        <w:t>impugned statement</w:t>
      </w:r>
      <w:r w:rsidR="001D26FF">
        <w:rPr>
          <w:rFonts w:ascii="Bookman Old Style" w:eastAsia="Arial Unicode MS" w:hAnsi="Bookman Old Style" w:cs="Arial Unicode MS"/>
          <w:sz w:val="24"/>
          <w:szCs w:val="24"/>
        </w:rPr>
        <w:t>. Yet accuracy, and objectivity are perhaps the two most important ethical principles that journalists should always strive to live by</w:t>
      </w:r>
      <w:r w:rsidR="005F66CE">
        <w:rPr>
          <w:rFonts w:ascii="Bookman Old Style" w:eastAsia="Arial Unicode MS" w:hAnsi="Bookman Old Style" w:cs="Arial Unicode MS"/>
          <w:sz w:val="24"/>
          <w:szCs w:val="24"/>
        </w:rPr>
        <w:t>;</w:t>
      </w:r>
      <w:r w:rsidR="001D26FF">
        <w:rPr>
          <w:rFonts w:ascii="Bookman Old Style" w:eastAsia="Arial Unicode MS" w:hAnsi="Bookman Old Style" w:cs="Arial Unicode MS"/>
          <w:sz w:val="24"/>
          <w:szCs w:val="24"/>
        </w:rPr>
        <w:t xml:space="preserve"> in their calling. I must state at o</w:t>
      </w:r>
      <w:r w:rsidR="002D07CF">
        <w:rPr>
          <w:rFonts w:ascii="Bookman Old Style" w:eastAsia="Arial Unicode MS" w:hAnsi="Bookman Old Style" w:cs="Arial Unicode MS"/>
          <w:sz w:val="24"/>
          <w:szCs w:val="24"/>
        </w:rPr>
        <w:t>nce that it is not in the interest o</w:t>
      </w:r>
      <w:r w:rsidR="005F66CE">
        <w:rPr>
          <w:rFonts w:ascii="Bookman Old Style" w:eastAsia="Arial Unicode MS" w:hAnsi="Bookman Old Style" w:cs="Arial Unicode MS"/>
          <w:sz w:val="24"/>
          <w:szCs w:val="24"/>
        </w:rPr>
        <w:t>f</w:t>
      </w:r>
      <w:r w:rsidR="002D07CF">
        <w:rPr>
          <w:rFonts w:ascii="Bookman Old Style" w:eastAsia="Arial Unicode MS" w:hAnsi="Bookman Old Style" w:cs="Arial Unicode MS"/>
          <w:sz w:val="24"/>
          <w:szCs w:val="24"/>
        </w:rPr>
        <w:t xml:space="preserve"> freedom of expression, or </w:t>
      </w:r>
      <w:r w:rsidR="00676DDD">
        <w:rPr>
          <w:rFonts w:ascii="Bookman Old Style" w:eastAsia="Arial Unicode MS" w:hAnsi="Bookman Old Style" w:cs="Arial Unicode MS"/>
          <w:sz w:val="24"/>
          <w:szCs w:val="24"/>
        </w:rPr>
        <w:t xml:space="preserve">indeed </w:t>
      </w:r>
      <w:r w:rsidR="002D07CF">
        <w:rPr>
          <w:rFonts w:ascii="Bookman Old Style" w:eastAsia="Arial Unicode MS" w:hAnsi="Bookman Old Style" w:cs="Arial Unicode MS"/>
          <w:sz w:val="24"/>
          <w:szCs w:val="24"/>
        </w:rPr>
        <w:t xml:space="preserve">press freedom </w:t>
      </w:r>
      <w:r w:rsidR="001D26FF">
        <w:rPr>
          <w:rFonts w:ascii="Bookman Old Style" w:eastAsia="Arial Unicode MS" w:hAnsi="Bookman Old Style" w:cs="Arial Unicode MS"/>
          <w:sz w:val="24"/>
          <w:szCs w:val="24"/>
        </w:rPr>
        <w:t>to publish false, and damaging material free from responsibility at all in relation to the accuracy, and veracity of what is published</w:t>
      </w:r>
      <w:r w:rsidR="00D05181">
        <w:rPr>
          <w:rFonts w:ascii="Bookman Old Style" w:eastAsia="Arial Unicode MS" w:hAnsi="Bookman Old Style" w:cs="Arial Unicode MS"/>
          <w:sz w:val="24"/>
          <w:szCs w:val="24"/>
        </w:rPr>
        <w:t>.</w:t>
      </w:r>
    </w:p>
    <w:p w:rsidR="008E77CC" w:rsidRDefault="00D05181" w:rsidP="00947F4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 Third, it is equally instruct</w:t>
      </w:r>
      <w:r w:rsidR="00681DE9">
        <w:rPr>
          <w:rFonts w:ascii="Bookman Old Style" w:eastAsia="Arial Unicode MS" w:hAnsi="Bookman Old Style" w:cs="Arial Unicode MS"/>
          <w:sz w:val="24"/>
          <w:szCs w:val="24"/>
        </w:rPr>
        <w:t>ive to note that the statement</w:t>
      </w:r>
      <w:r>
        <w:rPr>
          <w:rFonts w:ascii="Bookman Old Style" w:eastAsia="Arial Unicode MS" w:hAnsi="Bookman Old Style" w:cs="Arial Unicode MS"/>
          <w:sz w:val="24"/>
          <w:szCs w:val="24"/>
        </w:rPr>
        <w:t xml:space="preserve"> complained of does not contain the plaintiff’s side of the story so to speak, or indeed proof that efforts were made by the defendants to seek comment from the plaintiff. In my considered view if a journalist has to print or air criticism of someone, </w:t>
      </w:r>
      <w:r w:rsidR="002D07CF">
        <w:rPr>
          <w:rFonts w:ascii="Bookman Old Style" w:eastAsia="Arial Unicode MS" w:hAnsi="Bookman Old Style" w:cs="Arial Unicode MS"/>
          <w:sz w:val="24"/>
          <w:szCs w:val="24"/>
        </w:rPr>
        <w:t xml:space="preserve">the </w:t>
      </w:r>
      <w:r w:rsidR="00681DE9">
        <w:rPr>
          <w:rFonts w:ascii="Bookman Old Style" w:eastAsia="Arial Unicode MS" w:hAnsi="Bookman Old Style" w:cs="Arial Unicode MS"/>
          <w:sz w:val="24"/>
          <w:szCs w:val="24"/>
        </w:rPr>
        <w:t xml:space="preserve">person who is </w:t>
      </w:r>
      <w:r>
        <w:rPr>
          <w:rFonts w:ascii="Bookman Old Style" w:eastAsia="Arial Unicode MS" w:hAnsi="Bookman Old Style" w:cs="Arial Unicode MS"/>
          <w:sz w:val="24"/>
          <w:szCs w:val="24"/>
        </w:rPr>
        <w:t>the subject of the criticism</w:t>
      </w:r>
      <w:r w:rsidR="00681DE9">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should be given the opportunity to respond to the criticism in the same publication, or story. </w:t>
      </w:r>
      <w:r w:rsidR="00681DE9">
        <w:rPr>
          <w:rFonts w:ascii="Bookman Old Style" w:eastAsia="Arial Unicode MS" w:hAnsi="Bookman Old Style" w:cs="Arial Unicode MS"/>
          <w:sz w:val="24"/>
          <w:szCs w:val="24"/>
        </w:rPr>
        <w:t>The opportunity to comment or reply must be given similar weight, and audience.</w:t>
      </w:r>
      <w:r w:rsidR="002D07CF">
        <w:rPr>
          <w:rFonts w:ascii="Bookman Old Style" w:eastAsia="Arial Unicode MS" w:hAnsi="Bookman Old Style" w:cs="Arial Unicode MS"/>
          <w:sz w:val="24"/>
          <w:szCs w:val="24"/>
        </w:rPr>
        <w:t xml:space="preserve"> These short</w:t>
      </w:r>
      <w:r w:rsidR="00670461">
        <w:rPr>
          <w:rFonts w:ascii="Bookman Old Style" w:eastAsia="Arial Unicode MS" w:hAnsi="Bookman Old Style" w:cs="Arial Unicode MS"/>
          <w:sz w:val="24"/>
          <w:szCs w:val="24"/>
        </w:rPr>
        <w:t>comings, and omissions on the part of the defendants are in my opinion fata</w:t>
      </w:r>
      <w:r w:rsidR="008E77CC">
        <w:rPr>
          <w:rFonts w:ascii="Bookman Old Style" w:eastAsia="Arial Unicode MS" w:hAnsi="Bookman Old Style" w:cs="Arial Unicode MS"/>
          <w:sz w:val="24"/>
          <w:szCs w:val="24"/>
        </w:rPr>
        <w:t>l</w:t>
      </w:r>
      <w:r w:rsidR="00670461">
        <w:rPr>
          <w:rFonts w:ascii="Bookman Old Style" w:eastAsia="Arial Unicode MS" w:hAnsi="Bookman Old Style" w:cs="Arial Unicode MS"/>
          <w:sz w:val="24"/>
          <w:szCs w:val="24"/>
        </w:rPr>
        <w:t xml:space="preserve">.  </w:t>
      </w:r>
    </w:p>
    <w:p w:rsidR="00110A64" w:rsidRDefault="008E77CC" w:rsidP="00947F4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In the circumstances, I have no doubt in mind that the </w:t>
      </w:r>
      <w:r w:rsidR="00681DE9">
        <w:rPr>
          <w:rFonts w:ascii="Bookman Old Style" w:eastAsia="Arial Unicode MS" w:hAnsi="Bookman Old Style" w:cs="Arial Unicode MS"/>
          <w:sz w:val="24"/>
          <w:szCs w:val="24"/>
        </w:rPr>
        <w:t xml:space="preserve">statement </w:t>
      </w:r>
      <w:r>
        <w:rPr>
          <w:rFonts w:ascii="Bookman Old Style" w:eastAsia="Arial Unicode MS" w:hAnsi="Bookman Old Style" w:cs="Arial Unicode MS"/>
          <w:sz w:val="24"/>
          <w:szCs w:val="24"/>
        </w:rPr>
        <w:t xml:space="preserve">complained of has fallen short of the standard or </w:t>
      </w:r>
      <w:r w:rsidR="00681DE9">
        <w:rPr>
          <w:rFonts w:ascii="Bookman Old Style" w:eastAsia="Arial Unicode MS" w:hAnsi="Bookman Old Style" w:cs="Arial Unicode MS"/>
          <w:i/>
          <w:sz w:val="24"/>
          <w:szCs w:val="24"/>
        </w:rPr>
        <w:t>“responsible journalism</w:t>
      </w:r>
      <w:r w:rsidRPr="008E77CC">
        <w:rPr>
          <w:rFonts w:ascii="Bookman Old Style" w:eastAsia="Arial Unicode MS" w:hAnsi="Bookman Old Style" w:cs="Arial Unicode MS"/>
          <w:i/>
          <w:sz w:val="24"/>
          <w:szCs w:val="24"/>
        </w:rPr>
        <w:t>.”</w:t>
      </w:r>
      <w:r w:rsidR="002D07CF">
        <w:rPr>
          <w:rFonts w:ascii="Bookman Old Style" w:eastAsia="Arial Unicode MS" w:hAnsi="Bookman Old Style" w:cs="Arial Unicode MS"/>
          <w:sz w:val="24"/>
          <w:szCs w:val="24"/>
        </w:rPr>
        <w:t xml:space="preserve"> The corollary of</w:t>
      </w:r>
      <w:r>
        <w:rPr>
          <w:rFonts w:ascii="Bookman Old Style" w:eastAsia="Arial Unicode MS" w:hAnsi="Bookman Old Style" w:cs="Arial Unicode MS"/>
          <w:sz w:val="24"/>
          <w:szCs w:val="24"/>
        </w:rPr>
        <w:t xml:space="preserve"> this conclusion is that qualified privilege </w:t>
      </w:r>
      <w:r w:rsidR="00681DE9">
        <w:rPr>
          <w:rFonts w:ascii="Bookman Old Style" w:eastAsia="Arial Unicode MS" w:hAnsi="Bookman Old Style" w:cs="Arial Unicode MS"/>
          <w:sz w:val="24"/>
          <w:szCs w:val="24"/>
        </w:rPr>
        <w:t>cannot attach to the statement complained of</w:t>
      </w:r>
      <w:r>
        <w:rPr>
          <w:rFonts w:ascii="Bookman Old Style" w:eastAsia="Arial Unicode MS" w:hAnsi="Bookman Old Style" w:cs="Arial Unicode MS"/>
          <w:sz w:val="24"/>
          <w:szCs w:val="24"/>
        </w:rPr>
        <w:t>. In sum, I am satisfi</w:t>
      </w:r>
      <w:r w:rsidR="002D07CF">
        <w:rPr>
          <w:rFonts w:ascii="Bookman Old Style" w:eastAsia="Arial Unicode MS" w:hAnsi="Bookman Old Style" w:cs="Arial Unicode MS"/>
          <w:sz w:val="24"/>
          <w:szCs w:val="24"/>
        </w:rPr>
        <w:t>ed that all the defences of</w:t>
      </w:r>
      <w:r>
        <w:rPr>
          <w:rFonts w:ascii="Bookman Old Style" w:eastAsia="Arial Unicode MS" w:hAnsi="Bookman Old Style" w:cs="Arial Unicode MS"/>
          <w:sz w:val="24"/>
          <w:szCs w:val="24"/>
        </w:rPr>
        <w:t xml:space="preserve"> </w:t>
      </w:r>
      <w:r w:rsidR="00681DE9">
        <w:rPr>
          <w:rFonts w:ascii="Bookman Old Style" w:eastAsia="Arial Unicode MS" w:hAnsi="Bookman Old Style" w:cs="Arial Unicode MS"/>
          <w:sz w:val="24"/>
          <w:szCs w:val="24"/>
        </w:rPr>
        <w:t>justification</w:t>
      </w:r>
      <w:r w:rsidR="002D07CF">
        <w:rPr>
          <w:rFonts w:ascii="Bookman Old Style" w:eastAsia="Arial Unicode MS" w:hAnsi="Bookman Old Style" w:cs="Arial Unicode MS"/>
          <w:sz w:val="24"/>
          <w:szCs w:val="24"/>
        </w:rPr>
        <w:t>,</w:t>
      </w:r>
      <w:r w:rsidR="00681DE9">
        <w:rPr>
          <w:rFonts w:ascii="Bookman Old Style" w:eastAsia="Arial Unicode MS" w:hAnsi="Bookman Old Style" w:cs="Arial Unicode MS"/>
          <w:sz w:val="24"/>
          <w:szCs w:val="24"/>
        </w:rPr>
        <w:t xml:space="preserve"> </w:t>
      </w:r>
      <w:r w:rsidR="002D07CF">
        <w:rPr>
          <w:rFonts w:ascii="Bookman Old Style" w:eastAsia="Arial Unicode MS" w:hAnsi="Bookman Old Style" w:cs="Arial Unicode MS"/>
          <w:sz w:val="24"/>
          <w:szCs w:val="24"/>
        </w:rPr>
        <w:t xml:space="preserve">fair </w:t>
      </w:r>
      <w:r>
        <w:rPr>
          <w:rFonts w:ascii="Bookman Old Style" w:eastAsia="Arial Unicode MS" w:hAnsi="Bookman Old Style" w:cs="Arial Unicode MS"/>
          <w:sz w:val="24"/>
          <w:szCs w:val="24"/>
        </w:rPr>
        <w:t>comment, and qualified privilege are not likely to succeed at trial.</w:t>
      </w:r>
    </w:p>
    <w:p w:rsidR="00110A64" w:rsidRDefault="00110A64" w:rsidP="00947F4E">
      <w:pPr>
        <w:spacing w:before="240" w:line="360" w:lineRule="auto"/>
        <w:jc w:val="both"/>
        <w:rPr>
          <w:rFonts w:ascii="Bookman Old Style" w:eastAsia="Arial Unicode MS" w:hAnsi="Bookman Old Style" w:cs="Arial Unicode MS"/>
          <w:sz w:val="24"/>
          <w:szCs w:val="24"/>
        </w:rPr>
      </w:pPr>
    </w:p>
    <w:p w:rsidR="00335A1C" w:rsidRDefault="00110A64" w:rsidP="00947F4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 must state that it is a matter of comment, and also grave concern that the 2</w:t>
      </w:r>
      <w:r w:rsidRPr="00110A64">
        <w:rPr>
          <w:rFonts w:ascii="Bookman Old Style" w:eastAsia="Arial Unicode MS" w:hAnsi="Bookman Old Style" w:cs="Arial Unicode MS"/>
          <w:sz w:val="24"/>
          <w:szCs w:val="24"/>
          <w:vertAlign w:val="superscript"/>
        </w:rPr>
        <w:t>nd</w:t>
      </w:r>
      <w:r>
        <w:rPr>
          <w:rFonts w:ascii="Bookman Old Style" w:eastAsia="Arial Unicode MS" w:hAnsi="Bookman Old Style" w:cs="Arial Unicode MS"/>
          <w:sz w:val="24"/>
          <w:szCs w:val="24"/>
        </w:rPr>
        <w:t xml:space="preserve"> defendant; a public broadcaster</w:t>
      </w:r>
      <w:r w:rsidR="002D07CF">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has also fallen short of the standard of </w:t>
      </w:r>
      <w:r w:rsidRPr="00681DE9">
        <w:rPr>
          <w:rFonts w:ascii="Bookman Old Style" w:eastAsia="Arial Unicode MS" w:hAnsi="Bookman Old Style" w:cs="Arial Unicode MS"/>
          <w:i/>
          <w:sz w:val="24"/>
          <w:szCs w:val="24"/>
        </w:rPr>
        <w:t>“responsible journalism.”</w:t>
      </w:r>
      <w:r>
        <w:rPr>
          <w:rFonts w:ascii="Bookman Old Style" w:eastAsia="Arial Unicode MS" w:hAnsi="Bookman Old Style" w:cs="Arial Unicode MS"/>
          <w:sz w:val="24"/>
          <w:szCs w:val="24"/>
        </w:rPr>
        <w:t xml:space="preserve"> Yet in</w:t>
      </w:r>
      <w:r w:rsidR="00681DE9">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t</w:t>
      </w:r>
      <w:r w:rsidR="00681DE9">
        <w:rPr>
          <w:rFonts w:ascii="Bookman Old Style" w:eastAsia="Arial Unicode MS" w:hAnsi="Bookman Old Style" w:cs="Arial Unicode MS"/>
          <w:sz w:val="24"/>
          <w:szCs w:val="24"/>
        </w:rPr>
        <w:t>er</w:t>
      </w:r>
      <w:r>
        <w:rPr>
          <w:rFonts w:ascii="Bookman Old Style" w:eastAsia="Arial Unicode MS" w:hAnsi="Bookman Old Style" w:cs="Arial Unicode MS"/>
          <w:sz w:val="24"/>
          <w:szCs w:val="24"/>
        </w:rPr>
        <w:t xml:space="preserve">ms of the Zambia National Broadcasting </w:t>
      </w:r>
      <w:r>
        <w:rPr>
          <w:rFonts w:ascii="Bookman Old Style" w:eastAsia="Arial Unicode MS" w:hAnsi="Bookman Old Style" w:cs="Arial Unicode MS"/>
          <w:sz w:val="24"/>
          <w:szCs w:val="24"/>
        </w:rPr>
        <w:lastRenderedPageBreak/>
        <w:t>Corporation Act,</w:t>
      </w:r>
      <w:r w:rsidR="0046662B">
        <w:rPr>
          <w:rStyle w:val="FootnoteReference"/>
          <w:rFonts w:ascii="Bookman Old Style" w:eastAsia="Arial Unicode MS" w:hAnsi="Bookman Old Style" w:cs="Arial Unicode MS"/>
          <w:sz w:val="24"/>
          <w:szCs w:val="24"/>
        </w:rPr>
        <w:footnoteReference w:id="160"/>
      </w:r>
      <w:r>
        <w:rPr>
          <w:rFonts w:ascii="Bookman Old Style" w:eastAsia="Arial Unicode MS" w:hAnsi="Bookman Old Style" w:cs="Arial Unicode MS"/>
          <w:sz w:val="24"/>
          <w:szCs w:val="24"/>
        </w:rPr>
        <w:t xml:space="preserve"> the 2</w:t>
      </w:r>
      <w:r w:rsidRPr="00110A64">
        <w:rPr>
          <w:rFonts w:ascii="Bookman Old Style" w:eastAsia="Arial Unicode MS" w:hAnsi="Bookman Old Style" w:cs="Arial Unicode MS"/>
          <w:sz w:val="24"/>
          <w:szCs w:val="24"/>
          <w:vertAlign w:val="superscript"/>
        </w:rPr>
        <w:t>nd</w:t>
      </w:r>
      <w:r w:rsidR="00681DE9">
        <w:rPr>
          <w:rFonts w:ascii="Bookman Old Style" w:eastAsia="Arial Unicode MS" w:hAnsi="Bookman Old Style" w:cs="Arial Unicode MS"/>
          <w:sz w:val="24"/>
          <w:szCs w:val="24"/>
        </w:rPr>
        <w:t xml:space="preserve"> defendant is expected </w:t>
      </w:r>
      <w:r>
        <w:rPr>
          <w:rFonts w:ascii="Bookman Old Style" w:eastAsia="Arial Unicode MS" w:hAnsi="Bookman Old Style" w:cs="Arial Unicode MS"/>
          <w:sz w:val="24"/>
          <w:szCs w:val="24"/>
        </w:rPr>
        <w:t>t</w:t>
      </w:r>
      <w:r w:rsidR="00681DE9">
        <w:rPr>
          <w:rFonts w:ascii="Bookman Old Style" w:eastAsia="Arial Unicode MS" w:hAnsi="Bookman Old Style" w:cs="Arial Unicode MS"/>
          <w:sz w:val="24"/>
          <w:szCs w:val="24"/>
        </w:rPr>
        <w:t>o</w:t>
      </w:r>
      <w:r>
        <w:rPr>
          <w:rFonts w:ascii="Bookman Old Style" w:eastAsia="Arial Unicode MS" w:hAnsi="Bookman Old Style" w:cs="Arial Unicode MS"/>
          <w:sz w:val="24"/>
          <w:szCs w:val="24"/>
        </w:rPr>
        <w:t xml:space="preserve"> respect human dignity, serve the public interest, broadcast comprehensive, unbiased, independent current affairs programmes, and above all, meet high professional quality standards. </w:t>
      </w:r>
    </w:p>
    <w:p w:rsidR="00335A1C" w:rsidRDefault="00335A1C" w:rsidP="00947F4E">
      <w:pPr>
        <w:spacing w:before="240" w:line="360" w:lineRule="auto"/>
        <w:jc w:val="both"/>
        <w:rPr>
          <w:rFonts w:ascii="Bookman Old Style" w:eastAsia="Arial Unicode MS" w:hAnsi="Bookman Old Style" w:cs="Arial Unicode MS"/>
          <w:sz w:val="24"/>
          <w:szCs w:val="24"/>
        </w:rPr>
      </w:pPr>
    </w:p>
    <w:p w:rsidR="00947F4E" w:rsidRDefault="00335A1C" w:rsidP="00947F4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 must also mention in passing that there is on the statute books the Independent Broadcasting </w:t>
      </w:r>
      <w:r w:rsidR="00676DDD">
        <w:rPr>
          <w:rFonts w:ascii="Bookman Old Style" w:eastAsia="Arial Unicode MS" w:hAnsi="Bookman Old Style" w:cs="Arial Unicode MS"/>
          <w:sz w:val="24"/>
          <w:szCs w:val="24"/>
        </w:rPr>
        <w:t xml:space="preserve">Authority </w:t>
      </w:r>
      <w:r>
        <w:rPr>
          <w:rFonts w:ascii="Bookman Old Style" w:eastAsia="Arial Unicode MS" w:hAnsi="Bookman Old Style" w:cs="Arial Unicode MS"/>
          <w:sz w:val="24"/>
          <w:szCs w:val="24"/>
        </w:rPr>
        <w:t>Act.</w:t>
      </w:r>
      <w:r w:rsidR="00DA4E27">
        <w:rPr>
          <w:rStyle w:val="FootnoteReference"/>
          <w:rFonts w:ascii="Bookman Old Style" w:eastAsia="Arial Unicode MS" w:hAnsi="Bookman Old Style" w:cs="Arial Unicode MS"/>
          <w:sz w:val="24"/>
          <w:szCs w:val="24"/>
        </w:rPr>
        <w:footnoteReference w:id="161"/>
      </w:r>
      <w:r w:rsidR="00DA4E27">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One of the primary objectives of the Act is to establish the Independent Broadcasting Authority (IBA)</w:t>
      </w:r>
      <w:r w:rsidR="00676DDD">
        <w:rPr>
          <w:rFonts w:ascii="Bookman Old Style" w:eastAsia="Arial Unicode MS" w:hAnsi="Bookman Old Style" w:cs="Arial Unicode MS"/>
          <w:sz w:val="24"/>
          <w:szCs w:val="24"/>
        </w:rPr>
        <w:t xml:space="preserve"> itself</w:t>
      </w:r>
      <w:r>
        <w:rPr>
          <w:rFonts w:ascii="Bookman Old Style" w:eastAsia="Arial Unicode MS" w:hAnsi="Bookman Old Style" w:cs="Arial Unicode MS"/>
          <w:sz w:val="24"/>
          <w:szCs w:val="24"/>
        </w:rPr>
        <w:t>. Amongst the functions of the IBA are to oblige broadcasters to develop codes of practice and monitor compliance with those codes;</w:t>
      </w:r>
      <w:r w:rsidR="00D54BB9">
        <w:rPr>
          <w:rStyle w:val="FootnoteReference"/>
          <w:rFonts w:ascii="Bookman Old Style" w:eastAsia="Arial Unicode MS" w:hAnsi="Bookman Old Style" w:cs="Arial Unicode MS"/>
          <w:sz w:val="24"/>
          <w:szCs w:val="24"/>
        </w:rPr>
        <w:footnoteReference w:id="162"/>
      </w:r>
      <w:r>
        <w:rPr>
          <w:rFonts w:ascii="Bookman Old Style" w:eastAsia="Arial Unicode MS" w:hAnsi="Bookman Old Style" w:cs="Arial Unicode MS"/>
          <w:sz w:val="24"/>
          <w:szCs w:val="24"/>
        </w:rPr>
        <w:t xml:space="preserve"> to develop programme standards relating to broadcasting in Zambia, and monitor, and enforce compliance with those standard</w:t>
      </w:r>
      <w:r w:rsidR="00676DDD">
        <w:rPr>
          <w:rFonts w:ascii="Bookman Old Style" w:eastAsia="Arial Unicode MS" w:hAnsi="Bookman Old Style" w:cs="Arial Unicode MS"/>
          <w:sz w:val="24"/>
          <w:szCs w:val="24"/>
        </w:rPr>
        <w:t>s</w:t>
      </w:r>
      <w:r>
        <w:rPr>
          <w:rFonts w:ascii="Bookman Old Style" w:eastAsia="Arial Unicode MS" w:hAnsi="Bookman Old Style" w:cs="Arial Unicode MS"/>
          <w:sz w:val="24"/>
          <w:szCs w:val="24"/>
        </w:rPr>
        <w:t>;</w:t>
      </w:r>
      <w:r>
        <w:rPr>
          <w:rStyle w:val="FootnoteReference"/>
          <w:rFonts w:ascii="Bookman Old Style" w:eastAsia="Arial Unicode MS" w:hAnsi="Bookman Old Style" w:cs="Arial Unicode MS"/>
          <w:sz w:val="24"/>
          <w:szCs w:val="24"/>
        </w:rPr>
        <w:footnoteReference w:id="163"/>
      </w:r>
      <w:r w:rsidR="008E77CC">
        <w:rPr>
          <w:rFonts w:ascii="Bookman Old Style" w:eastAsia="Arial Unicode MS" w:hAnsi="Bookman Old Style" w:cs="Arial Unicode MS"/>
          <w:sz w:val="24"/>
          <w:szCs w:val="24"/>
        </w:rPr>
        <w:t xml:space="preserve"> </w:t>
      </w:r>
      <w:r w:rsidR="00D05EC6">
        <w:rPr>
          <w:rFonts w:ascii="Bookman Old Style" w:eastAsia="Arial Unicode MS" w:hAnsi="Bookman Old Style" w:cs="Arial Unicode MS"/>
          <w:sz w:val="24"/>
          <w:szCs w:val="24"/>
        </w:rPr>
        <w:t>to receive investigate and decide complaints concerning</w:t>
      </w:r>
      <w:r w:rsidR="00676DDD">
        <w:rPr>
          <w:rFonts w:ascii="Bookman Old Style" w:eastAsia="Arial Unicode MS" w:hAnsi="Bookman Old Style" w:cs="Arial Unicode MS"/>
          <w:sz w:val="24"/>
          <w:szCs w:val="24"/>
        </w:rPr>
        <w:t xml:space="preserve"> broadcasting</w:t>
      </w:r>
      <w:r w:rsidR="00D05EC6">
        <w:rPr>
          <w:rFonts w:ascii="Bookman Old Style" w:eastAsia="Arial Unicode MS" w:hAnsi="Bookman Old Style" w:cs="Arial Unicode MS"/>
          <w:sz w:val="24"/>
          <w:szCs w:val="24"/>
        </w:rPr>
        <w:t xml:space="preserve"> services;</w:t>
      </w:r>
      <w:r w:rsidR="00D05EC6">
        <w:rPr>
          <w:rStyle w:val="FootnoteReference"/>
          <w:rFonts w:ascii="Bookman Old Style" w:eastAsia="Arial Unicode MS" w:hAnsi="Bookman Old Style" w:cs="Arial Unicode MS"/>
          <w:sz w:val="24"/>
          <w:szCs w:val="24"/>
        </w:rPr>
        <w:footnoteReference w:id="164"/>
      </w:r>
      <w:r w:rsidR="008E77CC">
        <w:rPr>
          <w:rFonts w:ascii="Bookman Old Style" w:eastAsia="Arial Unicode MS" w:hAnsi="Bookman Old Style" w:cs="Arial Unicode MS"/>
          <w:sz w:val="24"/>
          <w:szCs w:val="24"/>
        </w:rPr>
        <w:t xml:space="preserve"> </w:t>
      </w:r>
      <w:r w:rsidR="00D05EC6">
        <w:rPr>
          <w:rFonts w:ascii="Bookman Old Style" w:eastAsia="Arial Unicode MS" w:hAnsi="Bookman Old Style" w:cs="Arial Unicode MS"/>
          <w:sz w:val="24"/>
          <w:szCs w:val="24"/>
        </w:rPr>
        <w:t xml:space="preserve">and to issue to any or all broadcasters, advisory opinions relating to broadcasting standards, </w:t>
      </w:r>
      <w:r w:rsidR="00676DDD">
        <w:rPr>
          <w:rFonts w:ascii="Bookman Old Style" w:eastAsia="Arial Unicode MS" w:hAnsi="Bookman Old Style" w:cs="Arial Unicode MS"/>
          <w:sz w:val="24"/>
          <w:szCs w:val="24"/>
        </w:rPr>
        <w:t xml:space="preserve">and </w:t>
      </w:r>
      <w:r w:rsidR="00D05EC6">
        <w:rPr>
          <w:rFonts w:ascii="Bookman Old Style" w:eastAsia="Arial Unicode MS" w:hAnsi="Bookman Old Style" w:cs="Arial Unicode MS"/>
          <w:sz w:val="24"/>
          <w:szCs w:val="24"/>
        </w:rPr>
        <w:t>ethical conduct in broadcasting.</w:t>
      </w:r>
      <w:r w:rsidR="00D05EC6">
        <w:rPr>
          <w:rStyle w:val="FootnoteReference"/>
          <w:rFonts w:ascii="Bookman Old Style" w:eastAsia="Arial Unicode MS" w:hAnsi="Bookman Old Style" w:cs="Arial Unicode MS"/>
          <w:sz w:val="24"/>
          <w:szCs w:val="24"/>
        </w:rPr>
        <w:footnoteReference w:id="165"/>
      </w:r>
      <w:r w:rsidR="001D26FF">
        <w:rPr>
          <w:rFonts w:ascii="Bookman Old Style" w:eastAsia="Arial Unicode MS" w:hAnsi="Bookman Old Style" w:cs="Arial Unicode MS"/>
          <w:sz w:val="24"/>
          <w:szCs w:val="24"/>
        </w:rPr>
        <w:t xml:space="preserve"> </w:t>
      </w:r>
      <w:r w:rsidR="006A0144">
        <w:rPr>
          <w:rFonts w:ascii="Bookman Old Style" w:eastAsia="Arial Unicode MS" w:hAnsi="Bookman Old Style" w:cs="Arial Unicode MS"/>
          <w:sz w:val="24"/>
          <w:szCs w:val="24"/>
        </w:rPr>
        <w:t xml:space="preserve">There is no doubt that the standard of </w:t>
      </w:r>
      <w:r w:rsidR="00676DDD" w:rsidRPr="005F66CE">
        <w:rPr>
          <w:rFonts w:ascii="Bookman Old Style" w:eastAsia="Arial Unicode MS" w:hAnsi="Bookman Old Style" w:cs="Arial Unicode MS"/>
          <w:i/>
          <w:sz w:val="24"/>
          <w:szCs w:val="24"/>
        </w:rPr>
        <w:t>“</w:t>
      </w:r>
      <w:r w:rsidR="006A0144" w:rsidRPr="005F66CE">
        <w:rPr>
          <w:rFonts w:ascii="Bookman Old Style" w:eastAsia="Arial Unicode MS" w:hAnsi="Bookman Old Style" w:cs="Arial Unicode MS"/>
          <w:i/>
          <w:sz w:val="24"/>
          <w:szCs w:val="24"/>
        </w:rPr>
        <w:t>responsible journalism</w:t>
      </w:r>
      <w:r w:rsidR="00676DDD">
        <w:rPr>
          <w:rFonts w:ascii="Bookman Old Style" w:eastAsia="Arial Unicode MS" w:hAnsi="Bookman Old Style" w:cs="Arial Unicode MS"/>
          <w:sz w:val="24"/>
          <w:szCs w:val="24"/>
        </w:rPr>
        <w:t>”</w:t>
      </w:r>
      <w:r w:rsidR="006A0144">
        <w:rPr>
          <w:rFonts w:ascii="Bookman Old Style" w:eastAsia="Arial Unicode MS" w:hAnsi="Bookman Old Style" w:cs="Arial Unicode MS"/>
          <w:sz w:val="24"/>
          <w:szCs w:val="24"/>
        </w:rPr>
        <w:t xml:space="preserve"> is made more specific </w:t>
      </w:r>
      <w:r w:rsidR="00676DDD">
        <w:rPr>
          <w:rFonts w:ascii="Bookman Old Style" w:eastAsia="Arial Unicode MS" w:hAnsi="Bookman Old Style" w:cs="Arial Unicode MS"/>
          <w:sz w:val="24"/>
          <w:szCs w:val="24"/>
        </w:rPr>
        <w:t xml:space="preserve">where a </w:t>
      </w:r>
      <w:r w:rsidR="006A0144">
        <w:rPr>
          <w:rFonts w:ascii="Bookman Old Style" w:eastAsia="Arial Unicode MS" w:hAnsi="Bookman Old Style" w:cs="Arial Unicode MS"/>
          <w:sz w:val="24"/>
          <w:szCs w:val="24"/>
        </w:rPr>
        <w:t xml:space="preserve">code of practice </w:t>
      </w:r>
      <w:r w:rsidR="00676DDD">
        <w:rPr>
          <w:rFonts w:ascii="Bookman Old Style" w:eastAsia="Arial Unicode MS" w:hAnsi="Bookman Old Style" w:cs="Arial Unicode MS"/>
          <w:sz w:val="24"/>
          <w:szCs w:val="24"/>
        </w:rPr>
        <w:t>is adopted by broadcasters</w:t>
      </w:r>
      <w:r w:rsidR="006A0144">
        <w:rPr>
          <w:rFonts w:ascii="Bookman Old Style" w:eastAsia="Arial Unicode MS" w:hAnsi="Bookman Old Style" w:cs="Arial Unicode MS"/>
          <w:sz w:val="24"/>
          <w:szCs w:val="24"/>
        </w:rPr>
        <w:t xml:space="preserve">. </w:t>
      </w:r>
      <w:r w:rsidR="005F66CE">
        <w:rPr>
          <w:rFonts w:ascii="Bookman Old Style" w:eastAsia="Arial Unicode MS" w:hAnsi="Bookman Old Style" w:cs="Arial Unicode MS"/>
          <w:sz w:val="24"/>
          <w:szCs w:val="24"/>
        </w:rPr>
        <w:t>A</w:t>
      </w:r>
      <w:r w:rsidR="006A0144">
        <w:rPr>
          <w:rFonts w:ascii="Bookman Old Style" w:eastAsia="Arial Unicode MS" w:hAnsi="Bookman Old Style" w:cs="Arial Unicode MS"/>
          <w:sz w:val="24"/>
          <w:szCs w:val="24"/>
        </w:rPr>
        <w:t>lthough the IBA</w:t>
      </w:r>
      <w:r w:rsidR="00676DDD">
        <w:rPr>
          <w:rFonts w:ascii="Bookman Old Style" w:eastAsia="Arial Unicode MS" w:hAnsi="Bookman Old Style" w:cs="Arial Unicode MS"/>
          <w:sz w:val="24"/>
          <w:szCs w:val="24"/>
        </w:rPr>
        <w:t xml:space="preserve"> Act</w:t>
      </w:r>
      <w:r w:rsidR="006A0144">
        <w:rPr>
          <w:rFonts w:ascii="Bookman Old Style" w:eastAsia="Arial Unicode MS" w:hAnsi="Bookman Old Style" w:cs="Arial Unicode MS"/>
          <w:sz w:val="24"/>
          <w:szCs w:val="24"/>
        </w:rPr>
        <w:t xml:space="preserve"> was enacted on 31</w:t>
      </w:r>
      <w:r w:rsidR="006A0144" w:rsidRPr="006A0144">
        <w:rPr>
          <w:rFonts w:ascii="Bookman Old Style" w:eastAsia="Arial Unicode MS" w:hAnsi="Bookman Old Style" w:cs="Arial Unicode MS"/>
          <w:sz w:val="24"/>
          <w:szCs w:val="24"/>
          <w:vertAlign w:val="superscript"/>
        </w:rPr>
        <w:t>st</w:t>
      </w:r>
      <w:r w:rsidR="006A0144">
        <w:rPr>
          <w:rFonts w:ascii="Bookman Old Style" w:eastAsia="Arial Unicode MS" w:hAnsi="Bookman Old Style" w:cs="Arial Unicode MS"/>
          <w:sz w:val="24"/>
          <w:szCs w:val="24"/>
        </w:rPr>
        <w:t xml:space="preserve"> December, 2002, it has not yet been fully implemented, or operationalised. </w:t>
      </w:r>
      <w:r w:rsidR="005F66CE">
        <w:rPr>
          <w:rFonts w:ascii="Bookman Old Style" w:eastAsia="Arial Unicode MS" w:hAnsi="Bookman Old Style" w:cs="Arial Unicode MS"/>
          <w:sz w:val="24"/>
          <w:szCs w:val="24"/>
        </w:rPr>
        <w:t xml:space="preserve">However, </w:t>
      </w:r>
      <w:r w:rsidR="006A0144">
        <w:rPr>
          <w:rFonts w:ascii="Bookman Old Style" w:eastAsia="Arial Unicode MS" w:hAnsi="Bookman Old Style" w:cs="Arial Unicode MS"/>
          <w:sz w:val="24"/>
          <w:szCs w:val="24"/>
        </w:rPr>
        <w:t>even in the absence of a specific code of practice</w:t>
      </w:r>
      <w:r w:rsidR="00C41E2C">
        <w:rPr>
          <w:rFonts w:ascii="Bookman Old Style" w:eastAsia="Arial Unicode MS" w:hAnsi="Bookman Old Style" w:cs="Arial Unicode MS"/>
          <w:sz w:val="24"/>
          <w:szCs w:val="24"/>
        </w:rPr>
        <w:t>,</w:t>
      </w:r>
      <w:r w:rsidR="006A0144">
        <w:rPr>
          <w:rFonts w:ascii="Bookman Old Style" w:eastAsia="Arial Unicode MS" w:hAnsi="Bookman Old Style" w:cs="Arial Unicode MS"/>
          <w:sz w:val="24"/>
          <w:szCs w:val="24"/>
        </w:rPr>
        <w:t xml:space="preserve"> the </w:t>
      </w:r>
      <w:r w:rsidR="00522312">
        <w:rPr>
          <w:rFonts w:ascii="Bookman Old Style" w:eastAsia="Arial Unicode MS" w:hAnsi="Bookman Old Style" w:cs="Arial Unicode MS"/>
          <w:sz w:val="24"/>
          <w:szCs w:val="24"/>
        </w:rPr>
        <w:t>Electoral Code of Conduct</w:t>
      </w:r>
      <w:r w:rsidR="006A0144">
        <w:rPr>
          <w:rStyle w:val="FootnoteReference"/>
          <w:rFonts w:ascii="Bookman Old Style" w:eastAsia="Arial Unicode MS" w:hAnsi="Bookman Old Style" w:cs="Arial Unicode MS"/>
          <w:sz w:val="24"/>
          <w:szCs w:val="24"/>
        </w:rPr>
        <w:footnoteReference w:id="166"/>
      </w:r>
      <w:r w:rsidR="006A0144">
        <w:rPr>
          <w:rFonts w:ascii="Bookman Old Style" w:eastAsia="Arial Unicode MS" w:hAnsi="Bookman Old Style" w:cs="Arial Unicode MS"/>
          <w:sz w:val="24"/>
          <w:szCs w:val="24"/>
        </w:rPr>
        <w:t xml:space="preserve"> </w:t>
      </w:r>
      <w:r w:rsidR="00E345F3">
        <w:rPr>
          <w:rFonts w:ascii="Bookman Old Style" w:hAnsi="Bookman Old Style"/>
          <w:sz w:val="24"/>
          <w:szCs w:val="24"/>
          <w:lang w:val="en-US"/>
        </w:rPr>
        <w:t>pro</w:t>
      </w:r>
      <w:r w:rsidR="00C53CB2" w:rsidRPr="00E345F3">
        <w:rPr>
          <w:rFonts w:ascii="Bookman Old Style" w:hAnsi="Bookman Old Style"/>
          <w:sz w:val="24"/>
          <w:szCs w:val="24"/>
          <w:lang w:val="en-US"/>
        </w:rPr>
        <w:t>vides that all print and electronic media shall abide by regional Code of Conduct in the coverage of elections provided that such guidelin</w:t>
      </w:r>
      <w:r w:rsidR="0046662B">
        <w:rPr>
          <w:rFonts w:ascii="Bookman Old Style" w:hAnsi="Bookman Old Style"/>
          <w:sz w:val="24"/>
          <w:szCs w:val="24"/>
          <w:lang w:val="en-US"/>
        </w:rPr>
        <w:t>es are not in conflict with the</w:t>
      </w:r>
      <w:r w:rsidR="002144AE">
        <w:rPr>
          <w:rFonts w:ascii="Bookman Old Style" w:hAnsi="Bookman Old Style"/>
          <w:sz w:val="24"/>
          <w:szCs w:val="24"/>
          <w:lang w:val="en-US"/>
        </w:rPr>
        <w:t xml:space="preserve"> C</w:t>
      </w:r>
      <w:r w:rsidR="00C53CB2" w:rsidRPr="00E345F3">
        <w:rPr>
          <w:rFonts w:ascii="Bookman Old Style" w:hAnsi="Bookman Old Style"/>
          <w:sz w:val="24"/>
          <w:szCs w:val="24"/>
          <w:lang w:val="en-US"/>
        </w:rPr>
        <w:t>ode</w:t>
      </w:r>
      <w:r w:rsidR="002144AE">
        <w:rPr>
          <w:rFonts w:ascii="Bookman Old Style" w:hAnsi="Bookman Old Style"/>
          <w:sz w:val="24"/>
          <w:szCs w:val="24"/>
          <w:lang w:val="en-US"/>
        </w:rPr>
        <w:t xml:space="preserve">. The Guidelines, and principles for SADC Broadcasters on covering elections </w:t>
      </w:r>
      <w:r w:rsidR="003F5688">
        <w:rPr>
          <w:rFonts w:ascii="Bookman Old Style" w:hAnsi="Bookman Old Style"/>
          <w:sz w:val="24"/>
          <w:szCs w:val="24"/>
          <w:lang w:val="en-US"/>
        </w:rPr>
        <w:t xml:space="preserve">provides </w:t>
      </w:r>
      <w:r w:rsidR="003F5688" w:rsidRPr="00522312">
        <w:rPr>
          <w:rFonts w:ascii="Bookman Old Style" w:hAnsi="Bookman Old Style"/>
          <w:i/>
          <w:sz w:val="24"/>
          <w:szCs w:val="24"/>
          <w:lang w:val="en-US"/>
        </w:rPr>
        <w:t>inter alia</w:t>
      </w:r>
      <w:r w:rsidR="002144AE">
        <w:rPr>
          <w:rFonts w:ascii="Bookman Old Style" w:hAnsi="Bookman Old Style"/>
          <w:i/>
          <w:sz w:val="24"/>
          <w:szCs w:val="24"/>
          <w:lang w:val="en-US"/>
        </w:rPr>
        <w:t>,</w:t>
      </w:r>
      <w:r w:rsidR="003F5688">
        <w:rPr>
          <w:rFonts w:ascii="Bookman Old Style" w:hAnsi="Bookman Old Style"/>
          <w:sz w:val="24"/>
          <w:szCs w:val="24"/>
          <w:lang w:val="en-US"/>
        </w:rPr>
        <w:t xml:space="preserve"> that</w:t>
      </w:r>
      <w:r w:rsidR="00C41E2C">
        <w:rPr>
          <w:rFonts w:ascii="Bookman Old Style" w:hAnsi="Bookman Old Style"/>
          <w:sz w:val="24"/>
          <w:szCs w:val="24"/>
          <w:lang w:val="en-US"/>
        </w:rPr>
        <w:t>:</w:t>
      </w:r>
      <w:r w:rsidR="003F5688">
        <w:rPr>
          <w:rFonts w:ascii="Bookman Old Style" w:hAnsi="Bookman Old Style"/>
          <w:sz w:val="24"/>
          <w:szCs w:val="24"/>
          <w:lang w:val="en-US"/>
        </w:rPr>
        <w:t xml:space="preserve"> broadcasting journalist</w:t>
      </w:r>
      <w:r w:rsidR="002144AE">
        <w:rPr>
          <w:rFonts w:ascii="Bookman Old Style" w:hAnsi="Bookman Old Style"/>
          <w:sz w:val="24"/>
          <w:szCs w:val="24"/>
          <w:lang w:val="en-US"/>
        </w:rPr>
        <w:t>s</w:t>
      </w:r>
      <w:r w:rsidR="003F5688">
        <w:rPr>
          <w:rFonts w:ascii="Bookman Old Style" w:hAnsi="Bookman Old Style"/>
          <w:sz w:val="24"/>
          <w:szCs w:val="24"/>
          <w:lang w:val="en-US"/>
        </w:rPr>
        <w:t xml:space="preserve"> should avoid publis</w:t>
      </w:r>
      <w:r w:rsidR="00775E86">
        <w:rPr>
          <w:rFonts w:ascii="Bookman Old Style" w:hAnsi="Bookman Old Style"/>
          <w:sz w:val="24"/>
          <w:szCs w:val="24"/>
          <w:lang w:val="en-US"/>
        </w:rPr>
        <w:t xml:space="preserve">hing lopsided programmes; ensure that the public is supplied with </w:t>
      </w:r>
      <w:r w:rsidR="00775E86">
        <w:rPr>
          <w:rFonts w:ascii="Bookman Old Style" w:hAnsi="Bookman Old Style"/>
          <w:sz w:val="24"/>
          <w:szCs w:val="24"/>
          <w:lang w:val="en-US"/>
        </w:rPr>
        <w:lastRenderedPageBreak/>
        <w:t>accurate, fair</w:t>
      </w:r>
      <w:r w:rsidR="00522312">
        <w:rPr>
          <w:rFonts w:ascii="Bookman Old Style" w:hAnsi="Bookman Old Style"/>
          <w:sz w:val="24"/>
          <w:szCs w:val="24"/>
          <w:lang w:val="en-US"/>
        </w:rPr>
        <w:t>,</w:t>
      </w:r>
      <w:r w:rsidR="00775E86">
        <w:rPr>
          <w:rFonts w:ascii="Bookman Old Style" w:hAnsi="Bookman Old Style"/>
          <w:sz w:val="24"/>
          <w:szCs w:val="24"/>
          <w:lang w:val="en-US"/>
        </w:rPr>
        <w:t xml:space="preserve"> impartial, information about electoral issues, and the various candidates; cover, issues of relevance</w:t>
      </w:r>
      <w:r w:rsidR="00522312">
        <w:rPr>
          <w:rFonts w:ascii="Bookman Old Style" w:hAnsi="Bookman Old Style"/>
          <w:sz w:val="24"/>
          <w:szCs w:val="24"/>
          <w:lang w:val="en-US"/>
        </w:rPr>
        <w:t xml:space="preserve"> and</w:t>
      </w:r>
      <w:r w:rsidR="00775E86">
        <w:rPr>
          <w:rFonts w:ascii="Bookman Old Style" w:hAnsi="Bookman Old Style"/>
          <w:sz w:val="24"/>
          <w:szCs w:val="24"/>
          <w:lang w:val="en-US"/>
        </w:rPr>
        <w:t xml:space="preserve"> interest to the public</w:t>
      </w:r>
      <w:r w:rsidR="00522312">
        <w:rPr>
          <w:rFonts w:ascii="Bookman Old Style" w:hAnsi="Bookman Old Style"/>
          <w:sz w:val="24"/>
          <w:szCs w:val="24"/>
          <w:lang w:val="en-US"/>
        </w:rPr>
        <w:t>;</w:t>
      </w:r>
      <w:r w:rsidR="00775E86">
        <w:rPr>
          <w:rFonts w:ascii="Bookman Old Style" w:hAnsi="Bookman Old Style"/>
          <w:sz w:val="24"/>
          <w:szCs w:val="24"/>
          <w:lang w:val="en-US"/>
        </w:rPr>
        <w:t xml:space="preserve"> </w:t>
      </w:r>
      <w:r w:rsidR="00522312">
        <w:rPr>
          <w:rFonts w:ascii="Bookman Old Style" w:hAnsi="Bookman Old Style"/>
          <w:sz w:val="24"/>
          <w:szCs w:val="24"/>
          <w:lang w:val="en-US"/>
        </w:rPr>
        <w:t>broadcasters should</w:t>
      </w:r>
      <w:r w:rsidR="0036218D">
        <w:rPr>
          <w:rFonts w:ascii="Bookman Old Style" w:hAnsi="Bookman Old Style"/>
          <w:sz w:val="24"/>
          <w:szCs w:val="24"/>
          <w:lang w:val="en-US"/>
        </w:rPr>
        <w:t xml:space="preserve"> afford political parties and </w:t>
      </w:r>
      <w:r w:rsidR="002144AE">
        <w:rPr>
          <w:rFonts w:ascii="Bookman Old Style" w:hAnsi="Bookman Old Style"/>
          <w:sz w:val="24"/>
          <w:szCs w:val="24"/>
          <w:lang w:val="en-US"/>
        </w:rPr>
        <w:t>or candidates the right to</w:t>
      </w:r>
      <w:r w:rsidR="00522312">
        <w:rPr>
          <w:rFonts w:ascii="Bookman Old Style" w:hAnsi="Bookman Old Style"/>
          <w:sz w:val="24"/>
          <w:szCs w:val="24"/>
          <w:lang w:val="en-US"/>
        </w:rPr>
        <w:t xml:space="preserve"> reply</w:t>
      </w:r>
      <w:r w:rsidR="0036218D">
        <w:rPr>
          <w:rFonts w:ascii="Bookman Old Style" w:hAnsi="Bookman Old Style"/>
          <w:sz w:val="24"/>
          <w:szCs w:val="24"/>
          <w:lang w:val="en-US"/>
        </w:rPr>
        <w:t xml:space="preserve"> where a report aired contains inaccurate infor</w:t>
      </w:r>
      <w:r w:rsidR="00522312">
        <w:rPr>
          <w:rFonts w:ascii="Bookman Old Style" w:hAnsi="Bookman Old Style"/>
          <w:sz w:val="24"/>
          <w:szCs w:val="24"/>
          <w:lang w:val="en-US"/>
        </w:rPr>
        <w:t>mation or unfair criticisms based</w:t>
      </w:r>
      <w:r w:rsidR="0036218D">
        <w:rPr>
          <w:rFonts w:ascii="Bookman Old Style" w:hAnsi="Bookman Old Style"/>
          <w:sz w:val="24"/>
          <w:szCs w:val="24"/>
          <w:lang w:val="en-US"/>
        </w:rPr>
        <w:t xml:space="preserve"> on </w:t>
      </w:r>
      <w:r w:rsidR="00522312">
        <w:rPr>
          <w:rFonts w:ascii="Bookman Old Style" w:hAnsi="Bookman Old Style"/>
          <w:sz w:val="24"/>
          <w:szCs w:val="24"/>
          <w:lang w:val="en-US"/>
        </w:rPr>
        <w:t>distortion</w:t>
      </w:r>
      <w:r w:rsidR="0036218D">
        <w:rPr>
          <w:rFonts w:ascii="Bookman Old Style" w:hAnsi="Bookman Old Style"/>
          <w:sz w:val="24"/>
          <w:szCs w:val="24"/>
          <w:lang w:val="en-US"/>
        </w:rPr>
        <w:t xml:space="preserve"> of facts.</w:t>
      </w:r>
      <w:r w:rsidR="002144AE">
        <w:rPr>
          <w:rStyle w:val="FootnoteReference"/>
          <w:rFonts w:ascii="Bookman Old Style" w:hAnsi="Bookman Old Style"/>
          <w:sz w:val="24"/>
          <w:szCs w:val="24"/>
          <w:lang w:val="en-US"/>
        </w:rPr>
        <w:footnoteReference w:id="167"/>
      </w:r>
      <w:r w:rsidR="0036218D">
        <w:rPr>
          <w:rFonts w:ascii="Bookman Old Style" w:hAnsi="Bookman Old Style"/>
          <w:sz w:val="24"/>
          <w:szCs w:val="24"/>
          <w:lang w:val="en-US"/>
        </w:rPr>
        <w:t xml:space="preserve"> Overall, it is important that broadcasters should provide the public opportunity to take part in political debates on election issues. Participants of such broadcasts should be as representative as possible of different views, and sectors of society. </w:t>
      </w:r>
      <w:r w:rsidR="003F5688">
        <w:rPr>
          <w:rFonts w:ascii="Bookman Old Style" w:hAnsi="Bookman Old Style"/>
          <w:sz w:val="24"/>
          <w:szCs w:val="24"/>
          <w:lang w:val="en-US"/>
        </w:rPr>
        <w:t xml:space="preserve"> </w:t>
      </w:r>
      <w:r w:rsidR="006A0144">
        <w:rPr>
          <w:rFonts w:ascii="Bookman Old Style" w:eastAsia="Arial Unicode MS" w:hAnsi="Bookman Old Style" w:cs="Arial Unicode MS"/>
          <w:sz w:val="24"/>
          <w:szCs w:val="24"/>
        </w:rPr>
        <w:t xml:space="preserve"> </w:t>
      </w:r>
      <w:r w:rsidR="00B73A54">
        <w:rPr>
          <w:rFonts w:ascii="Bookman Old Style" w:eastAsia="Arial Unicode MS" w:hAnsi="Bookman Old Style" w:cs="Arial Unicode MS"/>
          <w:sz w:val="24"/>
          <w:szCs w:val="24"/>
        </w:rPr>
        <w:t xml:space="preserve">  </w:t>
      </w:r>
      <w:r w:rsidR="00023B9A">
        <w:rPr>
          <w:rFonts w:ascii="Bookman Old Style" w:eastAsia="Arial Unicode MS" w:hAnsi="Bookman Old Style" w:cs="Arial Unicode MS"/>
          <w:sz w:val="24"/>
          <w:szCs w:val="24"/>
        </w:rPr>
        <w:t xml:space="preserve"> </w:t>
      </w:r>
      <w:r w:rsidR="000149A2">
        <w:rPr>
          <w:rFonts w:ascii="Bookman Old Style" w:eastAsia="Arial Unicode MS" w:hAnsi="Bookman Old Style" w:cs="Arial Unicode MS"/>
          <w:sz w:val="24"/>
          <w:szCs w:val="24"/>
        </w:rPr>
        <w:t xml:space="preserve"> </w:t>
      </w:r>
      <w:r w:rsidR="00BC3ED1">
        <w:rPr>
          <w:rFonts w:ascii="Bookman Old Style" w:eastAsia="Arial Unicode MS" w:hAnsi="Bookman Old Style" w:cs="Arial Unicode MS"/>
          <w:sz w:val="24"/>
          <w:szCs w:val="24"/>
        </w:rPr>
        <w:t xml:space="preserve"> </w:t>
      </w:r>
      <w:r w:rsidR="00867404">
        <w:rPr>
          <w:rFonts w:ascii="Bookman Old Style" w:eastAsia="Arial Unicode MS" w:hAnsi="Bookman Old Style" w:cs="Arial Unicode MS"/>
          <w:sz w:val="24"/>
          <w:szCs w:val="24"/>
        </w:rPr>
        <w:t xml:space="preserve">  </w:t>
      </w:r>
    </w:p>
    <w:p w:rsidR="003E5B1A" w:rsidRDefault="003E5B1A" w:rsidP="00D052DE">
      <w:pPr>
        <w:spacing w:before="240" w:line="360" w:lineRule="auto"/>
        <w:jc w:val="both"/>
        <w:rPr>
          <w:rFonts w:ascii="Bookman Old Style" w:eastAsia="Arial Unicode MS" w:hAnsi="Bookman Old Style" w:cs="Arial Unicode MS"/>
          <w:sz w:val="24"/>
          <w:szCs w:val="24"/>
        </w:rPr>
      </w:pPr>
    </w:p>
    <w:p w:rsidR="001532F6" w:rsidRDefault="00F268B6"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Before I leave this segment of the ruling</w:t>
      </w:r>
      <w:r w:rsidR="00947F4E">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I must state that there is need </w:t>
      </w:r>
      <w:r w:rsidR="00681DE9">
        <w:rPr>
          <w:rFonts w:ascii="Bookman Old Style" w:eastAsia="Arial Unicode MS" w:hAnsi="Bookman Old Style" w:cs="Arial Unicode MS"/>
          <w:sz w:val="24"/>
          <w:szCs w:val="24"/>
        </w:rPr>
        <w:t xml:space="preserve">for </w:t>
      </w:r>
      <w:r w:rsidR="002D07CF">
        <w:rPr>
          <w:rFonts w:ascii="Bookman Old Style" w:eastAsia="Arial Unicode MS" w:hAnsi="Bookman Old Style" w:cs="Arial Unicode MS"/>
          <w:sz w:val="24"/>
          <w:szCs w:val="24"/>
        </w:rPr>
        <w:t xml:space="preserve">legal practitioners </w:t>
      </w:r>
      <w:r>
        <w:rPr>
          <w:rFonts w:ascii="Bookman Old Style" w:eastAsia="Arial Unicode MS" w:hAnsi="Bookman Old Style" w:cs="Arial Unicode MS"/>
          <w:sz w:val="24"/>
          <w:szCs w:val="24"/>
        </w:rPr>
        <w:t>to exercise care</w:t>
      </w:r>
      <w:r w:rsidR="002D07CF">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and skill in drafting pleading</w:t>
      </w:r>
      <w:r w:rsidR="00947F4E">
        <w:rPr>
          <w:rFonts w:ascii="Bookman Old Style" w:eastAsia="Arial Unicode MS" w:hAnsi="Bookman Old Style" w:cs="Arial Unicode MS"/>
          <w:sz w:val="24"/>
          <w:szCs w:val="24"/>
        </w:rPr>
        <w:t>s</w:t>
      </w:r>
      <w:r>
        <w:rPr>
          <w:rFonts w:ascii="Bookman Old Style" w:eastAsia="Arial Unicode MS" w:hAnsi="Bookman Old Style" w:cs="Arial Unicode MS"/>
          <w:sz w:val="24"/>
          <w:szCs w:val="24"/>
        </w:rPr>
        <w:t xml:space="preserve"> relating to defamation cases. The words relied on must be set out verbatim in the particulars of claim. It is not enough to set out their substance or effec</w:t>
      </w:r>
      <w:r w:rsidR="00947F4E">
        <w:rPr>
          <w:rFonts w:ascii="Bookman Old Style" w:eastAsia="Arial Unicode MS" w:hAnsi="Bookman Old Style" w:cs="Arial Unicode MS"/>
          <w:sz w:val="24"/>
          <w:szCs w:val="24"/>
        </w:rPr>
        <w:t>t. Where the defamatory words f</w:t>
      </w:r>
      <w:r>
        <w:rPr>
          <w:rFonts w:ascii="Bookman Old Style" w:eastAsia="Arial Unicode MS" w:hAnsi="Bookman Old Style" w:cs="Arial Unicode MS"/>
          <w:sz w:val="24"/>
          <w:szCs w:val="24"/>
        </w:rPr>
        <w:t>o</w:t>
      </w:r>
      <w:r w:rsidR="00947F4E">
        <w:rPr>
          <w:rFonts w:ascii="Bookman Old Style" w:eastAsia="Arial Unicode MS" w:hAnsi="Bookman Old Style" w:cs="Arial Unicode MS"/>
          <w:sz w:val="24"/>
          <w:szCs w:val="24"/>
        </w:rPr>
        <w:t>r</w:t>
      </w:r>
      <w:r>
        <w:rPr>
          <w:rFonts w:ascii="Bookman Old Style" w:eastAsia="Arial Unicode MS" w:hAnsi="Bookman Old Style" w:cs="Arial Unicode MS"/>
          <w:sz w:val="24"/>
          <w:szCs w:val="24"/>
        </w:rPr>
        <w:t xml:space="preserve">m </w:t>
      </w:r>
      <w:r w:rsidR="00947F4E">
        <w:rPr>
          <w:rFonts w:ascii="Bookman Old Style" w:eastAsia="Arial Unicode MS" w:hAnsi="Bookman Old Style" w:cs="Arial Unicode MS"/>
          <w:sz w:val="24"/>
          <w:szCs w:val="24"/>
        </w:rPr>
        <w:t>only part of a longer article or</w:t>
      </w:r>
      <w:r>
        <w:rPr>
          <w:rFonts w:ascii="Bookman Old Style" w:eastAsia="Arial Unicode MS" w:hAnsi="Bookman Old Style" w:cs="Arial Unicode MS"/>
          <w:sz w:val="24"/>
          <w:szCs w:val="24"/>
        </w:rPr>
        <w:t xml:space="preserve"> programme, the claimant must set out in his particula</w:t>
      </w:r>
      <w:r w:rsidR="00947F4E">
        <w:rPr>
          <w:rFonts w:ascii="Bookman Old Style" w:eastAsia="Arial Unicode MS" w:hAnsi="Bookman Old Style" w:cs="Arial Unicode MS"/>
          <w:sz w:val="24"/>
          <w:szCs w:val="24"/>
        </w:rPr>
        <w:t>rs of claim only the particular</w:t>
      </w:r>
      <w:r>
        <w:rPr>
          <w:rFonts w:ascii="Bookman Old Style" w:eastAsia="Arial Unicode MS" w:hAnsi="Bookman Old Style" w:cs="Arial Unicode MS"/>
          <w:sz w:val="24"/>
          <w:szCs w:val="24"/>
        </w:rPr>
        <w:t xml:space="preserve"> passages which he complains as being defamatory of him. In cases in which the</w:t>
      </w:r>
      <w:r w:rsidR="00947F4E">
        <w:rPr>
          <w:rFonts w:ascii="Bookman Old Style" w:eastAsia="Arial Unicode MS" w:hAnsi="Bookman Old Style" w:cs="Arial Unicode MS"/>
          <w:sz w:val="24"/>
          <w:szCs w:val="24"/>
        </w:rPr>
        <w:t xml:space="preserve"> material complained of is so lo</w:t>
      </w:r>
      <w:r>
        <w:rPr>
          <w:rFonts w:ascii="Bookman Old Style" w:eastAsia="Arial Unicode MS" w:hAnsi="Bookman Old Style" w:cs="Arial Unicode MS"/>
          <w:sz w:val="24"/>
          <w:szCs w:val="24"/>
        </w:rPr>
        <w:t>ng that it cannot reasonably be pleaded in the body of the particulars of the claim</w:t>
      </w:r>
      <w:r w:rsidR="00681DE9">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the material may be included as a schedule to the particulars </w:t>
      </w:r>
      <w:r w:rsidR="00947F4E">
        <w:rPr>
          <w:rFonts w:ascii="Bookman Old Style" w:eastAsia="Arial Unicode MS" w:hAnsi="Bookman Old Style" w:cs="Arial Unicode MS"/>
          <w:sz w:val="24"/>
          <w:szCs w:val="24"/>
        </w:rPr>
        <w:t xml:space="preserve">of </w:t>
      </w:r>
      <w:r>
        <w:rPr>
          <w:rFonts w:ascii="Bookman Old Style" w:eastAsia="Arial Unicode MS" w:hAnsi="Bookman Old Style" w:cs="Arial Unicode MS"/>
          <w:sz w:val="24"/>
          <w:szCs w:val="24"/>
        </w:rPr>
        <w:t>claim.</w:t>
      </w:r>
      <w:r w:rsidR="001532F6">
        <w:rPr>
          <w:rFonts w:ascii="Bookman Old Style" w:eastAsia="Arial Unicode MS" w:hAnsi="Bookman Old Style" w:cs="Arial Unicode MS"/>
          <w:sz w:val="24"/>
          <w:szCs w:val="24"/>
        </w:rPr>
        <w:t xml:space="preserve"> Where the defence of justification is pleaded</w:t>
      </w:r>
      <w:r w:rsidR="00681DE9">
        <w:rPr>
          <w:rFonts w:ascii="Bookman Old Style" w:eastAsia="Arial Unicode MS" w:hAnsi="Bookman Old Style" w:cs="Arial Unicode MS"/>
          <w:sz w:val="24"/>
          <w:szCs w:val="24"/>
        </w:rPr>
        <w:t>,</w:t>
      </w:r>
      <w:r w:rsidR="001532F6">
        <w:rPr>
          <w:rFonts w:ascii="Bookman Old Style" w:eastAsia="Arial Unicode MS" w:hAnsi="Bookman Old Style" w:cs="Arial Unicode MS"/>
          <w:sz w:val="24"/>
          <w:szCs w:val="24"/>
        </w:rPr>
        <w:t xml:space="preserve"> it must be supported with full particulars of the facts</w:t>
      </w:r>
      <w:r w:rsidR="00947F4E">
        <w:rPr>
          <w:rFonts w:ascii="Bookman Old Style" w:eastAsia="Arial Unicode MS" w:hAnsi="Bookman Old Style" w:cs="Arial Unicode MS"/>
          <w:sz w:val="24"/>
          <w:szCs w:val="24"/>
        </w:rPr>
        <w:t>. S</w:t>
      </w:r>
      <w:r w:rsidR="001532F6">
        <w:rPr>
          <w:rFonts w:ascii="Bookman Old Style" w:eastAsia="Arial Unicode MS" w:hAnsi="Bookman Old Style" w:cs="Arial Unicode MS"/>
          <w:sz w:val="24"/>
          <w:szCs w:val="24"/>
        </w:rPr>
        <w:t>imilarly</w:t>
      </w:r>
      <w:r w:rsidR="00681DE9">
        <w:rPr>
          <w:rFonts w:ascii="Bookman Old Style" w:eastAsia="Arial Unicode MS" w:hAnsi="Bookman Old Style" w:cs="Arial Unicode MS"/>
          <w:sz w:val="24"/>
          <w:szCs w:val="24"/>
        </w:rPr>
        <w:t>, the facts o</w:t>
      </w:r>
      <w:r w:rsidR="001532F6">
        <w:rPr>
          <w:rFonts w:ascii="Bookman Old Style" w:eastAsia="Arial Unicode MS" w:hAnsi="Bookman Old Style" w:cs="Arial Unicode MS"/>
          <w:sz w:val="24"/>
          <w:szCs w:val="24"/>
        </w:rPr>
        <w:t xml:space="preserve">n which the comment is based must be pleaded and properly </w:t>
      </w:r>
      <w:r w:rsidR="00947F4E">
        <w:rPr>
          <w:rFonts w:ascii="Bookman Old Style" w:eastAsia="Arial Unicode MS" w:hAnsi="Bookman Old Style" w:cs="Arial Unicode MS"/>
          <w:sz w:val="24"/>
          <w:szCs w:val="24"/>
        </w:rPr>
        <w:t>particularised</w:t>
      </w:r>
      <w:r w:rsidR="001532F6">
        <w:rPr>
          <w:rFonts w:ascii="Bookman Old Style" w:eastAsia="Arial Unicode MS" w:hAnsi="Bookman Old Style" w:cs="Arial Unicode MS"/>
          <w:sz w:val="24"/>
          <w:szCs w:val="24"/>
        </w:rPr>
        <w:t>.</w:t>
      </w:r>
    </w:p>
    <w:p w:rsidR="001532F6" w:rsidRDefault="00947F4E"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In so far as malice is concerned</w:t>
      </w:r>
      <w:r w:rsidR="00681DE9">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it was the practice to plead in the particulars of claim that the defendant “</w:t>
      </w:r>
      <w:r w:rsidRPr="00947F4E">
        <w:rPr>
          <w:rFonts w:ascii="Bookman Old Style" w:eastAsia="Arial Unicode MS" w:hAnsi="Bookman Old Style" w:cs="Arial Unicode MS"/>
          <w:i/>
          <w:sz w:val="24"/>
          <w:szCs w:val="24"/>
        </w:rPr>
        <w:t>falsely and maliciously</w:t>
      </w:r>
      <w:r>
        <w:rPr>
          <w:rFonts w:ascii="Bookman Old Style" w:eastAsia="Arial Unicode MS" w:hAnsi="Bookman Old Style" w:cs="Arial Unicode MS"/>
          <w:sz w:val="24"/>
          <w:szCs w:val="24"/>
        </w:rPr>
        <w:t>” published the words complained of. However, it is no longer necessary to plead these words. The reason being that the falsity of the words is always presumed in the</w:t>
      </w:r>
      <w:r w:rsidR="00681DE9">
        <w:rPr>
          <w:rFonts w:ascii="Bookman Old Style" w:eastAsia="Arial Unicode MS" w:hAnsi="Bookman Old Style" w:cs="Arial Unicode MS"/>
          <w:sz w:val="24"/>
          <w:szCs w:val="24"/>
        </w:rPr>
        <w:t xml:space="preserve"> plaintiff</w:t>
      </w:r>
      <w:r w:rsidR="002D07CF">
        <w:rPr>
          <w:rFonts w:ascii="Bookman Old Style" w:eastAsia="Arial Unicode MS" w:hAnsi="Bookman Old Style" w:cs="Arial Unicode MS"/>
          <w:sz w:val="24"/>
          <w:szCs w:val="24"/>
        </w:rPr>
        <w:t>’s</w:t>
      </w:r>
      <w:r>
        <w:rPr>
          <w:rFonts w:ascii="Bookman Old Style" w:eastAsia="Arial Unicode MS" w:hAnsi="Bookman Old Style" w:cs="Arial Unicode MS"/>
          <w:sz w:val="24"/>
          <w:szCs w:val="24"/>
        </w:rPr>
        <w:t xml:space="preserve"> favour</w:t>
      </w:r>
      <w:r w:rsidR="002D07CF">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and no issue as to malice arises, unless a </w:t>
      </w:r>
      <w:r w:rsidR="00681DE9">
        <w:rPr>
          <w:rFonts w:ascii="Bookman Old Style" w:eastAsia="Arial Unicode MS" w:hAnsi="Bookman Old Style" w:cs="Arial Unicode MS"/>
          <w:sz w:val="24"/>
          <w:szCs w:val="24"/>
        </w:rPr>
        <w:t xml:space="preserve">defence of fair comment or </w:t>
      </w:r>
      <w:r w:rsidR="00681DE9">
        <w:rPr>
          <w:rFonts w:ascii="Bookman Old Style" w:eastAsia="Arial Unicode MS" w:hAnsi="Bookman Old Style" w:cs="Arial Unicode MS"/>
          <w:sz w:val="24"/>
          <w:szCs w:val="24"/>
        </w:rPr>
        <w:lastRenderedPageBreak/>
        <w:t>qualifi</w:t>
      </w:r>
      <w:r>
        <w:rPr>
          <w:rFonts w:ascii="Bookman Old Style" w:eastAsia="Arial Unicode MS" w:hAnsi="Bookman Old Style" w:cs="Arial Unicode MS"/>
          <w:sz w:val="24"/>
          <w:szCs w:val="24"/>
        </w:rPr>
        <w:t>ed privilege is raised. In that event, actual malice is pleaded by way of reply. I</w:t>
      </w:r>
      <w:r w:rsidR="00681DE9">
        <w:rPr>
          <w:rFonts w:ascii="Bookman Old Style" w:eastAsia="Arial Unicode MS" w:hAnsi="Bookman Old Style" w:cs="Arial Unicode MS"/>
          <w:sz w:val="24"/>
          <w:szCs w:val="24"/>
        </w:rPr>
        <w:t>n terms of the High Court Rules,</w:t>
      </w:r>
      <w:r w:rsidR="002144AE">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the Court or trial judge is required not later than twenty one days after appearance, and defence have been filed to give directi</w:t>
      </w:r>
      <w:r w:rsidR="009539C9">
        <w:rPr>
          <w:rFonts w:ascii="Bookman Old Style" w:eastAsia="Arial Unicode MS" w:hAnsi="Bookman Old Style" w:cs="Arial Unicode MS"/>
          <w:sz w:val="24"/>
          <w:szCs w:val="24"/>
        </w:rPr>
        <w:t>ons in respect of among other matters the reply. Overall</w:t>
      </w:r>
      <w:r w:rsidR="00681DE9">
        <w:rPr>
          <w:rFonts w:ascii="Bookman Old Style" w:eastAsia="Arial Unicode MS" w:hAnsi="Bookman Old Style" w:cs="Arial Unicode MS"/>
          <w:sz w:val="24"/>
          <w:szCs w:val="24"/>
        </w:rPr>
        <w:t>,</w:t>
      </w:r>
      <w:r w:rsidR="009539C9">
        <w:rPr>
          <w:rFonts w:ascii="Bookman Old Style" w:eastAsia="Arial Unicode MS" w:hAnsi="Bookman Old Style" w:cs="Arial Unicode MS"/>
          <w:sz w:val="24"/>
          <w:szCs w:val="24"/>
        </w:rPr>
        <w:t xml:space="preserve"> I invite </w:t>
      </w:r>
      <w:r w:rsidR="00681DE9">
        <w:rPr>
          <w:rFonts w:ascii="Bookman Old Style" w:eastAsia="Arial Unicode MS" w:hAnsi="Bookman Old Style" w:cs="Arial Unicode MS"/>
          <w:sz w:val="24"/>
          <w:szCs w:val="24"/>
        </w:rPr>
        <w:t xml:space="preserve">legal practitioners </w:t>
      </w:r>
      <w:r w:rsidR="009539C9">
        <w:rPr>
          <w:rFonts w:ascii="Bookman Old Style" w:eastAsia="Arial Unicode MS" w:hAnsi="Bookman Old Style" w:cs="Arial Unicode MS"/>
          <w:sz w:val="24"/>
          <w:szCs w:val="24"/>
        </w:rPr>
        <w:t>to mak</w:t>
      </w:r>
      <w:r w:rsidR="00681DE9">
        <w:rPr>
          <w:rFonts w:ascii="Bookman Old Style" w:eastAsia="Arial Unicode MS" w:hAnsi="Bookman Old Style" w:cs="Arial Unicode MS"/>
          <w:sz w:val="24"/>
          <w:szCs w:val="24"/>
        </w:rPr>
        <w:t xml:space="preserve">e </w:t>
      </w:r>
      <w:r w:rsidR="00681DE9" w:rsidRPr="002D07CF">
        <w:rPr>
          <w:rFonts w:ascii="Bookman Old Style" w:eastAsia="Arial Unicode MS" w:hAnsi="Bookman Old Style" w:cs="Arial Unicode MS"/>
          <w:i/>
          <w:sz w:val="24"/>
          <w:szCs w:val="24"/>
        </w:rPr>
        <w:t>Bullen, and Leake, and Jacob Precedents of P</w:t>
      </w:r>
      <w:r w:rsidR="009539C9" w:rsidRPr="002D07CF">
        <w:rPr>
          <w:rFonts w:ascii="Bookman Old Style" w:eastAsia="Arial Unicode MS" w:hAnsi="Bookman Old Style" w:cs="Arial Unicode MS"/>
          <w:i/>
          <w:sz w:val="24"/>
          <w:szCs w:val="24"/>
        </w:rPr>
        <w:t>leadings</w:t>
      </w:r>
      <w:r w:rsidR="00681DE9" w:rsidRPr="002D07CF">
        <w:rPr>
          <w:rFonts w:ascii="Bookman Old Style" w:eastAsia="Arial Unicode MS" w:hAnsi="Bookman Old Style" w:cs="Arial Unicode MS"/>
          <w:i/>
          <w:sz w:val="24"/>
          <w:szCs w:val="24"/>
        </w:rPr>
        <w:t>,</w:t>
      </w:r>
      <w:r w:rsidR="009539C9">
        <w:rPr>
          <w:rFonts w:ascii="Bookman Old Style" w:eastAsia="Arial Unicode MS" w:hAnsi="Bookman Old Style" w:cs="Arial Unicode MS"/>
          <w:sz w:val="24"/>
          <w:szCs w:val="24"/>
        </w:rPr>
        <w:t xml:space="preserve"> their companion. </w:t>
      </w:r>
      <w:r>
        <w:rPr>
          <w:rFonts w:ascii="Bookman Old Style" w:eastAsia="Arial Unicode MS" w:hAnsi="Bookman Old Style" w:cs="Arial Unicode MS"/>
          <w:sz w:val="24"/>
          <w:szCs w:val="24"/>
        </w:rPr>
        <w:t xml:space="preserve"> </w:t>
      </w:r>
    </w:p>
    <w:p w:rsidR="00681DE9" w:rsidRDefault="00681DE9"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To conclude, t</w:t>
      </w:r>
      <w:r w:rsidR="001532F6">
        <w:rPr>
          <w:rFonts w:ascii="Bookman Old Style" w:eastAsia="Arial Unicode MS" w:hAnsi="Bookman Old Style" w:cs="Arial Unicode MS"/>
          <w:sz w:val="24"/>
          <w:szCs w:val="24"/>
        </w:rPr>
        <w:t xml:space="preserve">he various authorities that I have referred to above establish that I have the discretion to grant an interim injunction in order to restrain libel. However, it is settled law that I cannot restrain the publication of libel, where </w:t>
      </w:r>
      <w:r w:rsidR="004F2ACE">
        <w:rPr>
          <w:rFonts w:ascii="Bookman Old Style" w:eastAsia="Arial Unicode MS" w:hAnsi="Bookman Old Style" w:cs="Arial Unicode MS"/>
          <w:sz w:val="24"/>
          <w:szCs w:val="24"/>
        </w:rPr>
        <w:t xml:space="preserve">the </w:t>
      </w:r>
      <w:r w:rsidR="001532F6">
        <w:rPr>
          <w:rFonts w:ascii="Bookman Old Style" w:eastAsia="Arial Unicode MS" w:hAnsi="Bookman Old Style" w:cs="Arial Unicode MS"/>
          <w:sz w:val="24"/>
          <w:szCs w:val="24"/>
        </w:rPr>
        <w:t>defence</w:t>
      </w:r>
      <w:r>
        <w:rPr>
          <w:rFonts w:ascii="Bookman Old Style" w:eastAsia="Arial Unicode MS" w:hAnsi="Bookman Old Style" w:cs="Arial Unicode MS"/>
          <w:sz w:val="24"/>
          <w:szCs w:val="24"/>
        </w:rPr>
        <w:t xml:space="preserve">s </w:t>
      </w:r>
      <w:r w:rsidR="001532F6">
        <w:rPr>
          <w:rFonts w:ascii="Bookman Old Style" w:eastAsia="Arial Unicode MS" w:hAnsi="Bookman Old Style" w:cs="Arial Unicode MS"/>
          <w:sz w:val="24"/>
          <w:szCs w:val="24"/>
        </w:rPr>
        <w:t>of justification, fair comment</w:t>
      </w:r>
      <w:r w:rsidR="0064495F">
        <w:rPr>
          <w:rFonts w:ascii="Bookman Old Style" w:eastAsia="Arial Unicode MS" w:hAnsi="Bookman Old Style" w:cs="Arial Unicode MS"/>
          <w:sz w:val="24"/>
          <w:szCs w:val="24"/>
        </w:rPr>
        <w:t>,</w:t>
      </w:r>
      <w:r w:rsidR="001532F6">
        <w:rPr>
          <w:rFonts w:ascii="Bookman Old Style" w:eastAsia="Arial Unicode MS" w:hAnsi="Bookman Old Style" w:cs="Arial Unicode MS"/>
          <w:sz w:val="24"/>
          <w:szCs w:val="24"/>
        </w:rPr>
        <w:t xml:space="preserve"> or privilege</w:t>
      </w:r>
      <w:r w:rsidR="004F2ACE">
        <w:rPr>
          <w:rFonts w:ascii="Bookman Old Style" w:eastAsia="Arial Unicode MS" w:hAnsi="Bookman Old Style" w:cs="Arial Unicode MS"/>
          <w:sz w:val="24"/>
          <w:szCs w:val="24"/>
        </w:rPr>
        <w:t xml:space="preserve"> have</w:t>
      </w:r>
      <w:r w:rsidR="00947F4E">
        <w:rPr>
          <w:rFonts w:ascii="Bookman Old Style" w:eastAsia="Arial Unicode MS" w:hAnsi="Bookman Old Style" w:cs="Arial Unicode MS"/>
          <w:sz w:val="24"/>
          <w:szCs w:val="24"/>
        </w:rPr>
        <w:t xml:space="preserve"> been raised</w:t>
      </w:r>
      <w:r>
        <w:rPr>
          <w:rFonts w:ascii="Bookman Old Style" w:eastAsia="Arial Unicode MS" w:hAnsi="Bookman Old Style" w:cs="Arial Unicode MS"/>
          <w:sz w:val="24"/>
          <w:szCs w:val="24"/>
        </w:rPr>
        <w:t>. The</w:t>
      </w:r>
      <w:r w:rsidR="001532F6">
        <w:rPr>
          <w:rFonts w:ascii="Bookman Old Style" w:eastAsia="Arial Unicode MS" w:hAnsi="Bookman Old Style" w:cs="Arial Unicode MS"/>
          <w:sz w:val="24"/>
          <w:szCs w:val="24"/>
        </w:rPr>
        <w:t xml:space="preserve"> rationale for this rule </w:t>
      </w:r>
      <w:r w:rsidR="00AD78F6">
        <w:rPr>
          <w:rFonts w:ascii="Bookman Old Style" w:eastAsia="Arial Unicode MS" w:hAnsi="Bookman Old Style" w:cs="Arial Unicode MS"/>
          <w:sz w:val="24"/>
          <w:szCs w:val="24"/>
        </w:rPr>
        <w:t>is the importance in the public interest that the truth should come out. The right to free speech is one in which it is of the public interest that individuals should possess and indeed should exercise as long as no wrongful act is done. However, freedom of expression is not absolute or limitless. Its exer</w:t>
      </w:r>
      <w:r w:rsidR="00947F4E">
        <w:rPr>
          <w:rFonts w:ascii="Bookman Old Style" w:eastAsia="Arial Unicode MS" w:hAnsi="Bookman Old Style" w:cs="Arial Unicode MS"/>
          <w:sz w:val="24"/>
          <w:szCs w:val="24"/>
        </w:rPr>
        <w:t>cise may be subject to restrictions as are necessar</w:t>
      </w:r>
      <w:r w:rsidR="00AD78F6">
        <w:rPr>
          <w:rFonts w:ascii="Bookman Old Style" w:eastAsia="Arial Unicode MS" w:hAnsi="Bookman Old Style" w:cs="Arial Unicode MS"/>
          <w:sz w:val="24"/>
          <w:szCs w:val="24"/>
        </w:rPr>
        <w:t>y in a democratic society. Thus the right t</w:t>
      </w:r>
      <w:r w:rsidR="00560351">
        <w:rPr>
          <w:rFonts w:ascii="Bookman Old Style" w:eastAsia="Arial Unicode MS" w:hAnsi="Bookman Old Style" w:cs="Arial Unicode MS"/>
          <w:sz w:val="24"/>
          <w:szCs w:val="24"/>
        </w:rPr>
        <w:t>o free speech must be measured or weighed</w:t>
      </w:r>
      <w:r w:rsidR="00AD78F6">
        <w:rPr>
          <w:rFonts w:ascii="Bookman Old Style" w:eastAsia="Arial Unicode MS" w:hAnsi="Bookman Old Style" w:cs="Arial Unicode MS"/>
          <w:sz w:val="24"/>
          <w:szCs w:val="24"/>
        </w:rPr>
        <w:t xml:space="preserve"> against the right to reputation. </w:t>
      </w:r>
    </w:p>
    <w:p w:rsidR="00681DE9" w:rsidRDefault="00681DE9" w:rsidP="00D052DE">
      <w:pPr>
        <w:spacing w:before="240" w:line="360" w:lineRule="auto"/>
        <w:jc w:val="both"/>
        <w:rPr>
          <w:rFonts w:ascii="Bookman Old Style" w:eastAsia="Arial Unicode MS" w:hAnsi="Bookman Old Style" w:cs="Arial Unicode MS"/>
          <w:sz w:val="24"/>
          <w:szCs w:val="24"/>
        </w:rPr>
      </w:pPr>
    </w:p>
    <w:p w:rsidR="00223784" w:rsidRDefault="00AD78F6"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Reputation is an essential component of the dignity of the individual</w:t>
      </w:r>
      <w:r w:rsidR="004F4B4E">
        <w:rPr>
          <w:rFonts w:ascii="Bookman Old Style" w:eastAsia="Arial Unicode MS" w:hAnsi="Bookman Old Style" w:cs="Arial Unicode MS"/>
          <w:sz w:val="24"/>
          <w:szCs w:val="24"/>
        </w:rPr>
        <w:t>.</w:t>
      </w:r>
      <w:r w:rsidR="002D07CF">
        <w:rPr>
          <w:rFonts w:ascii="Bookman Old Style" w:eastAsia="Arial Unicode MS" w:hAnsi="Bookman Old Style" w:cs="Arial Unicode MS"/>
          <w:sz w:val="24"/>
          <w:szCs w:val="24"/>
        </w:rPr>
        <w:t xml:space="preserve"> </w:t>
      </w:r>
      <w:r w:rsidR="004F4B4E">
        <w:rPr>
          <w:rFonts w:ascii="Bookman Old Style" w:eastAsia="Arial Unicode MS" w:hAnsi="Bookman Old Style" w:cs="Arial Unicode MS"/>
          <w:sz w:val="24"/>
          <w:szCs w:val="24"/>
        </w:rPr>
        <w:t>It must be respected</w:t>
      </w:r>
      <w:r w:rsidR="00CC53B9">
        <w:rPr>
          <w:rFonts w:ascii="Bookman Old Style" w:eastAsia="Arial Unicode MS" w:hAnsi="Bookman Old Style" w:cs="Arial Unicode MS"/>
          <w:sz w:val="24"/>
          <w:szCs w:val="24"/>
        </w:rPr>
        <w:t>. I</w:t>
      </w:r>
      <w:r w:rsidR="004F4B4E">
        <w:rPr>
          <w:rFonts w:ascii="Bookman Old Style" w:eastAsia="Arial Unicode MS" w:hAnsi="Bookman Old Style" w:cs="Arial Unicode MS"/>
          <w:sz w:val="24"/>
          <w:szCs w:val="24"/>
        </w:rPr>
        <w:t>t must not be assailed without lawful justification. Once besmirched by unfounded allegation</w:t>
      </w:r>
      <w:r w:rsidR="00CC53B9">
        <w:rPr>
          <w:rFonts w:ascii="Bookman Old Style" w:eastAsia="Arial Unicode MS" w:hAnsi="Bookman Old Style" w:cs="Arial Unicode MS"/>
          <w:sz w:val="24"/>
          <w:szCs w:val="24"/>
        </w:rPr>
        <w:t>(s)</w:t>
      </w:r>
      <w:r w:rsidR="00681DE9">
        <w:rPr>
          <w:rFonts w:ascii="Bookman Old Style" w:eastAsia="Arial Unicode MS" w:hAnsi="Bookman Old Style" w:cs="Arial Unicode MS"/>
          <w:sz w:val="24"/>
          <w:szCs w:val="24"/>
        </w:rPr>
        <w:t>,</w:t>
      </w:r>
      <w:r w:rsidR="004F4B4E">
        <w:rPr>
          <w:rFonts w:ascii="Bookman Old Style" w:eastAsia="Arial Unicode MS" w:hAnsi="Bookman Old Style" w:cs="Arial Unicode MS"/>
          <w:sz w:val="24"/>
          <w:szCs w:val="24"/>
        </w:rPr>
        <w:t xml:space="preserve"> the damage can be irreparable and ever</w:t>
      </w:r>
      <w:r w:rsidR="00CC53B9">
        <w:rPr>
          <w:rFonts w:ascii="Bookman Old Style" w:eastAsia="Arial Unicode MS" w:hAnsi="Bookman Old Style" w:cs="Arial Unicode MS"/>
          <w:sz w:val="24"/>
          <w:szCs w:val="24"/>
        </w:rPr>
        <w:t>lasting</w:t>
      </w:r>
      <w:r w:rsidR="002D07CF">
        <w:rPr>
          <w:rFonts w:ascii="Bookman Old Style" w:eastAsia="Arial Unicode MS" w:hAnsi="Bookman Old Style" w:cs="Arial Unicode MS"/>
          <w:sz w:val="24"/>
          <w:szCs w:val="24"/>
        </w:rPr>
        <w:t>,</w:t>
      </w:r>
      <w:r w:rsidR="00CC53B9">
        <w:rPr>
          <w:rFonts w:ascii="Bookman Old Style" w:eastAsia="Arial Unicode MS" w:hAnsi="Bookman Old Style" w:cs="Arial Unicode MS"/>
          <w:sz w:val="24"/>
          <w:szCs w:val="24"/>
        </w:rPr>
        <w:t xml:space="preserve"> </w:t>
      </w:r>
      <w:r w:rsidR="004F4B4E">
        <w:rPr>
          <w:rFonts w:ascii="Bookman Old Style" w:eastAsia="Arial Unicode MS" w:hAnsi="Bookman Old Style" w:cs="Arial Unicode MS"/>
          <w:sz w:val="24"/>
          <w:szCs w:val="24"/>
        </w:rPr>
        <w:t>especially if there is no opportunity given to vindicate one’s reputation. When this happens</w:t>
      </w:r>
      <w:r w:rsidR="00681DE9">
        <w:rPr>
          <w:rFonts w:ascii="Bookman Old Style" w:eastAsia="Arial Unicode MS" w:hAnsi="Bookman Old Style" w:cs="Arial Unicode MS"/>
          <w:sz w:val="24"/>
          <w:szCs w:val="24"/>
        </w:rPr>
        <w:t>,</w:t>
      </w:r>
      <w:r w:rsidR="004F4B4E">
        <w:rPr>
          <w:rFonts w:ascii="Bookman Old Style" w:eastAsia="Arial Unicode MS" w:hAnsi="Bookman Old Style" w:cs="Arial Unicode MS"/>
          <w:sz w:val="24"/>
          <w:szCs w:val="24"/>
        </w:rPr>
        <w:t xml:space="preserve"> it is not only the affected individual, and his family that suffer</w:t>
      </w:r>
      <w:r w:rsidR="00CC53B9">
        <w:rPr>
          <w:rFonts w:ascii="Bookman Old Style" w:eastAsia="Arial Unicode MS" w:hAnsi="Bookman Old Style" w:cs="Arial Unicode MS"/>
          <w:sz w:val="24"/>
          <w:szCs w:val="24"/>
        </w:rPr>
        <w:t>,</w:t>
      </w:r>
      <w:r w:rsidR="004F4B4E">
        <w:rPr>
          <w:rFonts w:ascii="Bookman Old Style" w:eastAsia="Arial Unicode MS" w:hAnsi="Bookman Old Style" w:cs="Arial Unicode MS"/>
          <w:sz w:val="24"/>
          <w:szCs w:val="24"/>
        </w:rPr>
        <w:t xml:space="preserve"> but society may also at large suffer. </w:t>
      </w:r>
      <w:r w:rsidR="00FA265F">
        <w:rPr>
          <w:rFonts w:ascii="Bookman Old Style" w:eastAsia="Arial Unicode MS" w:hAnsi="Bookman Old Style" w:cs="Arial Unicode MS"/>
          <w:sz w:val="24"/>
          <w:szCs w:val="24"/>
        </w:rPr>
        <w:t xml:space="preserve">Thus the </w:t>
      </w:r>
      <w:r w:rsidR="00CC53B9">
        <w:rPr>
          <w:rFonts w:ascii="Bookman Old Style" w:eastAsia="Arial Unicode MS" w:hAnsi="Bookman Old Style" w:cs="Arial Unicode MS"/>
          <w:sz w:val="24"/>
          <w:szCs w:val="24"/>
        </w:rPr>
        <w:t xml:space="preserve">protection </w:t>
      </w:r>
      <w:r w:rsidR="00FA265F">
        <w:rPr>
          <w:rFonts w:ascii="Bookman Old Style" w:eastAsia="Arial Unicode MS" w:hAnsi="Bookman Old Style" w:cs="Arial Unicode MS"/>
          <w:sz w:val="24"/>
          <w:szCs w:val="24"/>
        </w:rPr>
        <w:t>of reputation is also in the public interest</w:t>
      </w:r>
      <w:r w:rsidR="00CC53B9">
        <w:rPr>
          <w:rFonts w:ascii="Bookman Old Style" w:eastAsia="Arial Unicode MS" w:hAnsi="Bookman Old Style" w:cs="Arial Unicode MS"/>
          <w:sz w:val="24"/>
          <w:szCs w:val="24"/>
        </w:rPr>
        <w:t>.</w:t>
      </w:r>
      <w:r w:rsidR="00C46420">
        <w:rPr>
          <w:rFonts w:ascii="Bookman Old Style" w:eastAsia="Arial Unicode MS" w:hAnsi="Bookman Old Style" w:cs="Arial Unicode MS"/>
          <w:sz w:val="24"/>
          <w:szCs w:val="24"/>
        </w:rPr>
        <w:t xml:space="preserve"> </w:t>
      </w:r>
      <w:r w:rsidR="00CC53B9">
        <w:rPr>
          <w:rFonts w:ascii="Bookman Old Style" w:eastAsia="Arial Unicode MS" w:hAnsi="Bookman Old Style" w:cs="Arial Unicode MS"/>
          <w:sz w:val="24"/>
          <w:szCs w:val="24"/>
        </w:rPr>
        <w:t>It</w:t>
      </w:r>
      <w:r w:rsidR="00C46420">
        <w:rPr>
          <w:rFonts w:ascii="Bookman Old Style" w:eastAsia="Arial Unicode MS" w:hAnsi="Bookman Old Style" w:cs="Arial Unicode MS"/>
          <w:sz w:val="24"/>
          <w:szCs w:val="24"/>
        </w:rPr>
        <w:t xml:space="preserve"> cannot obviously be said</w:t>
      </w:r>
      <w:r w:rsidR="00681DE9">
        <w:rPr>
          <w:rFonts w:ascii="Bookman Old Style" w:eastAsia="Arial Unicode MS" w:hAnsi="Bookman Old Style" w:cs="Arial Unicode MS"/>
          <w:sz w:val="24"/>
          <w:szCs w:val="24"/>
        </w:rPr>
        <w:t xml:space="preserve"> to be in the public interest or</w:t>
      </w:r>
      <w:r w:rsidR="002D07CF">
        <w:rPr>
          <w:rFonts w:ascii="Bookman Old Style" w:eastAsia="Arial Unicode MS" w:hAnsi="Bookman Old Style" w:cs="Arial Unicode MS"/>
          <w:sz w:val="24"/>
          <w:szCs w:val="24"/>
        </w:rPr>
        <w:t xml:space="preserve"> conducive</w:t>
      </w:r>
      <w:r w:rsidR="00C46420">
        <w:rPr>
          <w:rFonts w:ascii="Bookman Old Style" w:eastAsia="Arial Unicode MS" w:hAnsi="Bookman Old Style" w:cs="Arial Unicode MS"/>
          <w:sz w:val="24"/>
          <w:szCs w:val="24"/>
        </w:rPr>
        <w:t xml:space="preserve"> to political discussion to publish unsubstantiated defamatory materials, free from any responsibility as to the accuracy </w:t>
      </w:r>
      <w:r w:rsidR="00681DE9">
        <w:rPr>
          <w:rFonts w:ascii="Bookman Old Style" w:eastAsia="Arial Unicode MS" w:hAnsi="Bookman Old Style" w:cs="Arial Unicode MS"/>
          <w:sz w:val="24"/>
          <w:szCs w:val="24"/>
        </w:rPr>
        <w:t xml:space="preserve">or veracity </w:t>
      </w:r>
      <w:r w:rsidR="00C46420">
        <w:rPr>
          <w:rFonts w:ascii="Bookman Old Style" w:eastAsia="Arial Unicode MS" w:hAnsi="Bookman Old Style" w:cs="Arial Unicode MS"/>
          <w:sz w:val="24"/>
          <w:szCs w:val="24"/>
        </w:rPr>
        <w:t>of what is published.</w:t>
      </w:r>
      <w:r w:rsidR="00223784">
        <w:rPr>
          <w:rFonts w:ascii="Bookman Old Style" w:eastAsia="Arial Unicode MS" w:hAnsi="Bookman Old Style" w:cs="Arial Unicode MS"/>
          <w:sz w:val="24"/>
          <w:szCs w:val="24"/>
        </w:rPr>
        <w:t xml:space="preserve"> Therefore</w:t>
      </w:r>
      <w:r w:rsidR="00CC53B9">
        <w:rPr>
          <w:rFonts w:ascii="Bookman Old Style" w:eastAsia="Arial Unicode MS" w:hAnsi="Bookman Old Style" w:cs="Arial Unicode MS"/>
          <w:sz w:val="24"/>
          <w:szCs w:val="24"/>
        </w:rPr>
        <w:t>,</w:t>
      </w:r>
      <w:r w:rsidR="00223784">
        <w:rPr>
          <w:rFonts w:ascii="Bookman Old Style" w:eastAsia="Arial Unicode MS" w:hAnsi="Bookman Old Style" w:cs="Arial Unicode MS"/>
          <w:sz w:val="24"/>
          <w:szCs w:val="24"/>
        </w:rPr>
        <w:t xml:space="preserve"> there is no doubt in mind that there is </w:t>
      </w:r>
      <w:r w:rsidR="00223784">
        <w:rPr>
          <w:rFonts w:ascii="Bookman Old Style" w:eastAsia="Arial Unicode MS" w:hAnsi="Bookman Old Style" w:cs="Arial Unicode MS"/>
          <w:sz w:val="24"/>
          <w:szCs w:val="24"/>
        </w:rPr>
        <w:lastRenderedPageBreak/>
        <w:t xml:space="preserve">need </w:t>
      </w:r>
      <w:r w:rsidR="00CC53B9">
        <w:rPr>
          <w:rFonts w:ascii="Bookman Old Style" w:eastAsia="Arial Unicode MS" w:hAnsi="Bookman Old Style" w:cs="Arial Unicode MS"/>
          <w:sz w:val="24"/>
          <w:szCs w:val="24"/>
        </w:rPr>
        <w:t xml:space="preserve">in this case </w:t>
      </w:r>
      <w:r w:rsidR="00223784">
        <w:rPr>
          <w:rFonts w:ascii="Bookman Old Style" w:eastAsia="Arial Unicode MS" w:hAnsi="Bookman Old Style" w:cs="Arial Unicode MS"/>
          <w:sz w:val="24"/>
          <w:szCs w:val="24"/>
        </w:rPr>
        <w:t>to protect the plainti</w:t>
      </w:r>
      <w:r w:rsidR="00CC53B9">
        <w:rPr>
          <w:rFonts w:ascii="Bookman Old Style" w:eastAsia="Arial Unicode MS" w:hAnsi="Bookman Old Style" w:cs="Arial Unicode MS"/>
          <w:sz w:val="24"/>
          <w:szCs w:val="24"/>
        </w:rPr>
        <w:t>ff from unsubstantiated defamatory</w:t>
      </w:r>
      <w:r w:rsidR="00357D71">
        <w:rPr>
          <w:rFonts w:ascii="Bookman Old Style" w:eastAsia="Arial Unicode MS" w:hAnsi="Bookman Old Style" w:cs="Arial Unicode MS"/>
          <w:sz w:val="24"/>
          <w:szCs w:val="24"/>
        </w:rPr>
        <w:t xml:space="preserve"> material</w:t>
      </w:r>
      <w:r w:rsidR="00223784">
        <w:rPr>
          <w:rFonts w:ascii="Bookman Old Style" w:eastAsia="Arial Unicode MS" w:hAnsi="Bookman Old Style" w:cs="Arial Unicode MS"/>
          <w:sz w:val="24"/>
          <w:szCs w:val="24"/>
        </w:rPr>
        <w:t>.</w:t>
      </w:r>
    </w:p>
    <w:p w:rsidR="00223784" w:rsidRDefault="00223784" w:rsidP="00D052DE">
      <w:pPr>
        <w:spacing w:before="240" w:line="360" w:lineRule="auto"/>
        <w:jc w:val="both"/>
        <w:rPr>
          <w:rFonts w:ascii="Bookman Old Style" w:eastAsia="Arial Unicode MS" w:hAnsi="Bookman Old Style" w:cs="Arial Unicode MS"/>
          <w:sz w:val="24"/>
          <w:szCs w:val="24"/>
        </w:rPr>
      </w:pPr>
    </w:p>
    <w:p w:rsidR="00454540" w:rsidRDefault="00223784"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Furthermore, I have also no doubt in </w:t>
      </w:r>
      <w:r w:rsidR="00CC53B9">
        <w:rPr>
          <w:rFonts w:ascii="Bookman Old Style" w:eastAsia="Arial Unicode MS" w:hAnsi="Bookman Old Style" w:cs="Arial Unicode MS"/>
          <w:sz w:val="24"/>
          <w:szCs w:val="24"/>
        </w:rPr>
        <w:t xml:space="preserve">my </w:t>
      </w:r>
      <w:r>
        <w:rPr>
          <w:rFonts w:ascii="Bookman Old Style" w:eastAsia="Arial Unicode MS" w:hAnsi="Bookman Old Style" w:cs="Arial Unicode MS"/>
          <w:sz w:val="24"/>
          <w:szCs w:val="24"/>
        </w:rPr>
        <w:t>mi</w:t>
      </w:r>
      <w:r w:rsidR="00CC53B9">
        <w:rPr>
          <w:rFonts w:ascii="Bookman Old Style" w:eastAsia="Arial Unicode MS" w:hAnsi="Bookman Old Style" w:cs="Arial Unicode MS"/>
          <w:sz w:val="24"/>
          <w:szCs w:val="24"/>
        </w:rPr>
        <w:t>n</w:t>
      </w:r>
      <w:r>
        <w:rPr>
          <w:rFonts w:ascii="Bookman Old Style" w:eastAsia="Arial Unicode MS" w:hAnsi="Bookman Old Style" w:cs="Arial Unicode MS"/>
          <w:sz w:val="24"/>
          <w:szCs w:val="24"/>
        </w:rPr>
        <w:t>d that this is not proper case in which I can hold that if I were eventually to find the defendants liable for defamation, the plaintiff would be adequately compensated by an award of damages. In any case</w:t>
      </w:r>
      <w:r w:rsidR="002D07CF">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most reasonable people would rather not have demonstrably false, and defamatory statements published against them</w:t>
      </w:r>
      <w:r w:rsidR="00CC53B9">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than seek an award of damages. I also recognise that damages can never properly put the plaintiff in the position he would have been had the libel not been published. </w:t>
      </w:r>
    </w:p>
    <w:p w:rsidR="00454540" w:rsidRDefault="00454540" w:rsidP="00D052DE">
      <w:pPr>
        <w:spacing w:before="240" w:line="360" w:lineRule="auto"/>
        <w:jc w:val="both"/>
        <w:rPr>
          <w:rFonts w:ascii="Bookman Old Style" w:eastAsia="Arial Unicode MS" w:hAnsi="Bookman Old Style" w:cs="Arial Unicode MS"/>
          <w:sz w:val="24"/>
          <w:szCs w:val="24"/>
        </w:rPr>
      </w:pPr>
    </w:p>
    <w:p w:rsidR="00CF127F" w:rsidRDefault="00454540"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I cannot also lose sight of the context </w:t>
      </w:r>
      <w:r w:rsidR="002D07CF">
        <w:rPr>
          <w:rFonts w:ascii="Bookman Old Style" w:eastAsia="Arial Unicode MS" w:hAnsi="Bookman Old Style" w:cs="Arial Unicode MS"/>
          <w:sz w:val="24"/>
          <w:szCs w:val="24"/>
        </w:rPr>
        <w:t xml:space="preserve">or circumstances </w:t>
      </w:r>
      <w:r>
        <w:rPr>
          <w:rFonts w:ascii="Bookman Old Style" w:eastAsia="Arial Unicode MS" w:hAnsi="Bookman Old Style" w:cs="Arial Unicode MS"/>
          <w:sz w:val="24"/>
          <w:szCs w:val="24"/>
        </w:rPr>
        <w:t xml:space="preserve">in which the </w:t>
      </w:r>
      <w:r w:rsidR="00357D71">
        <w:rPr>
          <w:rFonts w:ascii="Bookman Old Style" w:eastAsia="Arial Unicode MS" w:hAnsi="Bookman Old Style" w:cs="Arial Unicode MS"/>
          <w:sz w:val="24"/>
          <w:szCs w:val="24"/>
        </w:rPr>
        <w:t xml:space="preserve">statement complained of </w:t>
      </w:r>
      <w:r w:rsidR="002D07CF">
        <w:rPr>
          <w:rFonts w:ascii="Bookman Old Style" w:eastAsia="Arial Unicode MS" w:hAnsi="Bookman Old Style" w:cs="Arial Unicode MS"/>
          <w:sz w:val="24"/>
          <w:szCs w:val="24"/>
        </w:rPr>
        <w:t xml:space="preserve">was </w:t>
      </w:r>
      <w:r>
        <w:rPr>
          <w:rFonts w:ascii="Bookman Old Style" w:eastAsia="Arial Unicode MS" w:hAnsi="Bookman Old Style" w:cs="Arial Unicode MS"/>
          <w:sz w:val="24"/>
          <w:szCs w:val="24"/>
        </w:rPr>
        <w:t>broadcast</w:t>
      </w:r>
      <w:r w:rsidR="002D07CF">
        <w:rPr>
          <w:rFonts w:ascii="Bookman Old Style" w:eastAsia="Arial Unicode MS" w:hAnsi="Bookman Old Style" w:cs="Arial Unicode MS"/>
          <w:sz w:val="24"/>
          <w:szCs w:val="24"/>
        </w:rPr>
        <w:t>;</w:t>
      </w:r>
      <w:r w:rsidR="00CC53B9">
        <w:rPr>
          <w:rFonts w:ascii="Bookman Old Style" w:eastAsia="Arial Unicode MS" w:hAnsi="Bookman Old Style" w:cs="Arial Unicode MS"/>
          <w:sz w:val="24"/>
          <w:szCs w:val="24"/>
        </w:rPr>
        <w:t xml:space="preserve"> namely, an election year. I</w:t>
      </w:r>
      <w:r>
        <w:rPr>
          <w:rFonts w:ascii="Bookman Old Style" w:eastAsia="Arial Unicode MS" w:hAnsi="Bookman Old Style" w:cs="Arial Unicode MS"/>
          <w:sz w:val="24"/>
          <w:szCs w:val="24"/>
        </w:rPr>
        <w:t>n my opinion it is palpably wrong for any person before or during an election to publish false statements in relation to any candidate’s personal character or conduct for the sole or dominant</w:t>
      </w:r>
      <w:r w:rsidR="00707F68">
        <w:rPr>
          <w:rFonts w:ascii="Bookman Old Style" w:eastAsia="Arial Unicode MS" w:hAnsi="Bookman Old Style" w:cs="Arial Unicode MS"/>
          <w:sz w:val="24"/>
          <w:szCs w:val="24"/>
        </w:rPr>
        <w:t xml:space="preserve"> purpose of adver</w:t>
      </w:r>
      <w:r w:rsidR="00CC53B9">
        <w:rPr>
          <w:rFonts w:ascii="Bookman Old Style" w:eastAsia="Arial Unicode MS" w:hAnsi="Bookman Old Style" w:cs="Arial Unicode MS"/>
          <w:sz w:val="24"/>
          <w:szCs w:val="24"/>
        </w:rPr>
        <w:t>sel</w:t>
      </w:r>
      <w:r w:rsidR="00357D71">
        <w:rPr>
          <w:rFonts w:ascii="Bookman Old Style" w:eastAsia="Arial Unicode MS" w:hAnsi="Bookman Old Style" w:cs="Arial Unicode MS"/>
          <w:sz w:val="24"/>
          <w:szCs w:val="24"/>
        </w:rPr>
        <w:t>y affecting the return of such c</w:t>
      </w:r>
      <w:r w:rsidR="00707F68">
        <w:rPr>
          <w:rFonts w:ascii="Bookman Old Style" w:eastAsia="Arial Unicode MS" w:hAnsi="Bookman Old Style" w:cs="Arial Unicode MS"/>
          <w:sz w:val="24"/>
          <w:szCs w:val="24"/>
        </w:rPr>
        <w:t xml:space="preserve">andidate, unless of course he can clearly show and adduce reasonable evidence </w:t>
      </w:r>
      <w:r w:rsidR="002D07CF">
        <w:rPr>
          <w:rFonts w:ascii="Bookman Old Style" w:eastAsia="Arial Unicode MS" w:hAnsi="Bookman Old Style" w:cs="Arial Unicode MS"/>
          <w:sz w:val="24"/>
          <w:szCs w:val="24"/>
        </w:rPr>
        <w:t xml:space="preserve">and </w:t>
      </w:r>
      <w:r w:rsidR="00707F68">
        <w:rPr>
          <w:rFonts w:ascii="Bookman Old Style" w:eastAsia="Arial Unicode MS" w:hAnsi="Bookman Old Style" w:cs="Arial Unicode MS"/>
          <w:sz w:val="24"/>
          <w:szCs w:val="24"/>
        </w:rPr>
        <w:t xml:space="preserve">grounds for believing in fact </w:t>
      </w:r>
      <w:r w:rsidR="00CC53B9">
        <w:rPr>
          <w:rFonts w:ascii="Bookman Old Style" w:eastAsia="Arial Unicode MS" w:hAnsi="Bookman Old Style" w:cs="Arial Unicode MS"/>
          <w:sz w:val="24"/>
          <w:szCs w:val="24"/>
        </w:rPr>
        <w:t>that the defamatory material is true; is a fair commen</w:t>
      </w:r>
      <w:r w:rsidR="002D07CF">
        <w:rPr>
          <w:rFonts w:ascii="Bookman Old Style" w:eastAsia="Arial Unicode MS" w:hAnsi="Bookman Old Style" w:cs="Arial Unicode MS"/>
          <w:sz w:val="24"/>
          <w:szCs w:val="24"/>
        </w:rPr>
        <w:t>t on a matter of public concern;</w:t>
      </w:r>
      <w:r w:rsidR="00CC53B9">
        <w:rPr>
          <w:rFonts w:ascii="Bookman Old Style" w:eastAsia="Arial Unicode MS" w:hAnsi="Bookman Old Style" w:cs="Arial Unicode MS"/>
          <w:sz w:val="24"/>
          <w:szCs w:val="24"/>
        </w:rPr>
        <w:t xml:space="preserve"> or is protected by qualified privilege as </w:t>
      </w:r>
      <w:r w:rsidR="002D07CF">
        <w:rPr>
          <w:rFonts w:ascii="Bookman Old Style" w:eastAsia="Arial Unicode MS" w:hAnsi="Bookman Old Style" w:cs="Arial Unicode MS"/>
          <w:sz w:val="24"/>
          <w:szCs w:val="24"/>
        </w:rPr>
        <w:t xml:space="preserve">posited </w:t>
      </w:r>
      <w:r w:rsidR="00CC53B9">
        <w:rPr>
          <w:rFonts w:ascii="Bookman Old Style" w:eastAsia="Arial Unicode MS" w:hAnsi="Bookman Old Style" w:cs="Arial Unicode MS"/>
          <w:sz w:val="24"/>
          <w:szCs w:val="24"/>
        </w:rPr>
        <w:t xml:space="preserve">above. </w:t>
      </w:r>
    </w:p>
    <w:p w:rsidR="00CF127F" w:rsidRDefault="00CF127F"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It follows therefore that a person making or publishing such a defamatory and false statement may be restrai</w:t>
      </w:r>
      <w:r w:rsidR="00CC53B9">
        <w:rPr>
          <w:rFonts w:ascii="Bookman Old Style" w:eastAsia="Arial Unicode MS" w:hAnsi="Bookman Old Style" w:cs="Arial Unicode MS"/>
          <w:sz w:val="24"/>
          <w:szCs w:val="24"/>
        </w:rPr>
        <w:t>ned by an interi</w:t>
      </w:r>
      <w:r w:rsidR="002D07CF">
        <w:rPr>
          <w:rFonts w:ascii="Bookman Old Style" w:eastAsia="Arial Unicode MS" w:hAnsi="Bookman Old Style" w:cs="Arial Unicode MS"/>
          <w:sz w:val="24"/>
          <w:szCs w:val="24"/>
        </w:rPr>
        <w:t>m injunction</w:t>
      </w:r>
      <w:r w:rsidR="00CC53B9">
        <w:rPr>
          <w:rFonts w:ascii="Bookman Old Style" w:eastAsia="Arial Unicode MS" w:hAnsi="Bookman Old Style" w:cs="Arial Unicode MS"/>
          <w:sz w:val="24"/>
          <w:szCs w:val="24"/>
        </w:rPr>
        <w:t xml:space="preserve"> f</w:t>
      </w:r>
      <w:r>
        <w:rPr>
          <w:rFonts w:ascii="Bookman Old Style" w:eastAsia="Arial Unicode MS" w:hAnsi="Bookman Old Style" w:cs="Arial Unicode MS"/>
          <w:sz w:val="24"/>
          <w:szCs w:val="24"/>
        </w:rPr>
        <w:t>r</w:t>
      </w:r>
      <w:r w:rsidR="00CC53B9">
        <w:rPr>
          <w:rFonts w:ascii="Bookman Old Style" w:eastAsia="Arial Unicode MS" w:hAnsi="Bookman Old Style" w:cs="Arial Unicode MS"/>
          <w:sz w:val="24"/>
          <w:szCs w:val="24"/>
        </w:rPr>
        <w:t>o</w:t>
      </w:r>
      <w:r>
        <w:rPr>
          <w:rFonts w:ascii="Bookman Old Style" w:eastAsia="Arial Unicode MS" w:hAnsi="Bookman Old Style" w:cs="Arial Unicode MS"/>
          <w:sz w:val="24"/>
          <w:szCs w:val="24"/>
        </w:rPr>
        <w:t xml:space="preserve">m any repetition of that false statement or a false statement of a similar character or tenor. And for the purpose of granting such interim injunction </w:t>
      </w:r>
      <w:r w:rsidRPr="00357D71">
        <w:rPr>
          <w:rFonts w:ascii="Bookman Old Style" w:eastAsia="Arial Unicode MS" w:hAnsi="Bookman Old Style" w:cs="Arial Unicode MS"/>
          <w:i/>
          <w:sz w:val="24"/>
          <w:szCs w:val="24"/>
        </w:rPr>
        <w:t>prima facie</w:t>
      </w:r>
      <w:r>
        <w:rPr>
          <w:rFonts w:ascii="Bookman Old Style" w:eastAsia="Arial Unicode MS" w:hAnsi="Bookman Old Style" w:cs="Arial Unicode MS"/>
          <w:sz w:val="24"/>
          <w:szCs w:val="24"/>
        </w:rPr>
        <w:t xml:space="preserve"> proof of the falsity of the sta</w:t>
      </w:r>
      <w:r w:rsidR="00CC53B9">
        <w:rPr>
          <w:rFonts w:ascii="Bookman Old Style" w:eastAsia="Arial Unicode MS" w:hAnsi="Bookman Old Style" w:cs="Arial Unicode MS"/>
          <w:sz w:val="24"/>
          <w:szCs w:val="24"/>
        </w:rPr>
        <w:t>te</w:t>
      </w:r>
      <w:r>
        <w:rPr>
          <w:rFonts w:ascii="Bookman Old Style" w:eastAsia="Arial Unicode MS" w:hAnsi="Bookman Old Style" w:cs="Arial Unicode MS"/>
          <w:sz w:val="24"/>
          <w:szCs w:val="24"/>
        </w:rPr>
        <w:t>men</w:t>
      </w:r>
      <w:r w:rsidR="00CC53B9">
        <w:rPr>
          <w:rFonts w:ascii="Bookman Old Style" w:eastAsia="Arial Unicode MS" w:hAnsi="Bookman Old Style" w:cs="Arial Unicode MS"/>
          <w:sz w:val="24"/>
          <w:szCs w:val="24"/>
        </w:rPr>
        <w:t>t</w:t>
      </w:r>
      <w:r>
        <w:rPr>
          <w:rFonts w:ascii="Bookman Old Style" w:eastAsia="Arial Unicode MS" w:hAnsi="Bookman Old Style" w:cs="Arial Unicode MS"/>
          <w:sz w:val="24"/>
          <w:szCs w:val="24"/>
        </w:rPr>
        <w:t xml:space="preserve"> shall in my opinion be sufficient. </w:t>
      </w:r>
    </w:p>
    <w:p w:rsidR="00CF127F" w:rsidRDefault="00CF127F" w:rsidP="00D052DE">
      <w:pPr>
        <w:spacing w:before="240" w:line="360" w:lineRule="auto"/>
        <w:jc w:val="both"/>
        <w:rPr>
          <w:rFonts w:ascii="Bookman Old Style" w:eastAsia="Arial Unicode MS" w:hAnsi="Bookman Old Style" w:cs="Arial Unicode MS"/>
          <w:sz w:val="24"/>
          <w:szCs w:val="24"/>
        </w:rPr>
      </w:pPr>
    </w:p>
    <w:p w:rsidR="002D07CF" w:rsidRDefault="00CF127F"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lastRenderedPageBreak/>
        <w:t>Accordingly</w:t>
      </w:r>
      <w:r w:rsidR="0064495F">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I hereby</w:t>
      </w:r>
      <w:r w:rsidR="00357D71">
        <w:rPr>
          <w:rFonts w:ascii="Bookman Old Style" w:eastAsia="Arial Unicode MS" w:hAnsi="Bookman Old Style" w:cs="Arial Unicode MS"/>
          <w:sz w:val="24"/>
          <w:szCs w:val="24"/>
        </w:rPr>
        <w:t xml:space="preserve"> grant a</w:t>
      </w:r>
      <w:r>
        <w:rPr>
          <w:rFonts w:ascii="Bookman Old Style" w:eastAsia="Arial Unicode MS" w:hAnsi="Bookman Old Style" w:cs="Arial Unicode MS"/>
          <w:sz w:val="24"/>
          <w:szCs w:val="24"/>
        </w:rPr>
        <w:t>n interim injunction restraining the defendant</w:t>
      </w:r>
      <w:r w:rsidR="00E840DD">
        <w:rPr>
          <w:rFonts w:ascii="Bookman Old Style" w:eastAsia="Arial Unicode MS" w:hAnsi="Bookman Old Style" w:cs="Arial Unicode MS"/>
          <w:sz w:val="24"/>
          <w:szCs w:val="24"/>
        </w:rPr>
        <w:t>s</w:t>
      </w:r>
      <w:r>
        <w:rPr>
          <w:rFonts w:ascii="Bookman Old Style" w:eastAsia="Arial Unicode MS" w:hAnsi="Bookman Old Style" w:cs="Arial Unicode MS"/>
          <w:sz w:val="24"/>
          <w:szCs w:val="24"/>
        </w:rPr>
        <w:t>, each one of them e</w:t>
      </w:r>
      <w:r w:rsidR="00E840DD">
        <w:rPr>
          <w:rFonts w:ascii="Bookman Old Style" w:eastAsia="Arial Unicode MS" w:hAnsi="Bookman Old Style" w:cs="Arial Unicode MS"/>
          <w:sz w:val="24"/>
          <w:szCs w:val="24"/>
        </w:rPr>
        <w:t>i</w:t>
      </w:r>
      <w:r>
        <w:rPr>
          <w:rFonts w:ascii="Bookman Old Style" w:eastAsia="Arial Unicode MS" w:hAnsi="Bookman Old Style" w:cs="Arial Unicode MS"/>
          <w:sz w:val="24"/>
          <w:szCs w:val="24"/>
        </w:rPr>
        <w:t>ther by themselves, their agents</w:t>
      </w:r>
      <w:r w:rsidR="00E840DD">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or servants from publishing or broadcasting or causing to be broadcast the programme</w:t>
      </w:r>
      <w:r w:rsidR="00357D71">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w:t>
      </w:r>
      <w:r w:rsidRPr="00E840DD">
        <w:rPr>
          <w:rFonts w:ascii="Bookman Old Style" w:eastAsia="Arial Unicode MS" w:hAnsi="Bookman Old Style" w:cs="Arial Unicode MS"/>
          <w:i/>
          <w:sz w:val="24"/>
          <w:szCs w:val="24"/>
        </w:rPr>
        <w:t>“Stand up for Zambia,</w:t>
      </w:r>
      <w:r>
        <w:rPr>
          <w:rFonts w:ascii="Bookman Old Style" w:eastAsia="Arial Unicode MS" w:hAnsi="Bookman Old Style" w:cs="Arial Unicode MS"/>
          <w:sz w:val="24"/>
          <w:szCs w:val="24"/>
        </w:rPr>
        <w:t>” until after</w:t>
      </w:r>
      <w:r w:rsidR="00E840DD">
        <w:rPr>
          <w:rFonts w:ascii="Bookman Old Style" w:eastAsia="Arial Unicode MS" w:hAnsi="Bookman Old Style" w:cs="Arial Unicode MS"/>
          <w:sz w:val="24"/>
          <w:szCs w:val="24"/>
        </w:rPr>
        <w:t xml:space="preserve"> trial of this action</w:t>
      </w:r>
      <w:r>
        <w:rPr>
          <w:rFonts w:ascii="Bookman Old Style" w:eastAsia="Arial Unicode MS" w:hAnsi="Bookman Old Style" w:cs="Arial Unicode MS"/>
          <w:sz w:val="24"/>
          <w:szCs w:val="24"/>
        </w:rPr>
        <w:t>. Further, the 1</w:t>
      </w:r>
      <w:r w:rsidRPr="00CF127F">
        <w:rPr>
          <w:rFonts w:ascii="Bookman Old Style" w:eastAsia="Arial Unicode MS" w:hAnsi="Bookman Old Style" w:cs="Arial Unicode MS"/>
          <w:sz w:val="24"/>
          <w:szCs w:val="24"/>
          <w:vertAlign w:val="superscript"/>
        </w:rPr>
        <w:t>st</w:t>
      </w:r>
      <w:r w:rsidR="00E840DD">
        <w:rPr>
          <w:rFonts w:ascii="Bookman Old Style" w:eastAsia="Arial Unicode MS" w:hAnsi="Bookman Old Style" w:cs="Arial Unicode MS"/>
          <w:sz w:val="24"/>
          <w:szCs w:val="24"/>
        </w:rPr>
        <w:t xml:space="preserve"> defendant is restrained</w:t>
      </w:r>
      <w:r>
        <w:rPr>
          <w:rFonts w:ascii="Bookman Old Style" w:eastAsia="Arial Unicode MS" w:hAnsi="Bookman Old Style" w:cs="Arial Unicode MS"/>
          <w:sz w:val="24"/>
          <w:szCs w:val="24"/>
        </w:rPr>
        <w:t xml:space="preserve"> by himself, his agents, servants</w:t>
      </w:r>
      <w:r w:rsidR="00357D71">
        <w:rPr>
          <w:rFonts w:ascii="Bookman Old Style" w:eastAsia="Arial Unicode MS" w:hAnsi="Bookman Old Style" w:cs="Arial Unicode MS"/>
          <w:sz w:val="24"/>
          <w:szCs w:val="24"/>
        </w:rPr>
        <w:t>,</w:t>
      </w:r>
      <w:r>
        <w:rPr>
          <w:rFonts w:ascii="Bookman Old Style" w:eastAsia="Arial Unicode MS" w:hAnsi="Bookman Old Style" w:cs="Arial Unicode MS"/>
          <w:sz w:val="24"/>
          <w:szCs w:val="24"/>
        </w:rPr>
        <w:t xml:space="preserve"> or whomsoever from producing, distributing</w:t>
      </w:r>
      <w:r w:rsidR="00E840DD">
        <w:rPr>
          <w:rFonts w:ascii="Bookman Old Style" w:eastAsia="Arial Unicode MS" w:hAnsi="Bookman Old Style" w:cs="Arial Unicode MS"/>
          <w:sz w:val="24"/>
          <w:szCs w:val="24"/>
        </w:rPr>
        <w:t>, or</w:t>
      </w:r>
      <w:r>
        <w:rPr>
          <w:rFonts w:ascii="Bookman Old Style" w:eastAsia="Arial Unicode MS" w:hAnsi="Bookman Old Style" w:cs="Arial Unicode MS"/>
          <w:sz w:val="24"/>
          <w:szCs w:val="24"/>
        </w:rPr>
        <w:t xml:space="preserve"> </w:t>
      </w:r>
      <w:r w:rsidR="004F2ACE">
        <w:rPr>
          <w:rFonts w:ascii="Bookman Old Style" w:eastAsia="Arial Unicode MS" w:hAnsi="Bookman Old Style" w:cs="Arial Unicode MS"/>
          <w:sz w:val="24"/>
          <w:szCs w:val="24"/>
        </w:rPr>
        <w:t xml:space="preserve">in </w:t>
      </w:r>
      <w:r>
        <w:rPr>
          <w:rFonts w:ascii="Bookman Old Style" w:eastAsia="Arial Unicode MS" w:hAnsi="Bookman Old Style" w:cs="Arial Unicode MS"/>
          <w:sz w:val="24"/>
          <w:szCs w:val="24"/>
        </w:rPr>
        <w:t>any ot</w:t>
      </w:r>
      <w:r w:rsidR="004F2ACE">
        <w:rPr>
          <w:rFonts w:ascii="Bookman Old Style" w:eastAsia="Arial Unicode MS" w:hAnsi="Bookman Old Style" w:cs="Arial Unicode MS"/>
          <w:sz w:val="24"/>
          <w:szCs w:val="24"/>
        </w:rPr>
        <w:t xml:space="preserve">her form of transmission </w:t>
      </w:r>
      <w:r w:rsidR="00E840DD">
        <w:rPr>
          <w:rFonts w:ascii="Bookman Old Style" w:eastAsia="Arial Unicode MS" w:hAnsi="Bookman Old Style" w:cs="Arial Unicode MS"/>
          <w:sz w:val="24"/>
          <w:szCs w:val="24"/>
        </w:rPr>
        <w:t>the</w:t>
      </w:r>
      <w:r>
        <w:rPr>
          <w:rFonts w:ascii="Bookman Old Style" w:eastAsia="Arial Unicode MS" w:hAnsi="Bookman Old Style" w:cs="Arial Unicode MS"/>
          <w:sz w:val="24"/>
          <w:szCs w:val="24"/>
        </w:rPr>
        <w:t xml:space="preserve"> said “</w:t>
      </w:r>
      <w:r w:rsidRPr="00E840DD">
        <w:rPr>
          <w:rFonts w:ascii="Bookman Old Style" w:eastAsia="Arial Unicode MS" w:hAnsi="Bookman Old Style" w:cs="Arial Unicode MS"/>
          <w:i/>
          <w:sz w:val="24"/>
          <w:szCs w:val="24"/>
        </w:rPr>
        <w:t>Stand up for Zambia</w:t>
      </w:r>
      <w:r>
        <w:rPr>
          <w:rFonts w:ascii="Bookman Old Style" w:eastAsia="Arial Unicode MS" w:hAnsi="Bookman Old Style" w:cs="Arial Unicode MS"/>
          <w:sz w:val="24"/>
          <w:szCs w:val="24"/>
        </w:rPr>
        <w:t>” programme.</w:t>
      </w:r>
      <w:r w:rsidR="004F2ACE">
        <w:rPr>
          <w:rFonts w:ascii="Bookman Old Style" w:eastAsia="Arial Unicode MS" w:hAnsi="Bookman Old Style" w:cs="Arial Unicode MS"/>
          <w:sz w:val="24"/>
          <w:szCs w:val="24"/>
        </w:rPr>
        <w:t xml:space="preserve"> </w:t>
      </w:r>
      <w:r w:rsidR="0064495F">
        <w:rPr>
          <w:rFonts w:ascii="Bookman Old Style" w:eastAsia="Arial Unicode MS" w:hAnsi="Bookman Old Style" w:cs="Arial Unicode MS"/>
          <w:sz w:val="24"/>
          <w:szCs w:val="24"/>
        </w:rPr>
        <w:t>Needless to state that i</w:t>
      </w:r>
      <w:r w:rsidR="004F2ACE">
        <w:rPr>
          <w:rFonts w:ascii="Bookman Old Style" w:eastAsia="Arial Unicode MS" w:hAnsi="Bookman Old Style" w:cs="Arial Unicode MS"/>
          <w:sz w:val="24"/>
          <w:szCs w:val="24"/>
        </w:rPr>
        <w:t xml:space="preserve">t is contempt of Court for any person notified of this </w:t>
      </w:r>
      <w:r w:rsidR="00C41E2C">
        <w:rPr>
          <w:rFonts w:ascii="Bookman Old Style" w:eastAsia="Arial Unicode MS" w:hAnsi="Bookman Old Style" w:cs="Arial Unicode MS"/>
          <w:sz w:val="24"/>
          <w:szCs w:val="24"/>
        </w:rPr>
        <w:t>O</w:t>
      </w:r>
      <w:r w:rsidR="004F2ACE">
        <w:rPr>
          <w:rFonts w:ascii="Bookman Old Style" w:eastAsia="Arial Unicode MS" w:hAnsi="Bookman Old Style" w:cs="Arial Unicode MS"/>
          <w:sz w:val="24"/>
          <w:szCs w:val="24"/>
        </w:rPr>
        <w:t xml:space="preserve">rder knowingly to assist in or permit a breach of the </w:t>
      </w:r>
      <w:r w:rsidR="00C41E2C">
        <w:rPr>
          <w:rFonts w:ascii="Bookman Old Style" w:eastAsia="Arial Unicode MS" w:hAnsi="Bookman Old Style" w:cs="Arial Unicode MS"/>
          <w:sz w:val="24"/>
          <w:szCs w:val="24"/>
        </w:rPr>
        <w:t>O</w:t>
      </w:r>
      <w:r w:rsidR="004F2ACE">
        <w:rPr>
          <w:rFonts w:ascii="Bookman Old Style" w:eastAsia="Arial Unicode MS" w:hAnsi="Bookman Old Style" w:cs="Arial Unicode MS"/>
          <w:sz w:val="24"/>
          <w:szCs w:val="24"/>
        </w:rPr>
        <w:t>rder. A person doing so may be fined, or sent to prison</w:t>
      </w:r>
      <w:r w:rsidR="0064495F">
        <w:rPr>
          <w:rFonts w:ascii="Bookman Old Style" w:eastAsia="Arial Unicode MS" w:hAnsi="Bookman Old Style" w:cs="Arial Unicode MS"/>
          <w:sz w:val="24"/>
          <w:szCs w:val="24"/>
        </w:rPr>
        <w:t xml:space="preserve">. </w:t>
      </w:r>
      <w:r w:rsidR="002D07CF">
        <w:rPr>
          <w:rFonts w:ascii="Bookman Old Style" w:eastAsia="Arial Unicode MS" w:hAnsi="Bookman Old Style" w:cs="Arial Unicode MS"/>
          <w:sz w:val="24"/>
          <w:szCs w:val="24"/>
        </w:rPr>
        <w:t>Should</w:t>
      </w:r>
      <w:r w:rsidR="0064495F">
        <w:rPr>
          <w:rFonts w:ascii="Bookman Old Style" w:eastAsia="Arial Unicode MS" w:hAnsi="Bookman Old Style" w:cs="Arial Unicode MS"/>
          <w:sz w:val="24"/>
          <w:szCs w:val="24"/>
        </w:rPr>
        <w:t xml:space="preserve"> I later find that this </w:t>
      </w:r>
      <w:r w:rsidR="00C41E2C">
        <w:rPr>
          <w:rFonts w:ascii="Bookman Old Style" w:eastAsia="Arial Unicode MS" w:hAnsi="Bookman Old Style" w:cs="Arial Unicode MS"/>
          <w:sz w:val="24"/>
          <w:szCs w:val="24"/>
        </w:rPr>
        <w:t>O</w:t>
      </w:r>
      <w:r w:rsidR="002D07CF">
        <w:rPr>
          <w:rFonts w:ascii="Bookman Old Style" w:eastAsia="Arial Unicode MS" w:hAnsi="Bookman Old Style" w:cs="Arial Unicode MS"/>
          <w:sz w:val="24"/>
          <w:szCs w:val="24"/>
        </w:rPr>
        <w:t>rder has caused loss to the defendants, and decide that the defendants should be compensated for that loss</w:t>
      </w:r>
      <w:r w:rsidR="0064495F">
        <w:rPr>
          <w:rFonts w:ascii="Bookman Old Style" w:eastAsia="Arial Unicode MS" w:hAnsi="Bookman Old Style" w:cs="Arial Unicode MS"/>
          <w:sz w:val="24"/>
          <w:szCs w:val="24"/>
        </w:rPr>
        <w:t>,</w:t>
      </w:r>
      <w:r w:rsidR="002D07CF">
        <w:rPr>
          <w:rFonts w:ascii="Bookman Old Style" w:eastAsia="Arial Unicode MS" w:hAnsi="Bookman Old Style" w:cs="Arial Unicode MS"/>
          <w:sz w:val="24"/>
          <w:szCs w:val="24"/>
        </w:rPr>
        <w:t xml:space="preserve"> the </w:t>
      </w:r>
      <w:r w:rsidR="0064495F">
        <w:rPr>
          <w:rFonts w:ascii="Bookman Old Style" w:eastAsia="Arial Unicode MS" w:hAnsi="Bookman Old Style" w:cs="Arial Unicode MS"/>
          <w:sz w:val="24"/>
          <w:szCs w:val="24"/>
        </w:rPr>
        <w:t xml:space="preserve">plaintiff shall comply with my </w:t>
      </w:r>
      <w:r w:rsidR="00C41E2C">
        <w:rPr>
          <w:rFonts w:ascii="Bookman Old Style" w:eastAsia="Arial Unicode MS" w:hAnsi="Bookman Old Style" w:cs="Arial Unicode MS"/>
          <w:sz w:val="24"/>
          <w:szCs w:val="24"/>
        </w:rPr>
        <w:t>O</w:t>
      </w:r>
      <w:r w:rsidR="002D07CF">
        <w:rPr>
          <w:rFonts w:ascii="Bookman Old Style" w:eastAsia="Arial Unicode MS" w:hAnsi="Bookman Old Style" w:cs="Arial Unicode MS"/>
          <w:sz w:val="24"/>
          <w:szCs w:val="24"/>
        </w:rPr>
        <w:t>rder that I will make</w:t>
      </w:r>
      <w:r w:rsidR="00E30311">
        <w:rPr>
          <w:rFonts w:ascii="Bookman Old Style" w:eastAsia="Arial Unicode MS" w:hAnsi="Bookman Old Style" w:cs="Arial Unicode MS"/>
          <w:sz w:val="24"/>
          <w:szCs w:val="24"/>
        </w:rPr>
        <w:t>.</w:t>
      </w:r>
      <w:r w:rsidR="002D07CF">
        <w:rPr>
          <w:rFonts w:ascii="Bookman Old Style" w:eastAsia="Arial Unicode MS" w:hAnsi="Bookman Old Style" w:cs="Arial Unicode MS"/>
          <w:sz w:val="24"/>
          <w:szCs w:val="24"/>
        </w:rPr>
        <w:t xml:space="preserve"> </w:t>
      </w:r>
    </w:p>
    <w:p w:rsidR="002D07CF" w:rsidRDefault="002D07CF" w:rsidP="00D052DE">
      <w:pPr>
        <w:spacing w:before="240" w:line="360" w:lineRule="auto"/>
        <w:jc w:val="both"/>
        <w:rPr>
          <w:rFonts w:ascii="Bookman Old Style" w:eastAsia="Arial Unicode MS" w:hAnsi="Bookman Old Style" w:cs="Arial Unicode MS"/>
          <w:sz w:val="24"/>
          <w:szCs w:val="24"/>
        </w:rPr>
      </w:pPr>
    </w:p>
    <w:p w:rsidR="00CF127F" w:rsidRDefault="002D07CF" w:rsidP="00D052DE">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Costs follow the event.</w:t>
      </w:r>
      <w:r w:rsidR="00CF127F">
        <w:rPr>
          <w:rFonts w:ascii="Bookman Old Style" w:eastAsia="Arial Unicode MS" w:hAnsi="Bookman Old Style" w:cs="Arial Unicode MS"/>
          <w:sz w:val="24"/>
          <w:szCs w:val="24"/>
        </w:rPr>
        <w:t xml:space="preserve"> </w:t>
      </w:r>
      <w:r>
        <w:rPr>
          <w:rFonts w:ascii="Bookman Old Style" w:eastAsia="Arial Unicode MS" w:hAnsi="Bookman Old Style" w:cs="Arial Unicode MS"/>
          <w:sz w:val="24"/>
          <w:szCs w:val="24"/>
        </w:rPr>
        <w:t>And</w:t>
      </w:r>
      <w:r w:rsidR="00CF127F">
        <w:rPr>
          <w:rFonts w:ascii="Bookman Old Style" w:eastAsia="Arial Unicode MS" w:hAnsi="Bookman Old Style" w:cs="Arial Unicode MS"/>
          <w:sz w:val="24"/>
          <w:szCs w:val="24"/>
        </w:rPr>
        <w:t xml:space="preserve"> leave to appeal is hereby granted. </w:t>
      </w:r>
    </w:p>
    <w:p w:rsidR="00357D71" w:rsidRDefault="00357D71" w:rsidP="00D052DE">
      <w:pPr>
        <w:spacing w:before="240" w:line="360" w:lineRule="auto"/>
        <w:jc w:val="both"/>
        <w:rPr>
          <w:rFonts w:ascii="Bookman Old Style" w:eastAsia="Arial Unicode MS" w:hAnsi="Bookman Old Style" w:cs="Arial Unicode MS"/>
          <w:sz w:val="24"/>
          <w:szCs w:val="24"/>
        </w:rPr>
      </w:pPr>
    </w:p>
    <w:p w:rsidR="00CF127F" w:rsidRPr="00DA7427" w:rsidRDefault="00CF127F" w:rsidP="00DA7427">
      <w:pPr>
        <w:spacing w:after="0" w:line="240" w:lineRule="auto"/>
        <w:jc w:val="center"/>
        <w:rPr>
          <w:rFonts w:ascii="Bookman Old Style" w:eastAsia="Arial Unicode MS" w:hAnsi="Bookman Old Style" w:cs="Arial Unicode MS"/>
          <w:b/>
          <w:sz w:val="24"/>
          <w:szCs w:val="24"/>
        </w:rPr>
      </w:pPr>
      <w:r w:rsidRPr="00DA7427">
        <w:rPr>
          <w:rFonts w:ascii="Bookman Old Style" w:eastAsia="Arial Unicode MS" w:hAnsi="Bookman Old Style" w:cs="Arial Unicode MS"/>
          <w:b/>
          <w:sz w:val="24"/>
          <w:szCs w:val="24"/>
        </w:rPr>
        <w:t>_____________________________</w:t>
      </w:r>
    </w:p>
    <w:p w:rsidR="00CF127F" w:rsidRPr="00DA7427" w:rsidRDefault="00CF127F" w:rsidP="00DA7427">
      <w:pPr>
        <w:spacing w:after="0" w:line="240" w:lineRule="auto"/>
        <w:jc w:val="center"/>
        <w:rPr>
          <w:rFonts w:ascii="Bookman Old Style" w:eastAsia="Arial Unicode MS" w:hAnsi="Bookman Old Style" w:cs="Arial Unicode MS"/>
          <w:b/>
          <w:sz w:val="24"/>
          <w:szCs w:val="24"/>
        </w:rPr>
      </w:pPr>
      <w:r w:rsidRPr="00DA7427">
        <w:rPr>
          <w:rFonts w:ascii="Bookman Old Style" w:eastAsia="Arial Unicode MS" w:hAnsi="Bookman Old Style" w:cs="Arial Unicode MS"/>
          <w:b/>
          <w:sz w:val="24"/>
          <w:szCs w:val="24"/>
        </w:rPr>
        <w:t>Dr. P. Matibini, SC</w:t>
      </w:r>
    </w:p>
    <w:p w:rsidR="00857643" w:rsidRPr="00DA7427" w:rsidRDefault="00CF127F" w:rsidP="00DA7427">
      <w:pPr>
        <w:spacing w:after="0" w:line="240" w:lineRule="auto"/>
        <w:jc w:val="center"/>
        <w:rPr>
          <w:rFonts w:ascii="Bookman Old Style" w:eastAsia="Arial Unicode MS" w:hAnsi="Bookman Old Style" w:cs="Arial Unicode MS"/>
          <w:b/>
          <w:sz w:val="24"/>
          <w:szCs w:val="24"/>
        </w:rPr>
      </w:pPr>
      <w:r w:rsidRPr="00DA7427">
        <w:rPr>
          <w:rFonts w:ascii="Bookman Old Style" w:eastAsia="Arial Unicode MS" w:hAnsi="Bookman Old Style" w:cs="Arial Unicode MS"/>
          <w:b/>
          <w:sz w:val="24"/>
          <w:szCs w:val="24"/>
        </w:rPr>
        <w:t>HIGH COURT JUDGE</w:t>
      </w:r>
    </w:p>
    <w:p w:rsidR="002B5BEE" w:rsidRDefault="002B5BEE" w:rsidP="0008482F">
      <w:pPr>
        <w:spacing w:before="240" w:line="360" w:lineRule="auto"/>
        <w:jc w:val="both"/>
        <w:rPr>
          <w:rFonts w:ascii="Bookman Old Style" w:eastAsia="Arial Unicode MS" w:hAnsi="Bookman Old Style" w:cs="Arial Unicode MS"/>
          <w:sz w:val="24"/>
          <w:szCs w:val="24"/>
        </w:rPr>
      </w:pPr>
    </w:p>
    <w:p w:rsidR="00357D71" w:rsidRDefault="00357D71" w:rsidP="0008482F">
      <w:pPr>
        <w:spacing w:before="240" w:line="360" w:lineRule="auto"/>
        <w:jc w:val="both"/>
        <w:rPr>
          <w:rFonts w:ascii="Bookman Old Style" w:eastAsia="Arial Unicode MS" w:hAnsi="Bookman Old Style" w:cs="Arial Unicode MS"/>
          <w:sz w:val="24"/>
          <w:szCs w:val="24"/>
        </w:rPr>
      </w:pPr>
    </w:p>
    <w:p w:rsidR="002B5BEE" w:rsidRDefault="002B5BEE" w:rsidP="0008482F">
      <w:pPr>
        <w:spacing w:before="240" w:line="360" w:lineRule="auto"/>
        <w:jc w:val="both"/>
        <w:rPr>
          <w:rFonts w:ascii="Bookman Old Style" w:eastAsia="Arial Unicode MS" w:hAnsi="Bookman Old Style" w:cs="Arial Unicode MS"/>
          <w:sz w:val="24"/>
          <w:szCs w:val="24"/>
        </w:rPr>
      </w:pPr>
    </w:p>
    <w:p w:rsidR="00A23B97" w:rsidRPr="00B55846" w:rsidRDefault="00B135D3" w:rsidP="00B55846">
      <w:pPr>
        <w:spacing w:before="240" w:line="360" w:lineRule="auto"/>
        <w:jc w:val="both"/>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 xml:space="preserve"> </w:t>
      </w:r>
      <w:r w:rsidR="00C27279">
        <w:rPr>
          <w:rFonts w:ascii="Bookman Old Style" w:eastAsia="Arial Unicode MS" w:hAnsi="Bookman Old Style" w:cs="Arial Unicode MS"/>
          <w:sz w:val="24"/>
          <w:szCs w:val="24"/>
        </w:rPr>
        <w:t xml:space="preserve"> </w:t>
      </w:r>
      <w:r w:rsidR="003E67F6">
        <w:rPr>
          <w:rFonts w:ascii="Bookman Old Style" w:eastAsia="Arial Unicode MS" w:hAnsi="Bookman Old Style" w:cs="Arial Unicode MS"/>
          <w:sz w:val="24"/>
          <w:szCs w:val="24"/>
        </w:rPr>
        <w:t xml:space="preserve"> </w:t>
      </w:r>
      <w:r w:rsidR="00E23DED">
        <w:rPr>
          <w:rFonts w:ascii="Bookman Old Style" w:eastAsia="Arial Unicode MS" w:hAnsi="Bookman Old Style" w:cs="Arial Unicode MS"/>
          <w:sz w:val="24"/>
          <w:szCs w:val="24"/>
        </w:rPr>
        <w:t xml:space="preserve"> </w:t>
      </w:r>
      <w:r w:rsidR="003A4909">
        <w:rPr>
          <w:rFonts w:ascii="Bookman Old Style" w:eastAsia="Arial Unicode MS" w:hAnsi="Bookman Old Style" w:cs="Arial Unicode MS"/>
          <w:sz w:val="24"/>
          <w:szCs w:val="24"/>
        </w:rPr>
        <w:t xml:space="preserve">  </w:t>
      </w:r>
      <w:r w:rsidR="0039099F">
        <w:rPr>
          <w:rFonts w:ascii="Bookman Old Style" w:eastAsia="Arial Unicode MS" w:hAnsi="Bookman Old Style" w:cs="Arial Unicode MS"/>
          <w:sz w:val="24"/>
          <w:szCs w:val="24"/>
        </w:rPr>
        <w:t xml:space="preserve">   </w:t>
      </w:r>
      <w:r w:rsidR="00372160">
        <w:rPr>
          <w:rFonts w:ascii="Bookman Old Style" w:eastAsia="Arial Unicode MS" w:hAnsi="Bookman Old Style" w:cs="Arial Unicode MS"/>
          <w:sz w:val="24"/>
          <w:szCs w:val="24"/>
        </w:rPr>
        <w:t xml:space="preserve"> </w:t>
      </w:r>
      <w:r w:rsidR="004B2AD7">
        <w:rPr>
          <w:rFonts w:ascii="Bookman Old Style" w:eastAsia="Arial Unicode MS" w:hAnsi="Bookman Old Style" w:cs="Arial Unicode MS"/>
          <w:sz w:val="24"/>
          <w:szCs w:val="24"/>
        </w:rPr>
        <w:t xml:space="preserve"> </w:t>
      </w:r>
      <w:r w:rsidR="00A14A66">
        <w:rPr>
          <w:rFonts w:ascii="Bookman Old Style" w:eastAsia="Arial Unicode MS" w:hAnsi="Bookman Old Style" w:cs="Arial Unicode MS"/>
          <w:sz w:val="24"/>
          <w:szCs w:val="24"/>
        </w:rPr>
        <w:t xml:space="preserve">  </w:t>
      </w:r>
      <w:r w:rsidR="00880C59">
        <w:rPr>
          <w:rFonts w:ascii="Bookman Old Style" w:eastAsia="Arial Unicode MS" w:hAnsi="Bookman Old Style" w:cs="Arial Unicode MS"/>
          <w:sz w:val="24"/>
          <w:szCs w:val="24"/>
        </w:rPr>
        <w:t xml:space="preserve"> </w:t>
      </w:r>
      <w:r w:rsidR="00EC62F2">
        <w:rPr>
          <w:rFonts w:ascii="Bookman Old Style" w:eastAsia="Arial Unicode MS" w:hAnsi="Bookman Old Style" w:cs="Arial Unicode MS"/>
          <w:sz w:val="24"/>
          <w:szCs w:val="24"/>
        </w:rPr>
        <w:t xml:space="preserve"> </w:t>
      </w:r>
    </w:p>
    <w:sectPr w:rsidR="00A23B97" w:rsidRPr="00B55846" w:rsidSect="0001736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2B9" w:rsidRDefault="000912B9" w:rsidP="00153D09">
      <w:pPr>
        <w:spacing w:after="0" w:line="240" w:lineRule="auto"/>
      </w:pPr>
      <w:r>
        <w:separator/>
      </w:r>
    </w:p>
  </w:endnote>
  <w:endnote w:type="continuationSeparator" w:id="1">
    <w:p w:rsidR="000912B9" w:rsidRDefault="000912B9" w:rsidP="00153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1383"/>
      <w:docPartObj>
        <w:docPartGallery w:val="Page Numbers (Bottom of Page)"/>
        <w:docPartUnique/>
      </w:docPartObj>
    </w:sdtPr>
    <w:sdtContent>
      <w:p w:rsidR="00E30311" w:rsidRDefault="00E30311">
        <w:pPr>
          <w:pStyle w:val="Footer"/>
          <w:jc w:val="center"/>
        </w:pPr>
        <w:r>
          <w:t>R</w:t>
        </w:r>
        <w:fldSimple w:instr=" PAGE   \* MERGEFORMAT ">
          <w:r w:rsidR="008C5B8C">
            <w:rPr>
              <w:noProof/>
            </w:rPr>
            <w:t>4</w:t>
          </w:r>
        </w:fldSimple>
      </w:p>
    </w:sdtContent>
  </w:sdt>
  <w:p w:rsidR="00E30311" w:rsidRDefault="00E30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2B9" w:rsidRDefault="000912B9" w:rsidP="00153D09">
      <w:pPr>
        <w:spacing w:after="0" w:line="240" w:lineRule="auto"/>
      </w:pPr>
      <w:r>
        <w:separator/>
      </w:r>
    </w:p>
  </w:footnote>
  <w:footnote w:type="continuationSeparator" w:id="1">
    <w:p w:rsidR="000912B9" w:rsidRDefault="000912B9" w:rsidP="00153D09">
      <w:pPr>
        <w:spacing w:after="0" w:line="240" w:lineRule="auto"/>
      </w:pPr>
      <w:r>
        <w:continuationSeparator/>
      </w:r>
    </w:p>
  </w:footnote>
  <w:footnote w:id="2">
    <w:p w:rsidR="00E30311" w:rsidRPr="00C4192B" w:rsidRDefault="00E30311">
      <w:pPr>
        <w:pStyle w:val="FootnoteText"/>
        <w:rPr>
          <w:lang w:val="en-US"/>
        </w:rPr>
      </w:pPr>
      <w:r>
        <w:rPr>
          <w:rStyle w:val="FootnoteReference"/>
        </w:rPr>
        <w:footnoteRef/>
      </w:r>
      <w:r>
        <w:t xml:space="preserve"> </w:t>
      </w:r>
      <w:r>
        <w:rPr>
          <w:lang w:val="en-US"/>
        </w:rPr>
        <w:t>(1975) Z.R. 174.</w:t>
      </w:r>
    </w:p>
  </w:footnote>
  <w:footnote w:id="3">
    <w:p w:rsidR="00E30311" w:rsidRPr="00372947" w:rsidRDefault="00E30311">
      <w:pPr>
        <w:pStyle w:val="FootnoteText"/>
        <w:rPr>
          <w:lang w:val="en-US"/>
        </w:rPr>
      </w:pPr>
      <w:r>
        <w:rPr>
          <w:rStyle w:val="FootnoteReference"/>
        </w:rPr>
        <w:footnoteRef/>
      </w:r>
      <w:r>
        <w:t xml:space="preserve"> [1975] A.C. 396.</w:t>
      </w:r>
    </w:p>
  </w:footnote>
  <w:footnote w:id="4">
    <w:p w:rsidR="00E30311" w:rsidRPr="00372947" w:rsidRDefault="00E30311">
      <w:pPr>
        <w:pStyle w:val="FootnoteText"/>
        <w:rPr>
          <w:lang w:val="en-US"/>
        </w:rPr>
      </w:pPr>
      <w:r>
        <w:rPr>
          <w:rStyle w:val="FootnoteReference"/>
        </w:rPr>
        <w:footnoteRef/>
      </w:r>
      <w:r>
        <w:t xml:space="preserve"> </w:t>
      </w:r>
      <w:r>
        <w:rPr>
          <w:lang w:val="en-US"/>
        </w:rPr>
        <w:t>(1993 – 1994) Z.R. 149.</w:t>
      </w:r>
    </w:p>
  </w:footnote>
  <w:footnote w:id="5">
    <w:p w:rsidR="00E30311" w:rsidRPr="00372947" w:rsidRDefault="00E30311">
      <w:pPr>
        <w:pStyle w:val="FootnoteText"/>
        <w:rPr>
          <w:lang w:val="en-US"/>
        </w:rPr>
      </w:pPr>
      <w:r>
        <w:rPr>
          <w:rStyle w:val="FootnoteReference"/>
        </w:rPr>
        <w:footnoteRef/>
      </w:r>
      <w:r>
        <w:t xml:space="preserve"> </w:t>
      </w:r>
      <w:r>
        <w:rPr>
          <w:lang w:val="en-US"/>
        </w:rPr>
        <w:t>8</w:t>
      </w:r>
      <w:r w:rsidRPr="00372947">
        <w:rPr>
          <w:vertAlign w:val="superscript"/>
          <w:lang w:val="en-US"/>
        </w:rPr>
        <w:t>th</w:t>
      </w:r>
      <w:r>
        <w:rPr>
          <w:lang w:val="en-US"/>
        </w:rPr>
        <w:t xml:space="preserve"> Edition, (Sweet and Maxwell, London).</w:t>
      </w:r>
    </w:p>
  </w:footnote>
  <w:footnote w:id="6">
    <w:p w:rsidR="00E30311" w:rsidRPr="004E212F" w:rsidRDefault="00E30311">
      <w:pPr>
        <w:pStyle w:val="FootnoteText"/>
        <w:rPr>
          <w:lang w:val="en-US"/>
        </w:rPr>
      </w:pPr>
      <w:r>
        <w:rPr>
          <w:rStyle w:val="FootnoteReference"/>
        </w:rPr>
        <w:footnoteRef/>
      </w:r>
      <w:r>
        <w:t xml:space="preserve"> </w:t>
      </w:r>
      <w:r>
        <w:rPr>
          <w:lang w:val="en-US"/>
        </w:rPr>
        <w:t>5</w:t>
      </w:r>
      <w:r w:rsidRPr="004E212F">
        <w:rPr>
          <w:vertAlign w:val="superscript"/>
          <w:lang w:val="en-US"/>
        </w:rPr>
        <w:t>th</w:t>
      </w:r>
      <w:r>
        <w:rPr>
          <w:lang w:val="en-US"/>
        </w:rPr>
        <w:t xml:space="preserve"> Edition (Butterworths Lodon, 1997).</w:t>
      </w:r>
    </w:p>
  </w:footnote>
  <w:footnote w:id="7">
    <w:p w:rsidR="00E30311" w:rsidRPr="004E212F" w:rsidRDefault="00E30311">
      <w:pPr>
        <w:pStyle w:val="FootnoteText"/>
        <w:rPr>
          <w:lang w:val="en-US"/>
        </w:rPr>
      </w:pPr>
      <w:r>
        <w:rPr>
          <w:rStyle w:val="FootnoteReference"/>
        </w:rPr>
        <w:footnoteRef/>
      </w:r>
      <w:r>
        <w:t xml:space="preserve"> </w:t>
      </w:r>
      <w:r>
        <w:rPr>
          <w:lang w:val="en-US"/>
        </w:rPr>
        <w:t>Sixth Edition (Butterworth and Company London 1925).</w:t>
      </w:r>
    </w:p>
  </w:footnote>
  <w:footnote w:id="8">
    <w:p w:rsidR="00E30311" w:rsidRPr="004E212F" w:rsidRDefault="00E30311">
      <w:pPr>
        <w:pStyle w:val="FootnoteText"/>
        <w:rPr>
          <w:lang w:val="en-US"/>
        </w:rPr>
      </w:pPr>
      <w:r>
        <w:rPr>
          <w:rStyle w:val="FootnoteReference"/>
        </w:rPr>
        <w:footnoteRef/>
      </w:r>
      <w:r>
        <w:t xml:space="preserve"> </w:t>
      </w:r>
      <w:r>
        <w:rPr>
          <w:lang w:val="en-US"/>
        </w:rPr>
        <w:t>4</w:t>
      </w:r>
      <w:r w:rsidRPr="004E212F">
        <w:rPr>
          <w:vertAlign w:val="superscript"/>
          <w:lang w:val="en-US"/>
        </w:rPr>
        <w:t>th</w:t>
      </w:r>
      <w:r>
        <w:rPr>
          <w:lang w:val="en-US"/>
        </w:rPr>
        <w:t xml:space="preserve"> Edition, Volume 28, paragraph 158.</w:t>
      </w:r>
    </w:p>
  </w:footnote>
  <w:footnote w:id="9">
    <w:p w:rsidR="00E30311" w:rsidRPr="006B7598" w:rsidRDefault="00E30311">
      <w:pPr>
        <w:pStyle w:val="FootnoteText"/>
        <w:rPr>
          <w:lang w:val="en-US"/>
        </w:rPr>
      </w:pPr>
      <w:r>
        <w:rPr>
          <w:rStyle w:val="FootnoteReference"/>
        </w:rPr>
        <w:footnoteRef/>
      </w:r>
      <w:r>
        <w:t xml:space="preserve"> </w:t>
      </w:r>
      <w:r>
        <w:rPr>
          <w:lang w:val="en-US"/>
        </w:rPr>
        <w:t>Volume 28, paragraph 186.</w:t>
      </w:r>
    </w:p>
  </w:footnote>
  <w:footnote w:id="10">
    <w:p w:rsidR="00E30311" w:rsidRPr="006B7598" w:rsidRDefault="00E30311">
      <w:pPr>
        <w:pStyle w:val="FootnoteText"/>
        <w:rPr>
          <w:lang w:val="en-US"/>
        </w:rPr>
      </w:pPr>
      <w:r>
        <w:rPr>
          <w:rStyle w:val="FootnoteReference"/>
        </w:rPr>
        <w:footnoteRef/>
      </w:r>
      <w:r>
        <w:t xml:space="preserve"> </w:t>
      </w:r>
      <w:r>
        <w:rPr>
          <w:lang w:val="en-US"/>
        </w:rPr>
        <w:t>[1891] 2 Ch. 269.</w:t>
      </w:r>
    </w:p>
  </w:footnote>
  <w:footnote w:id="11">
    <w:p w:rsidR="00E30311" w:rsidRPr="006B7598" w:rsidRDefault="00E30311">
      <w:pPr>
        <w:pStyle w:val="FootnoteText"/>
        <w:rPr>
          <w:lang w:val="en-US"/>
        </w:rPr>
      </w:pPr>
      <w:r>
        <w:rPr>
          <w:rStyle w:val="FootnoteReference"/>
        </w:rPr>
        <w:footnoteRef/>
      </w:r>
      <w:r>
        <w:t xml:space="preserve"> </w:t>
      </w:r>
      <w:r>
        <w:rPr>
          <w:lang w:val="en-US"/>
        </w:rPr>
        <w:t>[1969] 1 Q.B. 349.</w:t>
      </w:r>
    </w:p>
  </w:footnote>
  <w:footnote w:id="12">
    <w:p w:rsidR="00E30311" w:rsidRPr="00DF6F51" w:rsidRDefault="00E30311">
      <w:pPr>
        <w:pStyle w:val="FootnoteText"/>
        <w:rPr>
          <w:lang w:val="en-US"/>
        </w:rPr>
      </w:pPr>
      <w:r>
        <w:rPr>
          <w:rStyle w:val="FootnoteReference"/>
        </w:rPr>
        <w:footnoteRef/>
      </w:r>
      <w:r>
        <w:t xml:space="preserve"> </w:t>
      </w:r>
      <w:r>
        <w:rPr>
          <w:lang w:val="en-US"/>
        </w:rPr>
        <w:t>[1987] 3 ALL E.R. 14.</w:t>
      </w:r>
    </w:p>
  </w:footnote>
  <w:footnote w:id="13">
    <w:p w:rsidR="00E30311" w:rsidRPr="00DF6F51" w:rsidRDefault="00E30311">
      <w:pPr>
        <w:pStyle w:val="FootnoteText"/>
        <w:rPr>
          <w:lang w:val="en-US"/>
        </w:rPr>
      </w:pPr>
      <w:r>
        <w:rPr>
          <w:rStyle w:val="FootnoteReference"/>
        </w:rPr>
        <w:footnoteRef/>
      </w:r>
      <w:r>
        <w:t xml:space="preserve"> </w:t>
      </w:r>
      <w:r>
        <w:rPr>
          <w:lang w:val="en-US"/>
        </w:rPr>
        <w:t>[1991] 2 ALL E.R. 864.</w:t>
      </w:r>
    </w:p>
  </w:footnote>
  <w:footnote w:id="14">
    <w:p w:rsidR="00E30311" w:rsidRPr="00DF6F51" w:rsidRDefault="00E30311">
      <w:pPr>
        <w:pStyle w:val="FootnoteText"/>
        <w:rPr>
          <w:lang w:val="en-US"/>
        </w:rPr>
      </w:pPr>
      <w:r>
        <w:rPr>
          <w:rStyle w:val="FootnoteReference"/>
        </w:rPr>
        <w:footnoteRef/>
      </w:r>
      <w:r>
        <w:t xml:space="preserve"> </w:t>
      </w:r>
      <w:r>
        <w:rPr>
          <w:lang w:val="en-US"/>
        </w:rPr>
        <w:t>Volume 24, paragraph 984</w:t>
      </w:r>
    </w:p>
  </w:footnote>
  <w:footnote w:id="15">
    <w:p w:rsidR="00E30311" w:rsidRPr="00DF6F51" w:rsidRDefault="00E30311">
      <w:pPr>
        <w:pStyle w:val="FootnoteText"/>
        <w:rPr>
          <w:lang w:val="en-US"/>
        </w:rPr>
      </w:pPr>
      <w:r>
        <w:rPr>
          <w:rStyle w:val="FootnoteReference"/>
        </w:rPr>
        <w:footnoteRef/>
      </w:r>
      <w:r>
        <w:t xml:space="preserve"> </w:t>
      </w:r>
      <w:r>
        <w:rPr>
          <w:lang w:val="en-US"/>
        </w:rPr>
        <w:t>[1984] 1 Q.B. 671 at 677.</w:t>
      </w:r>
    </w:p>
  </w:footnote>
  <w:footnote w:id="16">
    <w:p w:rsidR="00E30311" w:rsidRPr="00FF2A4D" w:rsidRDefault="00E30311">
      <w:pPr>
        <w:pStyle w:val="FootnoteText"/>
        <w:rPr>
          <w:lang w:val="en-US"/>
        </w:rPr>
      </w:pPr>
      <w:r>
        <w:rPr>
          <w:rStyle w:val="FootnoteReference"/>
        </w:rPr>
        <w:footnoteRef/>
      </w:r>
      <w:r>
        <w:t xml:space="preserve"> </w:t>
      </w:r>
      <w:r>
        <w:rPr>
          <w:lang w:val="en-US"/>
        </w:rPr>
        <w:t>Volume 28 paragraph 167.</w:t>
      </w:r>
    </w:p>
  </w:footnote>
  <w:footnote w:id="17">
    <w:p w:rsidR="00E30311" w:rsidRPr="00FF2A4D" w:rsidRDefault="00E30311">
      <w:pPr>
        <w:pStyle w:val="FootnoteText"/>
        <w:rPr>
          <w:lang w:val="en-US"/>
        </w:rPr>
      </w:pPr>
      <w:r>
        <w:rPr>
          <w:rStyle w:val="FootnoteReference"/>
        </w:rPr>
        <w:footnoteRef/>
      </w:r>
      <w:r>
        <w:t xml:space="preserve"> </w:t>
      </w:r>
      <w:r>
        <w:rPr>
          <w:lang w:val="en-US"/>
        </w:rPr>
        <w:t>Id paragraph 168.</w:t>
      </w:r>
    </w:p>
  </w:footnote>
  <w:footnote w:id="18">
    <w:p w:rsidR="00E30311" w:rsidRPr="005456D5" w:rsidRDefault="00E30311" w:rsidP="00153D09">
      <w:pPr>
        <w:pStyle w:val="FootnoteText"/>
        <w:rPr>
          <w:lang w:val="en-US"/>
        </w:rPr>
      </w:pPr>
      <w:r>
        <w:rPr>
          <w:rStyle w:val="FootnoteReference"/>
        </w:rPr>
        <w:footnoteRef/>
      </w:r>
      <w:r>
        <w:t xml:space="preserve"> See Michael A. Jones, </w:t>
      </w:r>
      <w:r w:rsidRPr="00585B57">
        <w:rPr>
          <w:u w:val="single"/>
        </w:rPr>
        <w:t>Clerk and Lindsell on Torts</w:t>
      </w:r>
      <w:r>
        <w:t xml:space="preserve">, Twentieth Edition, (Thomson Reuters Legal Limited 2010) paragraph 29-02 at page 1980.                                                                                                                                                                                                                                                                                                                                                                                                                                                                                                                                                                                                                                                                                                                                                                                                                                                                                                                                                                                                                                                                                                                                                                                                                                                                                                                                                                                                  </w:t>
      </w:r>
    </w:p>
  </w:footnote>
  <w:footnote w:id="19">
    <w:p w:rsidR="00E30311" w:rsidRPr="00272B75" w:rsidRDefault="00E30311" w:rsidP="00153D09">
      <w:pPr>
        <w:pStyle w:val="FootnoteText"/>
        <w:rPr>
          <w:lang w:val="en-US"/>
        </w:rPr>
      </w:pPr>
      <w:r>
        <w:rPr>
          <w:rStyle w:val="FootnoteReference"/>
        </w:rPr>
        <w:footnoteRef/>
      </w:r>
      <w:r>
        <w:t xml:space="preserve"> </w:t>
      </w:r>
      <w:r>
        <w:rPr>
          <w:lang w:val="en-US"/>
        </w:rPr>
        <w:t>See Duport Steels Limited and Others v Sirs [1980] W.L.R. 142.</w:t>
      </w:r>
    </w:p>
  </w:footnote>
  <w:footnote w:id="20">
    <w:p w:rsidR="00E30311" w:rsidRPr="00272B75" w:rsidRDefault="00E30311" w:rsidP="00153D09">
      <w:pPr>
        <w:pStyle w:val="FootnoteText"/>
        <w:rPr>
          <w:lang w:val="en-US"/>
        </w:rPr>
      </w:pPr>
      <w:r>
        <w:rPr>
          <w:rStyle w:val="FootnoteReference"/>
        </w:rPr>
        <w:footnoteRef/>
      </w:r>
      <w:r>
        <w:t xml:space="preserve"> </w:t>
      </w:r>
      <w:r>
        <w:rPr>
          <w:lang w:val="en-US"/>
        </w:rPr>
        <w:t>Id Michael A. Jones, supra note 1, paragraph 29 at page 1982.</w:t>
      </w:r>
    </w:p>
  </w:footnote>
  <w:footnote w:id="21">
    <w:p w:rsidR="00E30311" w:rsidRPr="00106B3F" w:rsidRDefault="00E30311" w:rsidP="00153D09">
      <w:pPr>
        <w:pStyle w:val="FootnoteText"/>
        <w:rPr>
          <w:lang w:val="en-US"/>
        </w:rPr>
      </w:pPr>
      <w:r>
        <w:rPr>
          <w:rStyle w:val="FootnoteReference"/>
        </w:rPr>
        <w:footnoteRef/>
      </w:r>
      <w:r>
        <w:t xml:space="preserve"> </w:t>
      </w:r>
      <w:r>
        <w:rPr>
          <w:lang w:val="en-US"/>
        </w:rPr>
        <w:t>[1975] A.C. 396 at page 406.</w:t>
      </w:r>
    </w:p>
  </w:footnote>
  <w:footnote w:id="22">
    <w:p w:rsidR="00E30311" w:rsidRPr="007F7491" w:rsidRDefault="00E30311" w:rsidP="00153D09">
      <w:pPr>
        <w:pStyle w:val="FootnoteText"/>
        <w:rPr>
          <w:lang w:val="en-US"/>
        </w:rPr>
      </w:pPr>
      <w:r>
        <w:rPr>
          <w:rStyle w:val="FootnoteReference"/>
        </w:rPr>
        <w:footnoteRef/>
      </w:r>
      <w:r>
        <w:t xml:space="preserve"> </w:t>
      </w:r>
      <w:r>
        <w:rPr>
          <w:lang w:val="en-US"/>
        </w:rPr>
        <w:t xml:space="preserve">David Bean, </w:t>
      </w:r>
      <w:r w:rsidRPr="00FF2A4D">
        <w:rPr>
          <w:u w:val="single"/>
          <w:lang w:val="en-US"/>
        </w:rPr>
        <w:t>Injunctions</w:t>
      </w:r>
      <w:r>
        <w:rPr>
          <w:lang w:val="en-US"/>
        </w:rPr>
        <w:t>, Tenth Edition, (Thomson Reuters Legal Limited, London, 2010) at page 32.</w:t>
      </w:r>
    </w:p>
  </w:footnote>
  <w:footnote w:id="23">
    <w:p w:rsidR="00E30311" w:rsidRPr="007F7491" w:rsidRDefault="00E30311" w:rsidP="00153D09">
      <w:pPr>
        <w:pStyle w:val="FootnoteText"/>
        <w:rPr>
          <w:lang w:val="en-US"/>
        </w:rPr>
      </w:pPr>
      <w:r>
        <w:rPr>
          <w:rStyle w:val="FootnoteReference"/>
        </w:rPr>
        <w:footnoteRef/>
      </w:r>
      <w:r>
        <w:t xml:space="preserve"> </w:t>
      </w:r>
      <w:r>
        <w:rPr>
          <w:lang w:val="en-US"/>
        </w:rPr>
        <w:t xml:space="preserve">John Mc Ghee </w:t>
      </w:r>
      <w:r w:rsidRPr="00585B57">
        <w:rPr>
          <w:u w:val="single"/>
          <w:lang w:val="en-US"/>
        </w:rPr>
        <w:t>Snells Equity</w:t>
      </w:r>
      <w:r>
        <w:rPr>
          <w:lang w:val="en-US"/>
        </w:rPr>
        <w:t xml:space="preserve">, Thirty First Edition, (Sweet and Maxwell London, 2008), paragraph 16-22 at page 406. </w:t>
      </w:r>
    </w:p>
  </w:footnote>
  <w:footnote w:id="24">
    <w:p w:rsidR="00E30311" w:rsidRPr="001D068A" w:rsidRDefault="00E30311" w:rsidP="00153D09">
      <w:pPr>
        <w:pStyle w:val="FootnoteText"/>
        <w:rPr>
          <w:lang w:val="en-US"/>
        </w:rPr>
      </w:pPr>
      <w:r>
        <w:rPr>
          <w:rStyle w:val="FootnoteReference"/>
        </w:rPr>
        <w:footnoteRef/>
      </w:r>
      <w:r>
        <w:t xml:space="preserve"> </w:t>
      </w:r>
      <w:r>
        <w:rPr>
          <w:lang w:val="en-US"/>
        </w:rPr>
        <w:t>id</w:t>
      </w:r>
    </w:p>
  </w:footnote>
  <w:footnote w:id="25">
    <w:p w:rsidR="00E30311" w:rsidRPr="0009447B" w:rsidRDefault="00E30311" w:rsidP="00153D09">
      <w:pPr>
        <w:pStyle w:val="FootnoteText"/>
        <w:rPr>
          <w:lang w:val="en-US"/>
        </w:rPr>
      </w:pPr>
      <w:r>
        <w:rPr>
          <w:rStyle w:val="FootnoteReference"/>
        </w:rPr>
        <w:footnoteRef/>
      </w:r>
      <w:r>
        <w:t xml:space="preserve"> </w:t>
      </w:r>
      <w:r>
        <w:rPr>
          <w:lang w:val="en-US"/>
        </w:rPr>
        <w:t>See Harmon Pictures N.K. v Osborne [1967] 1 W.L.R. 723.</w:t>
      </w:r>
    </w:p>
  </w:footnote>
  <w:footnote w:id="26">
    <w:p w:rsidR="00E30311" w:rsidRPr="0009447B" w:rsidRDefault="00E30311" w:rsidP="00153D09">
      <w:pPr>
        <w:pStyle w:val="FootnoteText"/>
        <w:rPr>
          <w:lang w:val="en-US"/>
        </w:rPr>
      </w:pPr>
      <w:r>
        <w:rPr>
          <w:rStyle w:val="FootnoteReference"/>
        </w:rPr>
        <w:footnoteRef/>
      </w:r>
      <w:r>
        <w:t xml:space="preserve"> </w:t>
      </w:r>
      <w:r>
        <w:rPr>
          <w:lang w:val="en-US"/>
        </w:rPr>
        <w:t>See Hubbard v Vosper [1972] 2 Q.B.84.</w:t>
      </w:r>
    </w:p>
  </w:footnote>
  <w:footnote w:id="27">
    <w:p w:rsidR="00E30311" w:rsidRPr="0009447B" w:rsidRDefault="00E30311" w:rsidP="00153D09">
      <w:pPr>
        <w:pStyle w:val="FootnoteText"/>
        <w:rPr>
          <w:lang w:val="en-US"/>
        </w:rPr>
      </w:pPr>
      <w:r>
        <w:rPr>
          <w:rStyle w:val="FootnoteReference"/>
        </w:rPr>
        <w:footnoteRef/>
      </w:r>
      <w:r>
        <w:t xml:space="preserve"> </w:t>
      </w:r>
      <w:r>
        <w:rPr>
          <w:lang w:val="en-US"/>
        </w:rPr>
        <w:t xml:space="preserve">Stuart Sime, </w:t>
      </w:r>
      <w:r w:rsidRPr="00585B57">
        <w:rPr>
          <w:u w:val="single"/>
          <w:lang w:val="en-US"/>
        </w:rPr>
        <w:t>A Practical Approach to Civil Procedure</w:t>
      </w:r>
      <w:r>
        <w:rPr>
          <w:lang w:val="en-US"/>
        </w:rPr>
        <w:t>, Eighth Edition, (Oxford University Press London) at p 355, 2005.</w:t>
      </w:r>
    </w:p>
  </w:footnote>
  <w:footnote w:id="28">
    <w:p w:rsidR="00E30311" w:rsidRPr="005E53C5" w:rsidRDefault="00E30311" w:rsidP="00153D09">
      <w:pPr>
        <w:pStyle w:val="FootnoteText"/>
        <w:rPr>
          <w:lang w:val="en-US"/>
        </w:rPr>
      </w:pPr>
      <w:r>
        <w:rPr>
          <w:rStyle w:val="FootnoteReference"/>
        </w:rPr>
        <w:footnoteRef/>
      </w:r>
      <w:r>
        <w:t xml:space="preserve"> </w:t>
      </w:r>
      <w:r>
        <w:rPr>
          <w:lang w:val="en-US"/>
        </w:rPr>
        <w:t>See Ndove v National Educational Company Limited [1980] Z.R. 184.</w:t>
      </w:r>
    </w:p>
  </w:footnote>
  <w:footnote w:id="29">
    <w:p w:rsidR="00E30311" w:rsidRPr="00C409AF" w:rsidRDefault="00E30311" w:rsidP="00153D09">
      <w:pPr>
        <w:pStyle w:val="FootnoteText"/>
        <w:rPr>
          <w:lang w:val="en-US"/>
        </w:rPr>
      </w:pPr>
      <w:r>
        <w:rPr>
          <w:rStyle w:val="FootnoteReference"/>
        </w:rPr>
        <w:footnoteRef/>
      </w:r>
      <w:r>
        <w:t xml:space="preserve"> </w:t>
      </w:r>
      <w:r>
        <w:rPr>
          <w:lang w:val="en-US"/>
        </w:rPr>
        <w:t>See Lwali and Others v Mumbi and Others (2009) Z.R. 64;-Mapiko and Another v Chaande 2010/HP/690 (to be reported in the 2010 Zambia Law Reports); Smithline Beecham P.K. v Opotex Europe Limited [2003] E.W.C.A. Civ. 137; and R v Secretary of State for Transport Ex Parte Factortame Limited [No2] [1991] A.C. 603</w:t>
      </w:r>
    </w:p>
  </w:footnote>
  <w:footnote w:id="30">
    <w:p w:rsidR="00E30311" w:rsidRPr="005A7830" w:rsidRDefault="00E30311" w:rsidP="00153D09">
      <w:pPr>
        <w:pStyle w:val="FootnoteText"/>
        <w:rPr>
          <w:lang w:val="en-US"/>
        </w:rPr>
      </w:pPr>
      <w:r>
        <w:rPr>
          <w:rStyle w:val="FootnoteReference"/>
        </w:rPr>
        <w:footnoteRef/>
      </w:r>
      <w:r>
        <w:t xml:space="preserve"> </w:t>
      </w:r>
      <w:r>
        <w:rPr>
          <w:lang w:val="en-US"/>
        </w:rPr>
        <w:t>Per Gardner JS in ZIMCO Properties v LAPCO Limited (1988-1989) Z.R. 92 at p 93.</w:t>
      </w:r>
    </w:p>
  </w:footnote>
  <w:footnote w:id="31">
    <w:p w:rsidR="00E30311" w:rsidRPr="005A7830" w:rsidRDefault="00E30311" w:rsidP="00153D09">
      <w:pPr>
        <w:pStyle w:val="FootnoteText"/>
        <w:rPr>
          <w:lang w:val="en-US"/>
        </w:rPr>
      </w:pPr>
      <w:r>
        <w:rPr>
          <w:rStyle w:val="FootnoteReference"/>
        </w:rPr>
        <w:footnoteRef/>
      </w:r>
      <w:r>
        <w:t xml:space="preserve"> </w:t>
      </w:r>
      <w:r>
        <w:rPr>
          <w:lang w:val="en-US"/>
        </w:rPr>
        <w:t xml:space="preserve">Shell B.P. Zambia Limited v Conidaris and Others (1975) Z.R. 174 at p 182. </w:t>
      </w:r>
    </w:p>
  </w:footnote>
  <w:footnote w:id="32">
    <w:p w:rsidR="00E30311" w:rsidRPr="005A7830" w:rsidRDefault="00E30311" w:rsidP="00153D09">
      <w:pPr>
        <w:pStyle w:val="FootnoteText"/>
        <w:rPr>
          <w:lang w:val="en-US"/>
        </w:rPr>
      </w:pPr>
      <w:r>
        <w:rPr>
          <w:rStyle w:val="FootnoteReference"/>
        </w:rPr>
        <w:footnoteRef/>
      </w:r>
      <w:r>
        <w:t xml:space="preserve"> </w:t>
      </w:r>
      <w:r>
        <w:rPr>
          <w:lang w:val="en-US"/>
        </w:rPr>
        <w:t xml:space="preserve">John Mc Ghee, supra note 22, at page 407, paragraph 16 – 23. </w:t>
      </w:r>
    </w:p>
  </w:footnote>
  <w:footnote w:id="33">
    <w:p w:rsidR="00E30311" w:rsidRPr="00885BC9" w:rsidRDefault="00E30311" w:rsidP="00153D09">
      <w:pPr>
        <w:pStyle w:val="FootnoteText"/>
        <w:rPr>
          <w:lang w:val="en-US"/>
        </w:rPr>
      </w:pPr>
      <w:r>
        <w:rPr>
          <w:rStyle w:val="FootnoteReference"/>
        </w:rPr>
        <w:footnoteRef/>
      </w:r>
      <w:r>
        <w:t xml:space="preserve"> </w:t>
      </w:r>
      <w:r>
        <w:rPr>
          <w:lang w:val="en-US"/>
        </w:rPr>
        <w:t>Per Ngulube D.C.J. in Turnkey Properties Limited v Lusaka West Development Limited and Others (1984) Z.R. 85 at P. 88.</w:t>
      </w:r>
    </w:p>
  </w:footnote>
  <w:footnote w:id="34">
    <w:p w:rsidR="00E30311" w:rsidRPr="003F2B0C" w:rsidRDefault="00E30311" w:rsidP="00153D09">
      <w:pPr>
        <w:pStyle w:val="FootnoteText"/>
        <w:rPr>
          <w:lang w:val="en-US"/>
        </w:rPr>
      </w:pPr>
      <w:r>
        <w:rPr>
          <w:rStyle w:val="FootnoteReference"/>
        </w:rPr>
        <w:footnoteRef/>
      </w:r>
      <w:r>
        <w:t xml:space="preserve"> </w:t>
      </w:r>
      <w:r>
        <w:rPr>
          <w:lang w:val="en-US"/>
        </w:rPr>
        <w:t>[1990] 3 ALL E.R. 523 at 534.</w:t>
      </w:r>
    </w:p>
  </w:footnote>
  <w:footnote w:id="35">
    <w:p w:rsidR="00E30311" w:rsidRPr="00AE522B" w:rsidRDefault="00E30311" w:rsidP="008D1FCA">
      <w:pPr>
        <w:pStyle w:val="FootnoteText"/>
        <w:rPr>
          <w:lang w:val="en-US"/>
        </w:rPr>
      </w:pPr>
      <w:r>
        <w:rPr>
          <w:rStyle w:val="FootnoteReference"/>
        </w:rPr>
        <w:footnoteRef/>
      </w:r>
      <w:r>
        <w:t xml:space="preserve"> </w:t>
      </w:r>
      <w:r>
        <w:rPr>
          <w:lang w:val="en-US"/>
        </w:rPr>
        <w:t>[1976] Q.B.D. 122 P 123.</w:t>
      </w:r>
    </w:p>
    <w:p w:rsidR="00E30311" w:rsidRPr="008D1FCA" w:rsidRDefault="00E30311">
      <w:pPr>
        <w:pStyle w:val="FootnoteText"/>
        <w:rPr>
          <w:lang w:val="en-US"/>
        </w:rPr>
      </w:pPr>
    </w:p>
  </w:footnote>
  <w:footnote w:id="36">
    <w:p w:rsidR="00E30311" w:rsidRPr="005F6F5B" w:rsidRDefault="00E30311" w:rsidP="00153D09">
      <w:pPr>
        <w:pStyle w:val="FootnoteText"/>
        <w:rPr>
          <w:lang w:val="en-US"/>
        </w:rPr>
      </w:pPr>
      <w:r>
        <w:rPr>
          <w:rStyle w:val="FootnoteReference"/>
        </w:rPr>
        <w:footnoteRef/>
      </w:r>
      <w:r>
        <w:t xml:space="preserve"> </w:t>
      </w:r>
      <w:r>
        <w:rPr>
          <w:lang w:val="en-US"/>
        </w:rPr>
        <w:t xml:space="preserve">Patrick Milmo and M.V.R. Rogers, </w:t>
      </w:r>
      <w:r w:rsidRPr="00770DDF">
        <w:rPr>
          <w:u w:val="single"/>
          <w:lang w:val="en-US"/>
        </w:rPr>
        <w:t>Gatley on Libel, and Slander</w:t>
      </w:r>
      <w:r>
        <w:rPr>
          <w:lang w:val="en-US"/>
        </w:rPr>
        <w:t>, Eleventh Edition, (Thomson Reuters Limited, London, 2008) paragraph 27 – 1 at pages 933 -934.</w:t>
      </w:r>
    </w:p>
  </w:footnote>
  <w:footnote w:id="37">
    <w:p w:rsidR="00E30311" w:rsidRPr="005F6F5B" w:rsidRDefault="00E30311" w:rsidP="00153D09">
      <w:pPr>
        <w:pStyle w:val="FootnoteText"/>
        <w:rPr>
          <w:lang w:val="en-US"/>
        </w:rPr>
      </w:pPr>
      <w:r>
        <w:rPr>
          <w:rStyle w:val="FootnoteReference"/>
        </w:rPr>
        <w:footnoteRef/>
      </w:r>
      <w:r>
        <w:t xml:space="preserve"> </w:t>
      </w:r>
      <w:r>
        <w:rPr>
          <w:lang w:val="en-US"/>
        </w:rPr>
        <w:t>Id.</w:t>
      </w:r>
    </w:p>
  </w:footnote>
  <w:footnote w:id="38">
    <w:p w:rsidR="00E30311" w:rsidRPr="00904904" w:rsidRDefault="00E30311" w:rsidP="00153D09">
      <w:pPr>
        <w:pStyle w:val="FootnoteText"/>
        <w:rPr>
          <w:lang w:val="en-US"/>
        </w:rPr>
      </w:pPr>
      <w:r>
        <w:rPr>
          <w:rStyle w:val="FootnoteReference"/>
        </w:rPr>
        <w:footnoteRef/>
      </w:r>
      <w:r>
        <w:t xml:space="preserve"> </w:t>
      </w:r>
      <w:r>
        <w:rPr>
          <w:lang w:val="en-US"/>
        </w:rPr>
        <w:t>[1887] 3 T.L.R. 846.</w:t>
      </w:r>
    </w:p>
  </w:footnote>
  <w:footnote w:id="39">
    <w:p w:rsidR="00E30311" w:rsidRPr="00C30C89" w:rsidRDefault="00E30311" w:rsidP="00153D09">
      <w:pPr>
        <w:pStyle w:val="FootnoteText"/>
        <w:rPr>
          <w:lang w:val="en-US"/>
        </w:rPr>
      </w:pPr>
      <w:r>
        <w:rPr>
          <w:rStyle w:val="FootnoteReference"/>
        </w:rPr>
        <w:footnoteRef/>
      </w:r>
      <w:r>
        <w:t xml:space="preserve"> </w:t>
      </w:r>
      <w:r>
        <w:rPr>
          <w:lang w:val="en-US"/>
        </w:rPr>
        <w:t>[1891] 2Ch. 269 at 284.</w:t>
      </w:r>
    </w:p>
  </w:footnote>
  <w:footnote w:id="40">
    <w:p w:rsidR="00E30311" w:rsidRPr="003E561D" w:rsidRDefault="00E30311" w:rsidP="00153D09">
      <w:pPr>
        <w:pStyle w:val="FootnoteText"/>
        <w:rPr>
          <w:lang w:val="en-US"/>
        </w:rPr>
      </w:pPr>
      <w:r>
        <w:rPr>
          <w:rStyle w:val="FootnoteReference"/>
        </w:rPr>
        <w:footnoteRef/>
      </w:r>
      <w:r>
        <w:t xml:space="preserve"> </w:t>
      </w:r>
      <w:r>
        <w:rPr>
          <w:lang w:val="en-US"/>
        </w:rPr>
        <w:t>[1969] 1 Q.B. 349.</w:t>
      </w:r>
    </w:p>
  </w:footnote>
  <w:footnote w:id="41">
    <w:p w:rsidR="00E30311" w:rsidRPr="00293D9F" w:rsidRDefault="00E30311" w:rsidP="00153D09">
      <w:pPr>
        <w:pStyle w:val="FootnoteText"/>
        <w:rPr>
          <w:lang w:val="en-US"/>
        </w:rPr>
      </w:pPr>
      <w:r>
        <w:rPr>
          <w:rStyle w:val="FootnoteReference"/>
        </w:rPr>
        <w:footnoteRef/>
      </w:r>
      <w:r>
        <w:t xml:space="preserve"> </w:t>
      </w:r>
      <w:r>
        <w:rPr>
          <w:lang w:val="en-US"/>
        </w:rPr>
        <w:t>Patrick Milimo and W. V. H. Rogers, supra note 35, at paragraph 27.2 at page 934.</w:t>
      </w:r>
    </w:p>
  </w:footnote>
  <w:footnote w:id="42">
    <w:p w:rsidR="00E30311" w:rsidRPr="006764CD" w:rsidRDefault="00E30311" w:rsidP="00153D09">
      <w:pPr>
        <w:pStyle w:val="FootnoteText"/>
        <w:rPr>
          <w:lang w:val="en-US"/>
        </w:rPr>
      </w:pPr>
      <w:r>
        <w:rPr>
          <w:rStyle w:val="FootnoteReference"/>
        </w:rPr>
        <w:footnoteRef/>
      </w:r>
      <w:r>
        <w:t xml:space="preserve"> </w:t>
      </w:r>
      <w:r>
        <w:rPr>
          <w:lang w:val="en-US"/>
        </w:rPr>
        <w:t>Id. paragraph 27 – 3 at page 936.</w:t>
      </w:r>
    </w:p>
  </w:footnote>
  <w:footnote w:id="43">
    <w:p w:rsidR="00E30311" w:rsidRPr="00F808AA" w:rsidRDefault="00E30311" w:rsidP="00153D09">
      <w:pPr>
        <w:pStyle w:val="FootnoteText"/>
        <w:rPr>
          <w:lang w:val="en-US"/>
        </w:rPr>
      </w:pPr>
      <w:r>
        <w:rPr>
          <w:rStyle w:val="FootnoteReference"/>
        </w:rPr>
        <w:footnoteRef/>
      </w:r>
      <w:r>
        <w:t xml:space="preserve"> </w:t>
      </w:r>
      <w:r>
        <w:rPr>
          <w:lang w:val="en-US"/>
        </w:rPr>
        <w:t>Id. paragraph 27-5 at page 936.</w:t>
      </w:r>
    </w:p>
  </w:footnote>
  <w:footnote w:id="44">
    <w:p w:rsidR="00E30311" w:rsidRPr="003E6B56" w:rsidRDefault="00E30311" w:rsidP="00153D09">
      <w:pPr>
        <w:pStyle w:val="FootnoteText"/>
        <w:rPr>
          <w:lang w:val="en-US"/>
        </w:rPr>
      </w:pPr>
      <w:r>
        <w:rPr>
          <w:rStyle w:val="FootnoteReference"/>
        </w:rPr>
        <w:footnoteRef/>
      </w:r>
      <w:r>
        <w:t xml:space="preserve"> </w:t>
      </w:r>
      <w:r>
        <w:rPr>
          <w:lang w:val="en-US"/>
        </w:rPr>
        <w:t>Id. paragraph 27 – 10 at page 940</w:t>
      </w:r>
    </w:p>
  </w:footnote>
  <w:footnote w:id="45">
    <w:p w:rsidR="00E30311" w:rsidRPr="003E6B56" w:rsidRDefault="00E30311" w:rsidP="00153D09">
      <w:pPr>
        <w:pStyle w:val="FootnoteText"/>
        <w:rPr>
          <w:lang w:val="en-US"/>
        </w:rPr>
      </w:pPr>
      <w:r>
        <w:rPr>
          <w:rStyle w:val="FootnoteReference"/>
        </w:rPr>
        <w:footnoteRef/>
      </w:r>
      <w:r>
        <w:t xml:space="preserve"> </w:t>
      </w:r>
      <w:r>
        <w:rPr>
          <w:lang w:val="en-US"/>
        </w:rPr>
        <w:t xml:space="preserve">Id. </w:t>
      </w:r>
    </w:p>
  </w:footnote>
  <w:footnote w:id="46">
    <w:p w:rsidR="00E30311" w:rsidRPr="00725B70" w:rsidRDefault="00E30311" w:rsidP="00153D09">
      <w:pPr>
        <w:pStyle w:val="FootnoteText"/>
        <w:rPr>
          <w:lang w:val="en-US"/>
        </w:rPr>
      </w:pPr>
      <w:r>
        <w:rPr>
          <w:rStyle w:val="FootnoteReference"/>
        </w:rPr>
        <w:footnoteRef/>
      </w:r>
      <w:r>
        <w:t xml:space="preserve"> </w:t>
      </w:r>
      <w:r>
        <w:rPr>
          <w:lang w:val="en-US"/>
        </w:rPr>
        <w:t>[1919] A.C. 999 at 1005.</w:t>
      </w:r>
    </w:p>
  </w:footnote>
  <w:footnote w:id="47">
    <w:p w:rsidR="00E30311" w:rsidRPr="00725B70" w:rsidRDefault="00E30311" w:rsidP="00153D09">
      <w:pPr>
        <w:pStyle w:val="FootnoteText"/>
        <w:rPr>
          <w:lang w:val="en-US"/>
        </w:rPr>
      </w:pPr>
      <w:r>
        <w:rPr>
          <w:rStyle w:val="FootnoteReference"/>
        </w:rPr>
        <w:footnoteRef/>
      </w:r>
      <w:r>
        <w:t xml:space="preserve"> </w:t>
      </w:r>
      <w:r>
        <w:rPr>
          <w:lang w:val="en-US"/>
        </w:rPr>
        <w:t>Patrick Milmo and W.V.H. Rogers supra note 19 at paragraph 29 – 22 at page 1993.</w:t>
      </w:r>
    </w:p>
  </w:footnote>
  <w:footnote w:id="48">
    <w:p w:rsidR="00E30311" w:rsidRPr="00D47B13" w:rsidRDefault="00E30311">
      <w:pPr>
        <w:pStyle w:val="FootnoteText"/>
        <w:rPr>
          <w:lang w:val="en-US"/>
        </w:rPr>
      </w:pPr>
      <w:r>
        <w:rPr>
          <w:rStyle w:val="FootnoteReference"/>
        </w:rPr>
        <w:footnoteRef/>
      </w:r>
      <w:r>
        <w:t xml:space="preserve"> </w:t>
      </w:r>
      <w:r>
        <w:rPr>
          <w:lang w:val="en-US"/>
        </w:rPr>
        <w:t xml:space="preserve">David Price, Korieh Duodu, and Nicola Cain. </w:t>
      </w:r>
      <w:r w:rsidRPr="002329D6">
        <w:rPr>
          <w:u w:val="single"/>
          <w:lang w:val="en-US"/>
        </w:rPr>
        <w:t>Defamation Law, Procedure, and Practice</w:t>
      </w:r>
      <w:r>
        <w:rPr>
          <w:lang w:val="en-US"/>
        </w:rPr>
        <w:t>. Fifth Edition, (Sweet, and Maxwell, 2010). Paragraph 8-101 at page 57.</w:t>
      </w:r>
    </w:p>
  </w:footnote>
  <w:footnote w:id="49">
    <w:p w:rsidR="00E30311" w:rsidRPr="00D47B13" w:rsidRDefault="00E30311">
      <w:pPr>
        <w:pStyle w:val="FootnoteText"/>
        <w:rPr>
          <w:lang w:val="en-US"/>
        </w:rPr>
      </w:pPr>
      <w:r>
        <w:rPr>
          <w:rStyle w:val="FootnoteReference"/>
        </w:rPr>
        <w:footnoteRef/>
      </w:r>
      <w:r>
        <w:t xml:space="preserve"> </w:t>
      </w:r>
      <w:r>
        <w:rPr>
          <w:lang w:val="en-US"/>
        </w:rPr>
        <w:t>Id.</w:t>
      </w:r>
    </w:p>
  </w:footnote>
  <w:footnote w:id="50">
    <w:p w:rsidR="00E30311" w:rsidRPr="00D47B13" w:rsidRDefault="00E30311">
      <w:pPr>
        <w:pStyle w:val="FootnoteText"/>
        <w:rPr>
          <w:lang w:val="en-US"/>
        </w:rPr>
      </w:pPr>
      <w:r>
        <w:rPr>
          <w:rStyle w:val="FootnoteReference"/>
        </w:rPr>
        <w:footnoteRef/>
      </w:r>
      <w:r>
        <w:t xml:space="preserve"> </w:t>
      </w:r>
      <w:r>
        <w:rPr>
          <w:lang w:val="en-US"/>
        </w:rPr>
        <w:t xml:space="preserve">Id. </w:t>
      </w:r>
    </w:p>
  </w:footnote>
  <w:footnote w:id="51">
    <w:p w:rsidR="00E30311" w:rsidRPr="00B033D8" w:rsidRDefault="00E30311">
      <w:pPr>
        <w:pStyle w:val="FootnoteText"/>
        <w:rPr>
          <w:lang w:val="en-US"/>
        </w:rPr>
      </w:pPr>
      <w:r>
        <w:rPr>
          <w:rStyle w:val="FootnoteReference"/>
        </w:rPr>
        <w:footnoteRef/>
      </w:r>
      <w:r>
        <w:t xml:space="preserve"> </w:t>
      </w:r>
      <w:r>
        <w:rPr>
          <w:lang w:val="en-US"/>
        </w:rPr>
        <w:t>[1829] 10 B and C 263.</w:t>
      </w:r>
    </w:p>
  </w:footnote>
  <w:footnote w:id="52">
    <w:p w:rsidR="00E30311" w:rsidRPr="00D577FE" w:rsidRDefault="00E30311">
      <w:pPr>
        <w:pStyle w:val="FootnoteText"/>
        <w:rPr>
          <w:lang w:val="en-US"/>
        </w:rPr>
      </w:pPr>
      <w:r>
        <w:rPr>
          <w:rStyle w:val="FootnoteReference"/>
        </w:rPr>
        <w:footnoteRef/>
      </w:r>
      <w:r>
        <w:t xml:space="preserve"> </w:t>
      </w:r>
      <w:r>
        <w:rPr>
          <w:lang w:val="en-US"/>
        </w:rPr>
        <w:t>Patrick Milmo and W.V.H. Rogers, supra note 35, paragraph 27 – 6 at page 936.</w:t>
      </w:r>
    </w:p>
  </w:footnote>
  <w:footnote w:id="53">
    <w:p w:rsidR="00E30311" w:rsidRPr="00D577FE" w:rsidRDefault="00E30311">
      <w:pPr>
        <w:pStyle w:val="FootnoteText"/>
        <w:rPr>
          <w:lang w:val="en-US"/>
        </w:rPr>
      </w:pPr>
      <w:r>
        <w:rPr>
          <w:rStyle w:val="FootnoteReference"/>
        </w:rPr>
        <w:footnoteRef/>
      </w:r>
      <w:r>
        <w:t xml:space="preserve"> </w:t>
      </w:r>
      <w:r>
        <w:rPr>
          <w:lang w:val="en-US"/>
        </w:rPr>
        <w:t>See Holley v Smith [1998] E. M.L.R. 133.</w:t>
      </w:r>
    </w:p>
  </w:footnote>
  <w:footnote w:id="54">
    <w:p w:rsidR="00E30311" w:rsidRPr="00AE6B33" w:rsidRDefault="00E30311">
      <w:pPr>
        <w:pStyle w:val="FootnoteText"/>
        <w:rPr>
          <w:lang w:val="en-US"/>
        </w:rPr>
      </w:pPr>
      <w:r>
        <w:rPr>
          <w:rStyle w:val="FootnoteReference"/>
        </w:rPr>
        <w:footnoteRef/>
      </w:r>
      <w:r>
        <w:t xml:space="preserve"> </w:t>
      </w:r>
      <w:r>
        <w:rPr>
          <w:lang w:val="en-US"/>
        </w:rPr>
        <w:t>Halsbury Laws of England, Fourth Edition, (Reissue) Volume 28. (Butterworths London 1997) paragraph 189 at 99.</w:t>
      </w:r>
    </w:p>
  </w:footnote>
  <w:footnote w:id="55">
    <w:p w:rsidR="00E30311" w:rsidRPr="00AE6B33" w:rsidRDefault="00E30311">
      <w:pPr>
        <w:pStyle w:val="FootnoteText"/>
        <w:rPr>
          <w:lang w:val="en-US"/>
        </w:rPr>
      </w:pPr>
      <w:r>
        <w:rPr>
          <w:rStyle w:val="FootnoteReference"/>
        </w:rPr>
        <w:footnoteRef/>
      </w:r>
      <w:r>
        <w:t xml:space="preserve"> </w:t>
      </w:r>
      <w:r>
        <w:rPr>
          <w:lang w:val="en-US"/>
        </w:rPr>
        <w:t>Id.</w:t>
      </w:r>
    </w:p>
  </w:footnote>
  <w:footnote w:id="56">
    <w:p w:rsidR="00E30311" w:rsidRPr="00F45797" w:rsidRDefault="00E30311">
      <w:pPr>
        <w:pStyle w:val="FootnoteText"/>
        <w:rPr>
          <w:lang w:val="en-US"/>
        </w:rPr>
      </w:pPr>
      <w:r>
        <w:rPr>
          <w:rStyle w:val="FootnoteReference"/>
        </w:rPr>
        <w:footnoteRef/>
      </w:r>
      <w:r>
        <w:t xml:space="preserve"> </w:t>
      </w:r>
      <w:r>
        <w:rPr>
          <w:lang w:val="en-US"/>
        </w:rPr>
        <w:t>David Price, Korieh Duodu, and Nicola Cain, supra note 47, at paragraph 8 – 02 at page 58.</w:t>
      </w:r>
    </w:p>
  </w:footnote>
  <w:footnote w:id="57">
    <w:p w:rsidR="00E30311" w:rsidRPr="00F45797" w:rsidRDefault="00E30311">
      <w:pPr>
        <w:pStyle w:val="FootnoteText"/>
        <w:rPr>
          <w:lang w:val="en-US"/>
        </w:rPr>
      </w:pPr>
      <w:r>
        <w:rPr>
          <w:rStyle w:val="FootnoteReference"/>
        </w:rPr>
        <w:footnoteRef/>
      </w:r>
      <w:r>
        <w:t xml:space="preserve"> </w:t>
      </w:r>
      <w:r>
        <w:rPr>
          <w:lang w:val="en-US"/>
        </w:rPr>
        <w:t xml:space="preserve">Id. </w:t>
      </w:r>
    </w:p>
  </w:footnote>
  <w:footnote w:id="58">
    <w:p w:rsidR="00E30311" w:rsidRPr="00F45797" w:rsidRDefault="00E30311">
      <w:pPr>
        <w:pStyle w:val="FootnoteText"/>
        <w:rPr>
          <w:lang w:val="en-US"/>
        </w:rPr>
      </w:pPr>
      <w:r>
        <w:rPr>
          <w:rStyle w:val="FootnoteReference"/>
        </w:rPr>
        <w:footnoteRef/>
      </w:r>
      <w:r>
        <w:t xml:space="preserve"> </w:t>
      </w:r>
      <w:r>
        <w:rPr>
          <w:lang w:val="en-US"/>
        </w:rPr>
        <w:t>Halsbury Laws of England, supra note 55, paragraph 190, at p. 99.</w:t>
      </w:r>
    </w:p>
  </w:footnote>
  <w:footnote w:id="59">
    <w:p w:rsidR="00E30311" w:rsidRPr="00F45797" w:rsidRDefault="00E30311">
      <w:pPr>
        <w:pStyle w:val="FootnoteText"/>
        <w:rPr>
          <w:lang w:val="en-US"/>
        </w:rPr>
      </w:pPr>
      <w:r>
        <w:rPr>
          <w:rStyle w:val="FootnoteReference"/>
        </w:rPr>
        <w:footnoteRef/>
      </w:r>
      <w:r>
        <w:t xml:space="preserve"> </w:t>
      </w:r>
      <w:r>
        <w:rPr>
          <w:lang w:val="en-US"/>
        </w:rPr>
        <w:t>id.</w:t>
      </w:r>
    </w:p>
  </w:footnote>
  <w:footnote w:id="60">
    <w:p w:rsidR="00E30311" w:rsidRPr="008E7C2D" w:rsidRDefault="00E30311">
      <w:pPr>
        <w:pStyle w:val="FootnoteText"/>
        <w:rPr>
          <w:lang w:val="en-US"/>
        </w:rPr>
      </w:pPr>
      <w:r>
        <w:rPr>
          <w:rStyle w:val="FootnoteReference"/>
        </w:rPr>
        <w:footnoteRef/>
      </w:r>
      <w:r>
        <w:t xml:space="preserve"> </w:t>
      </w:r>
      <w:r>
        <w:rPr>
          <w:lang w:val="en-US"/>
        </w:rPr>
        <w:t>Id.</w:t>
      </w:r>
    </w:p>
  </w:footnote>
  <w:footnote w:id="61">
    <w:p w:rsidR="00E30311" w:rsidRPr="008E7C2D" w:rsidRDefault="00E30311">
      <w:pPr>
        <w:pStyle w:val="FootnoteText"/>
        <w:rPr>
          <w:lang w:val="en-US"/>
        </w:rPr>
      </w:pPr>
      <w:r>
        <w:rPr>
          <w:rStyle w:val="FootnoteReference"/>
        </w:rPr>
        <w:footnoteRef/>
      </w:r>
      <w:r>
        <w:t xml:space="preserve"> </w:t>
      </w:r>
      <w:r>
        <w:rPr>
          <w:lang w:val="en-US"/>
        </w:rPr>
        <w:t>Chapter 68 of the laws of Zambia.</w:t>
      </w:r>
    </w:p>
  </w:footnote>
  <w:footnote w:id="62">
    <w:p w:rsidR="00E30311" w:rsidRPr="008E7C2D" w:rsidRDefault="00E30311">
      <w:pPr>
        <w:pStyle w:val="FootnoteText"/>
        <w:rPr>
          <w:lang w:val="en-US"/>
        </w:rPr>
      </w:pPr>
      <w:r>
        <w:rPr>
          <w:rStyle w:val="FootnoteReference"/>
        </w:rPr>
        <w:footnoteRef/>
      </w:r>
      <w:r>
        <w:t xml:space="preserve"> </w:t>
      </w:r>
      <w:r>
        <w:rPr>
          <w:lang w:val="en-US"/>
        </w:rPr>
        <w:t>See Kashoggi v IPC Magazine Limited [1986] 3 All E.R. 577.</w:t>
      </w:r>
    </w:p>
  </w:footnote>
  <w:footnote w:id="63">
    <w:p w:rsidR="00E30311" w:rsidRPr="008E7C2D" w:rsidRDefault="00E30311">
      <w:pPr>
        <w:pStyle w:val="FootnoteText"/>
        <w:rPr>
          <w:lang w:val="en-US"/>
        </w:rPr>
      </w:pPr>
      <w:r>
        <w:rPr>
          <w:rStyle w:val="FootnoteReference"/>
        </w:rPr>
        <w:footnoteRef/>
      </w:r>
      <w:r>
        <w:t xml:space="preserve"> </w:t>
      </w:r>
      <w:r>
        <w:rPr>
          <w:lang w:val="en-US"/>
        </w:rPr>
        <w:t>Halsbury Laws of England, supra note 53, paragraph 189, at 99.</w:t>
      </w:r>
    </w:p>
  </w:footnote>
  <w:footnote w:id="64">
    <w:p w:rsidR="00E30311" w:rsidRPr="001D499F" w:rsidRDefault="00E30311">
      <w:pPr>
        <w:pStyle w:val="FootnoteText"/>
        <w:rPr>
          <w:lang w:val="en-US"/>
        </w:rPr>
      </w:pPr>
      <w:r>
        <w:rPr>
          <w:rStyle w:val="FootnoteReference"/>
        </w:rPr>
        <w:footnoteRef/>
      </w:r>
      <w:r>
        <w:t xml:space="preserve"> </w:t>
      </w:r>
      <w:r>
        <w:rPr>
          <w:lang w:val="en-US"/>
        </w:rPr>
        <w:t>David Price, Korieh Duodu, and Nicola Cain, supra note 47, paragraph 8 – 03 at p 59.</w:t>
      </w:r>
    </w:p>
  </w:footnote>
  <w:footnote w:id="65">
    <w:p w:rsidR="00E30311" w:rsidRPr="00970612" w:rsidRDefault="00E30311">
      <w:pPr>
        <w:pStyle w:val="FootnoteText"/>
        <w:rPr>
          <w:lang w:val="en-US"/>
        </w:rPr>
      </w:pPr>
      <w:r>
        <w:rPr>
          <w:rStyle w:val="FootnoteReference"/>
        </w:rPr>
        <w:footnoteRef/>
      </w:r>
      <w:r>
        <w:t xml:space="preserve"> </w:t>
      </w:r>
      <w:r>
        <w:rPr>
          <w:lang w:val="en-US"/>
        </w:rPr>
        <w:t>Id.</w:t>
      </w:r>
    </w:p>
  </w:footnote>
  <w:footnote w:id="66">
    <w:p w:rsidR="00E30311" w:rsidRPr="00970612" w:rsidRDefault="00E30311">
      <w:pPr>
        <w:pStyle w:val="FootnoteText"/>
        <w:rPr>
          <w:lang w:val="en-US"/>
        </w:rPr>
      </w:pPr>
      <w:r>
        <w:rPr>
          <w:rStyle w:val="FootnoteReference"/>
        </w:rPr>
        <w:footnoteRef/>
      </w:r>
      <w:r>
        <w:t xml:space="preserve"> </w:t>
      </w:r>
      <w:r>
        <w:rPr>
          <w:lang w:val="en-US"/>
        </w:rPr>
        <w:t>Id.</w:t>
      </w:r>
    </w:p>
  </w:footnote>
  <w:footnote w:id="67">
    <w:p w:rsidR="00E30311" w:rsidRPr="00C90909" w:rsidRDefault="00E30311">
      <w:pPr>
        <w:pStyle w:val="FootnoteText"/>
        <w:rPr>
          <w:lang w:val="en-US"/>
        </w:rPr>
      </w:pPr>
      <w:r>
        <w:rPr>
          <w:rStyle w:val="FootnoteReference"/>
        </w:rPr>
        <w:footnoteRef/>
      </w:r>
      <w:r>
        <w:t xml:space="preserve"> </w:t>
      </w:r>
      <w:r>
        <w:rPr>
          <w:lang w:val="en-US"/>
        </w:rPr>
        <w:t>Id.</w:t>
      </w:r>
    </w:p>
  </w:footnote>
  <w:footnote w:id="68">
    <w:p w:rsidR="00E30311" w:rsidRPr="00970612" w:rsidRDefault="00E30311">
      <w:pPr>
        <w:pStyle w:val="FootnoteText"/>
        <w:rPr>
          <w:lang w:val="en-US"/>
        </w:rPr>
      </w:pPr>
      <w:r>
        <w:rPr>
          <w:rStyle w:val="FootnoteReference"/>
        </w:rPr>
        <w:footnoteRef/>
      </w:r>
      <w:r>
        <w:t xml:space="preserve"> </w:t>
      </w:r>
      <w:r>
        <w:rPr>
          <w:lang w:val="en-US"/>
        </w:rPr>
        <w:t>Id. Paragraph 8 – 02, at page 58.</w:t>
      </w:r>
    </w:p>
  </w:footnote>
  <w:footnote w:id="69">
    <w:p w:rsidR="00E30311" w:rsidRPr="00C90909" w:rsidRDefault="00E30311">
      <w:pPr>
        <w:pStyle w:val="FootnoteText"/>
        <w:rPr>
          <w:lang w:val="en-US"/>
        </w:rPr>
      </w:pPr>
      <w:r>
        <w:rPr>
          <w:rStyle w:val="FootnoteReference"/>
        </w:rPr>
        <w:footnoteRef/>
      </w:r>
      <w:r>
        <w:t xml:space="preserve"> </w:t>
      </w:r>
      <w:r>
        <w:rPr>
          <w:lang w:val="en-US"/>
        </w:rPr>
        <w:t xml:space="preserve">Id. </w:t>
      </w:r>
    </w:p>
  </w:footnote>
  <w:footnote w:id="70">
    <w:p w:rsidR="00E30311" w:rsidRPr="00C90909" w:rsidRDefault="00E30311">
      <w:pPr>
        <w:pStyle w:val="FootnoteText"/>
        <w:rPr>
          <w:lang w:val="en-US"/>
        </w:rPr>
      </w:pPr>
      <w:r>
        <w:rPr>
          <w:rStyle w:val="FootnoteReference"/>
        </w:rPr>
        <w:footnoteRef/>
      </w:r>
      <w:r>
        <w:t xml:space="preserve"> </w:t>
      </w:r>
      <w:r>
        <w:rPr>
          <w:lang w:val="en-US"/>
        </w:rPr>
        <w:t xml:space="preserve">Id. </w:t>
      </w:r>
    </w:p>
  </w:footnote>
  <w:footnote w:id="71">
    <w:p w:rsidR="00E30311" w:rsidRPr="00A46035" w:rsidRDefault="00E30311">
      <w:pPr>
        <w:pStyle w:val="FootnoteText"/>
        <w:rPr>
          <w:lang w:val="en-US"/>
        </w:rPr>
      </w:pPr>
      <w:r>
        <w:rPr>
          <w:rStyle w:val="FootnoteReference"/>
        </w:rPr>
        <w:footnoteRef/>
      </w:r>
      <w:r>
        <w:t xml:space="preserve"> </w:t>
      </w:r>
      <w:r>
        <w:rPr>
          <w:lang w:val="en-US"/>
        </w:rPr>
        <w:t>Reynolds v Times Newspapers Limited, and Others, [2001] 2 A.C. 127, Per Lord Nicholls of Birkenhead.</w:t>
      </w:r>
    </w:p>
  </w:footnote>
  <w:footnote w:id="72">
    <w:p w:rsidR="00E30311" w:rsidRPr="005953C7" w:rsidRDefault="00E30311">
      <w:pPr>
        <w:pStyle w:val="FootnoteText"/>
        <w:rPr>
          <w:lang w:val="en-US"/>
        </w:rPr>
      </w:pPr>
      <w:r>
        <w:rPr>
          <w:rStyle w:val="FootnoteReference"/>
        </w:rPr>
        <w:footnoteRef/>
      </w:r>
      <w:r>
        <w:t xml:space="preserve"> </w:t>
      </w:r>
      <w:r>
        <w:rPr>
          <w:lang w:val="en-US"/>
        </w:rPr>
        <w:t xml:space="preserve">Id. </w:t>
      </w:r>
    </w:p>
  </w:footnote>
  <w:footnote w:id="73">
    <w:p w:rsidR="00E30311" w:rsidRPr="005953C7" w:rsidRDefault="00E30311">
      <w:pPr>
        <w:pStyle w:val="FootnoteText"/>
        <w:rPr>
          <w:lang w:val="en-US"/>
        </w:rPr>
      </w:pPr>
      <w:r>
        <w:rPr>
          <w:rStyle w:val="FootnoteReference"/>
        </w:rPr>
        <w:footnoteRef/>
      </w:r>
      <w:r>
        <w:t xml:space="preserve"> </w:t>
      </w:r>
      <w:r>
        <w:rPr>
          <w:lang w:val="en-US"/>
        </w:rPr>
        <w:t xml:space="preserve">Id. </w:t>
      </w:r>
    </w:p>
  </w:footnote>
  <w:footnote w:id="74">
    <w:p w:rsidR="00E30311" w:rsidRPr="004D77DE" w:rsidRDefault="00E30311">
      <w:pPr>
        <w:pStyle w:val="FootnoteText"/>
        <w:rPr>
          <w:lang w:val="en-US"/>
        </w:rPr>
      </w:pPr>
      <w:r>
        <w:rPr>
          <w:rStyle w:val="FootnoteReference"/>
        </w:rPr>
        <w:footnoteRef/>
      </w:r>
      <w:r>
        <w:t xml:space="preserve"> </w:t>
      </w:r>
      <w:r>
        <w:rPr>
          <w:lang w:val="en-US"/>
        </w:rPr>
        <w:t xml:space="preserve">Id. </w:t>
      </w:r>
    </w:p>
  </w:footnote>
  <w:footnote w:id="75">
    <w:p w:rsidR="00E30311" w:rsidRPr="004D77DE" w:rsidRDefault="00E30311">
      <w:pPr>
        <w:pStyle w:val="FootnoteText"/>
        <w:rPr>
          <w:lang w:val="en-US"/>
        </w:rPr>
      </w:pPr>
      <w:r>
        <w:rPr>
          <w:rStyle w:val="FootnoteReference"/>
        </w:rPr>
        <w:footnoteRef/>
      </w:r>
      <w:r>
        <w:t xml:space="preserve"> </w:t>
      </w:r>
      <w:r>
        <w:rPr>
          <w:lang w:val="en-US"/>
        </w:rPr>
        <w:t>David Price, Korieh Duodu, and Nicola Cain, supra note 47, paragraph 9-03 at page 74.</w:t>
      </w:r>
    </w:p>
  </w:footnote>
  <w:footnote w:id="76">
    <w:p w:rsidR="00E30311" w:rsidRPr="004D77DE" w:rsidRDefault="00E30311">
      <w:pPr>
        <w:pStyle w:val="FootnoteText"/>
        <w:rPr>
          <w:lang w:val="en-US"/>
        </w:rPr>
      </w:pPr>
      <w:r>
        <w:rPr>
          <w:rStyle w:val="FootnoteReference"/>
        </w:rPr>
        <w:footnoteRef/>
      </w:r>
      <w:r>
        <w:t xml:space="preserve"> </w:t>
      </w:r>
      <w:r>
        <w:rPr>
          <w:lang w:val="en-US"/>
        </w:rPr>
        <w:t>[2001] E.M.L.R. 800.</w:t>
      </w:r>
    </w:p>
  </w:footnote>
  <w:footnote w:id="77">
    <w:p w:rsidR="00E30311" w:rsidRPr="004D77DE" w:rsidRDefault="00E30311">
      <w:pPr>
        <w:pStyle w:val="FootnoteText"/>
        <w:rPr>
          <w:lang w:val="en-US"/>
        </w:rPr>
      </w:pPr>
      <w:r>
        <w:rPr>
          <w:rStyle w:val="FootnoteReference"/>
        </w:rPr>
        <w:footnoteRef/>
      </w:r>
      <w:r>
        <w:t xml:space="preserve"> </w:t>
      </w:r>
      <w:r>
        <w:rPr>
          <w:lang w:val="en-US"/>
        </w:rPr>
        <w:t>[1910] V.L.R. 494.</w:t>
      </w:r>
    </w:p>
  </w:footnote>
  <w:footnote w:id="78">
    <w:p w:rsidR="00E30311" w:rsidRPr="005817A2" w:rsidRDefault="00E30311">
      <w:pPr>
        <w:pStyle w:val="FootnoteText"/>
        <w:rPr>
          <w:lang w:val="en-US"/>
        </w:rPr>
      </w:pPr>
      <w:r>
        <w:rPr>
          <w:rStyle w:val="FootnoteReference"/>
        </w:rPr>
        <w:footnoteRef/>
      </w:r>
      <w:r>
        <w:t xml:space="preserve"> </w:t>
      </w:r>
      <w:r>
        <w:rPr>
          <w:lang w:val="en-US"/>
        </w:rPr>
        <w:t>David Price, Korieh Duodu, and Nicola Cain, supra note 47, paragraph 9-03 at page 75.</w:t>
      </w:r>
    </w:p>
  </w:footnote>
  <w:footnote w:id="79">
    <w:p w:rsidR="00E30311" w:rsidRPr="005817A2" w:rsidRDefault="00E30311">
      <w:pPr>
        <w:pStyle w:val="FootnoteText"/>
        <w:rPr>
          <w:lang w:val="en-US"/>
        </w:rPr>
      </w:pPr>
      <w:r>
        <w:rPr>
          <w:rStyle w:val="FootnoteReference"/>
        </w:rPr>
        <w:footnoteRef/>
      </w:r>
      <w:r>
        <w:t xml:space="preserve"> </w:t>
      </w:r>
      <w:r>
        <w:rPr>
          <w:lang w:val="en-US"/>
        </w:rPr>
        <w:t xml:space="preserve">Id. </w:t>
      </w:r>
    </w:p>
  </w:footnote>
  <w:footnote w:id="80">
    <w:p w:rsidR="00E30311" w:rsidRPr="005817A2" w:rsidRDefault="00E30311">
      <w:pPr>
        <w:pStyle w:val="FootnoteText"/>
        <w:rPr>
          <w:lang w:val="en-US"/>
        </w:rPr>
      </w:pPr>
      <w:r>
        <w:rPr>
          <w:rStyle w:val="FootnoteReference"/>
        </w:rPr>
        <w:footnoteRef/>
      </w:r>
      <w:r>
        <w:t xml:space="preserve"> </w:t>
      </w:r>
      <w:r>
        <w:rPr>
          <w:lang w:val="en-US"/>
        </w:rPr>
        <w:t xml:space="preserve">Id. </w:t>
      </w:r>
    </w:p>
  </w:footnote>
  <w:footnote w:id="81">
    <w:p w:rsidR="00E30311" w:rsidRPr="005817A2" w:rsidRDefault="00E30311">
      <w:pPr>
        <w:pStyle w:val="FootnoteText"/>
        <w:rPr>
          <w:lang w:val="en-US"/>
        </w:rPr>
      </w:pPr>
      <w:r>
        <w:rPr>
          <w:rStyle w:val="FootnoteReference"/>
        </w:rPr>
        <w:footnoteRef/>
      </w:r>
      <w:r>
        <w:t xml:space="preserve"> </w:t>
      </w:r>
      <w:r>
        <w:rPr>
          <w:lang w:val="en-US"/>
        </w:rPr>
        <w:t xml:space="preserve">Id. </w:t>
      </w:r>
    </w:p>
  </w:footnote>
  <w:footnote w:id="82">
    <w:p w:rsidR="00E30311" w:rsidRPr="006921FC" w:rsidRDefault="00E30311">
      <w:pPr>
        <w:pStyle w:val="FootnoteText"/>
        <w:rPr>
          <w:lang w:val="en-US"/>
        </w:rPr>
      </w:pPr>
      <w:r>
        <w:rPr>
          <w:rStyle w:val="FootnoteReference"/>
        </w:rPr>
        <w:footnoteRef/>
      </w:r>
      <w:r>
        <w:t xml:space="preserve"> </w:t>
      </w:r>
      <w:r>
        <w:rPr>
          <w:lang w:val="en-US"/>
        </w:rPr>
        <w:t xml:space="preserve">See Broadway Approvals Limited v Odhams Press Limited [1964] 2 Q.B. 683. </w:t>
      </w:r>
    </w:p>
  </w:footnote>
  <w:footnote w:id="83">
    <w:p w:rsidR="00E30311" w:rsidRPr="003423FA" w:rsidRDefault="00E30311">
      <w:pPr>
        <w:pStyle w:val="FootnoteText"/>
        <w:rPr>
          <w:lang w:val="en-US"/>
        </w:rPr>
      </w:pPr>
      <w:r>
        <w:rPr>
          <w:rStyle w:val="FootnoteReference"/>
        </w:rPr>
        <w:footnoteRef/>
      </w:r>
      <w:r>
        <w:t xml:space="preserve"> </w:t>
      </w:r>
      <w:r>
        <w:rPr>
          <w:lang w:val="en-US"/>
        </w:rPr>
        <w:t>David Price, Korieh Duodu, and Nicola Cain, supra note 47, paragraph 9 – 03 at p. 75.</w:t>
      </w:r>
    </w:p>
  </w:footnote>
  <w:footnote w:id="84">
    <w:p w:rsidR="00E30311" w:rsidRPr="00BD11DC" w:rsidRDefault="00E30311">
      <w:pPr>
        <w:pStyle w:val="FootnoteText"/>
        <w:rPr>
          <w:lang w:val="en-US"/>
        </w:rPr>
      </w:pPr>
      <w:r>
        <w:rPr>
          <w:rStyle w:val="FootnoteReference"/>
        </w:rPr>
        <w:footnoteRef/>
      </w:r>
      <w:r>
        <w:t xml:space="preserve"> </w:t>
      </w:r>
      <w:r>
        <w:rPr>
          <w:lang w:val="en-US"/>
        </w:rPr>
        <w:t>Id.</w:t>
      </w:r>
    </w:p>
  </w:footnote>
  <w:footnote w:id="85">
    <w:p w:rsidR="00E30311" w:rsidRPr="001A6DF0" w:rsidRDefault="00E30311">
      <w:pPr>
        <w:pStyle w:val="FootnoteText"/>
        <w:rPr>
          <w:lang w:val="en-US"/>
        </w:rPr>
      </w:pPr>
      <w:r>
        <w:rPr>
          <w:rStyle w:val="FootnoteReference"/>
        </w:rPr>
        <w:footnoteRef/>
      </w:r>
      <w:r>
        <w:t xml:space="preserve"> </w:t>
      </w:r>
      <w:r>
        <w:rPr>
          <w:lang w:val="en-US"/>
        </w:rPr>
        <w:t>Id. Paragraph 9 – 04 at 7, 79.</w:t>
      </w:r>
    </w:p>
  </w:footnote>
  <w:footnote w:id="86">
    <w:p w:rsidR="00E30311" w:rsidRPr="001A6DF0" w:rsidRDefault="00E30311">
      <w:pPr>
        <w:pStyle w:val="FootnoteText"/>
        <w:rPr>
          <w:lang w:val="en-US"/>
        </w:rPr>
      </w:pPr>
      <w:r>
        <w:rPr>
          <w:rStyle w:val="FootnoteReference"/>
        </w:rPr>
        <w:footnoteRef/>
      </w:r>
      <w:r>
        <w:t xml:space="preserve"> </w:t>
      </w:r>
      <w:r>
        <w:rPr>
          <w:lang w:val="en-US"/>
        </w:rPr>
        <w:t xml:space="preserve">Id. </w:t>
      </w:r>
    </w:p>
  </w:footnote>
  <w:footnote w:id="87">
    <w:p w:rsidR="00E30311" w:rsidRPr="001A6DF0" w:rsidRDefault="00E30311">
      <w:pPr>
        <w:pStyle w:val="FootnoteText"/>
        <w:rPr>
          <w:lang w:val="en-US"/>
        </w:rPr>
      </w:pPr>
      <w:r>
        <w:rPr>
          <w:rStyle w:val="FootnoteReference"/>
        </w:rPr>
        <w:footnoteRef/>
      </w:r>
      <w:r>
        <w:t xml:space="preserve"> </w:t>
      </w:r>
      <w:r>
        <w:rPr>
          <w:lang w:val="en-US"/>
        </w:rPr>
        <w:t>Id.</w:t>
      </w:r>
    </w:p>
  </w:footnote>
  <w:footnote w:id="88">
    <w:p w:rsidR="00E30311" w:rsidRPr="00FF6909" w:rsidRDefault="00E30311">
      <w:pPr>
        <w:pStyle w:val="FootnoteText"/>
        <w:rPr>
          <w:lang w:val="en-US"/>
        </w:rPr>
      </w:pPr>
      <w:r>
        <w:rPr>
          <w:rStyle w:val="FootnoteReference"/>
        </w:rPr>
        <w:footnoteRef/>
      </w:r>
      <w:r>
        <w:t xml:space="preserve"> </w:t>
      </w:r>
      <w:r>
        <w:rPr>
          <w:lang w:val="en-US"/>
        </w:rPr>
        <w:t>[1887] 20 Q.B. D. 275.</w:t>
      </w:r>
    </w:p>
  </w:footnote>
  <w:footnote w:id="89">
    <w:p w:rsidR="00E30311" w:rsidRPr="004F7CED" w:rsidRDefault="00E30311">
      <w:pPr>
        <w:pStyle w:val="FootnoteText"/>
        <w:rPr>
          <w:lang w:val="en-US"/>
        </w:rPr>
      </w:pPr>
      <w:r>
        <w:rPr>
          <w:rStyle w:val="FootnoteReference"/>
        </w:rPr>
        <w:footnoteRef/>
      </w:r>
      <w:r>
        <w:t xml:space="preserve"> </w:t>
      </w:r>
      <w:r>
        <w:rPr>
          <w:lang w:val="en-US"/>
        </w:rPr>
        <w:t>David Price, Korieh Duodu, and Nicola Cain, supra note 47, paragraph 9-04 at p. 79.</w:t>
      </w:r>
    </w:p>
  </w:footnote>
  <w:footnote w:id="90">
    <w:p w:rsidR="00E30311" w:rsidRPr="004F7CED" w:rsidRDefault="00E30311">
      <w:pPr>
        <w:pStyle w:val="FootnoteText"/>
        <w:rPr>
          <w:lang w:val="en-US"/>
        </w:rPr>
      </w:pPr>
      <w:r>
        <w:rPr>
          <w:rStyle w:val="FootnoteReference"/>
        </w:rPr>
        <w:footnoteRef/>
      </w:r>
      <w:r>
        <w:t xml:space="preserve"> </w:t>
      </w:r>
      <w:r>
        <w:rPr>
          <w:lang w:val="en-US"/>
        </w:rPr>
        <w:t xml:space="preserve">Id. </w:t>
      </w:r>
    </w:p>
  </w:footnote>
  <w:footnote w:id="91">
    <w:p w:rsidR="00E30311" w:rsidRPr="001D36CA" w:rsidRDefault="00E30311">
      <w:pPr>
        <w:pStyle w:val="FootnoteText"/>
        <w:rPr>
          <w:lang w:val="en-US"/>
        </w:rPr>
      </w:pPr>
      <w:r>
        <w:rPr>
          <w:rStyle w:val="FootnoteReference"/>
        </w:rPr>
        <w:footnoteRef/>
      </w:r>
      <w:r>
        <w:t xml:space="preserve"> </w:t>
      </w:r>
      <w:r>
        <w:rPr>
          <w:lang w:val="en-US"/>
        </w:rPr>
        <w:t>Id.</w:t>
      </w:r>
    </w:p>
  </w:footnote>
  <w:footnote w:id="92">
    <w:p w:rsidR="00E30311" w:rsidRPr="001D36CA" w:rsidRDefault="00E30311">
      <w:pPr>
        <w:pStyle w:val="FootnoteText"/>
        <w:rPr>
          <w:lang w:val="en-US"/>
        </w:rPr>
      </w:pPr>
      <w:r>
        <w:rPr>
          <w:rStyle w:val="FootnoteReference"/>
        </w:rPr>
        <w:footnoteRef/>
      </w:r>
      <w:r>
        <w:t xml:space="preserve"> </w:t>
      </w:r>
      <w:r>
        <w:rPr>
          <w:lang w:val="en-US"/>
        </w:rPr>
        <w:t xml:space="preserve">Id </w:t>
      </w:r>
    </w:p>
  </w:footnote>
  <w:footnote w:id="93">
    <w:p w:rsidR="00E30311" w:rsidRPr="001D36CA" w:rsidRDefault="00E30311">
      <w:pPr>
        <w:pStyle w:val="FootnoteText"/>
        <w:rPr>
          <w:lang w:val="en-US"/>
        </w:rPr>
      </w:pPr>
      <w:r>
        <w:rPr>
          <w:rStyle w:val="FootnoteReference"/>
        </w:rPr>
        <w:footnoteRef/>
      </w:r>
      <w:r>
        <w:t xml:space="preserve"> </w:t>
      </w:r>
      <w:r>
        <w:rPr>
          <w:lang w:val="en-US"/>
        </w:rPr>
        <w:t>[2002] Q.B.D. 737.</w:t>
      </w:r>
    </w:p>
  </w:footnote>
  <w:footnote w:id="94">
    <w:p w:rsidR="00E30311" w:rsidRPr="007A7A85" w:rsidRDefault="00E30311">
      <w:pPr>
        <w:pStyle w:val="FootnoteText"/>
        <w:rPr>
          <w:lang w:val="en-US"/>
        </w:rPr>
      </w:pPr>
      <w:r>
        <w:rPr>
          <w:rStyle w:val="FootnoteReference"/>
        </w:rPr>
        <w:footnoteRef/>
      </w:r>
      <w:r>
        <w:t xml:space="preserve"> </w:t>
      </w:r>
      <w:r>
        <w:rPr>
          <w:lang w:val="en-US"/>
        </w:rPr>
        <w:t>[2001] 2 A.C. 127.</w:t>
      </w:r>
    </w:p>
  </w:footnote>
  <w:footnote w:id="95">
    <w:p w:rsidR="00E30311" w:rsidRPr="005852FB" w:rsidRDefault="00E30311">
      <w:pPr>
        <w:pStyle w:val="FootnoteText"/>
        <w:rPr>
          <w:lang w:val="en-US"/>
        </w:rPr>
      </w:pPr>
      <w:r>
        <w:rPr>
          <w:rStyle w:val="FootnoteReference"/>
        </w:rPr>
        <w:footnoteRef/>
      </w:r>
      <w:r>
        <w:t xml:space="preserve"> </w:t>
      </w:r>
      <w:r>
        <w:rPr>
          <w:lang w:val="en-US"/>
        </w:rPr>
        <w:t>Id. Paragraph 10 – 01 at p. 85</w:t>
      </w:r>
    </w:p>
  </w:footnote>
  <w:footnote w:id="96">
    <w:p w:rsidR="00E30311" w:rsidRPr="005852FB" w:rsidRDefault="00E30311">
      <w:pPr>
        <w:pStyle w:val="FootnoteText"/>
        <w:rPr>
          <w:lang w:val="en-US"/>
        </w:rPr>
      </w:pPr>
      <w:r>
        <w:rPr>
          <w:rStyle w:val="FootnoteReference"/>
        </w:rPr>
        <w:footnoteRef/>
      </w:r>
      <w:r>
        <w:t xml:space="preserve"> </w:t>
      </w:r>
      <w:r>
        <w:rPr>
          <w:lang w:val="en-US"/>
        </w:rPr>
        <w:t xml:space="preserve">Id. </w:t>
      </w:r>
    </w:p>
  </w:footnote>
  <w:footnote w:id="97">
    <w:p w:rsidR="00E30311" w:rsidRPr="007B4CA9" w:rsidRDefault="00E30311">
      <w:pPr>
        <w:pStyle w:val="FootnoteText"/>
        <w:rPr>
          <w:lang w:val="en-US"/>
        </w:rPr>
      </w:pPr>
      <w:r>
        <w:rPr>
          <w:rStyle w:val="FootnoteReference"/>
        </w:rPr>
        <w:footnoteRef/>
      </w:r>
      <w:r>
        <w:t xml:space="preserve"> </w:t>
      </w:r>
      <w:r>
        <w:rPr>
          <w:lang w:val="en-US"/>
        </w:rPr>
        <w:t>Id. Paragraph 10-03 at p 86</w:t>
      </w:r>
    </w:p>
  </w:footnote>
  <w:footnote w:id="98">
    <w:p w:rsidR="00E30311" w:rsidRPr="007B4CA9" w:rsidRDefault="00E30311">
      <w:pPr>
        <w:pStyle w:val="FootnoteText"/>
        <w:rPr>
          <w:lang w:val="en-US"/>
        </w:rPr>
      </w:pPr>
      <w:r>
        <w:rPr>
          <w:rStyle w:val="FootnoteReference"/>
        </w:rPr>
        <w:footnoteRef/>
      </w:r>
      <w:r>
        <w:t xml:space="preserve"> </w:t>
      </w:r>
      <w:r>
        <w:rPr>
          <w:lang w:val="en-US"/>
        </w:rPr>
        <w:t>Id. Paragraph 12 – 01 at p. 99.</w:t>
      </w:r>
    </w:p>
  </w:footnote>
  <w:footnote w:id="99">
    <w:p w:rsidR="00E30311" w:rsidRPr="007B4CA9" w:rsidRDefault="00E30311">
      <w:pPr>
        <w:pStyle w:val="FootnoteText"/>
        <w:rPr>
          <w:lang w:val="en-US"/>
        </w:rPr>
      </w:pPr>
      <w:r>
        <w:rPr>
          <w:rStyle w:val="FootnoteReference"/>
        </w:rPr>
        <w:footnoteRef/>
      </w:r>
      <w:r>
        <w:t xml:space="preserve"> </w:t>
      </w:r>
      <w:r>
        <w:rPr>
          <w:lang w:val="en-US"/>
        </w:rPr>
        <w:t xml:space="preserve">Adam v Word [1917] A.C. 309 at 334. </w:t>
      </w:r>
    </w:p>
  </w:footnote>
  <w:footnote w:id="100">
    <w:p w:rsidR="00E30311" w:rsidRPr="002A2A5D" w:rsidRDefault="00E30311">
      <w:pPr>
        <w:pStyle w:val="FootnoteText"/>
        <w:rPr>
          <w:lang w:val="en-US"/>
        </w:rPr>
      </w:pPr>
      <w:r>
        <w:rPr>
          <w:rStyle w:val="FootnoteReference"/>
        </w:rPr>
        <w:footnoteRef/>
      </w:r>
      <w:r>
        <w:t xml:space="preserve"> </w:t>
      </w:r>
      <w:r>
        <w:rPr>
          <w:lang w:val="en-US"/>
        </w:rPr>
        <w:t>David Price, Korieh Duodu, and Nicola Cain, supra note 47, 12 -01, at page 100.</w:t>
      </w:r>
    </w:p>
  </w:footnote>
  <w:footnote w:id="101">
    <w:p w:rsidR="00E30311" w:rsidRPr="002A2A5D" w:rsidRDefault="00E30311">
      <w:pPr>
        <w:pStyle w:val="FootnoteText"/>
        <w:rPr>
          <w:lang w:val="en-US"/>
        </w:rPr>
      </w:pPr>
      <w:r>
        <w:rPr>
          <w:rStyle w:val="FootnoteReference"/>
        </w:rPr>
        <w:footnoteRef/>
      </w:r>
      <w:r>
        <w:t xml:space="preserve"> </w:t>
      </w:r>
      <w:r>
        <w:rPr>
          <w:lang w:val="en-US"/>
        </w:rPr>
        <w:t xml:space="preserve">See Reynolds v Times Newspapers Limited and Others [2001] 2 A.C. 127 per Lord Hope. </w:t>
      </w:r>
    </w:p>
  </w:footnote>
  <w:footnote w:id="102">
    <w:p w:rsidR="00E30311" w:rsidRPr="00C86141" w:rsidRDefault="00E30311">
      <w:pPr>
        <w:pStyle w:val="FootnoteText"/>
        <w:rPr>
          <w:lang w:val="en-US"/>
        </w:rPr>
      </w:pPr>
      <w:r>
        <w:rPr>
          <w:rStyle w:val="FootnoteReference"/>
        </w:rPr>
        <w:footnoteRef/>
      </w:r>
      <w:r>
        <w:t xml:space="preserve"> </w:t>
      </w:r>
      <w:r>
        <w:rPr>
          <w:lang w:val="en-US"/>
        </w:rPr>
        <w:t xml:space="preserve">Id. </w:t>
      </w:r>
    </w:p>
  </w:footnote>
  <w:footnote w:id="103">
    <w:p w:rsidR="00E30311" w:rsidRPr="000B6377" w:rsidRDefault="00E30311">
      <w:pPr>
        <w:pStyle w:val="FootnoteText"/>
        <w:rPr>
          <w:lang w:val="en-US"/>
        </w:rPr>
      </w:pPr>
      <w:r>
        <w:rPr>
          <w:rStyle w:val="FootnoteReference"/>
        </w:rPr>
        <w:footnoteRef/>
      </w:r>
      <w:r>
        <w:t xml:space="preserve"> </w:t>
      </w:r>
      <w:r>
        <w:rPr>
          <w:lang w:val="en-US"/>
        </w:rPr>
        <w:t>Id.</w:t>
      </w:r>
    </w:p>
  </w:footnote>
  <w:footnote w:id="104">
    <w:p w:rsidR="00E30311" w:rsidRPr="005B5465" w:rsidRDefault="00E30311">
      <w:pPr>
        <w:pStyle w:val="FootnoteText"/>
        <w:rPr>
          <w:lang w:val="en-US"/>
        </w:rPr>
      </w:pPr>
      <w:r>
        <w:rPr>
          <w:rStyle w:val="FootnoteReference"/>
        </w:rPr>
        <w:footnoteRef/>
      </w:r>
      <w:r>
        <w:t xml:space="preserve"> </w:t>
      </w:r>
      <w:r>
        <w:rPr>
          <w:lang w:val="en-US"/>
        </w:rPr>
        <w:t>Id.</w:t>
      </w:r>
    </w:p>
  </w:footnote>
  <w:footnote w:id="105">
    <w:p w:rsidR="00E30311" w:rsidRPr="009E6893" w:rsidRDefault="00E30311">
      <w:pPr>
        <w:pStyle w:val="FootnoteText"/>
        <w:rPr>
          <w:lang w:val="en-US"/>
        </w:rPr>
      </w:pPr>
      <w:r>
        <w:rPr>
          <w:rStyle w:val="FootnoteReference"/>
        </w:rPr>
        <w:footnoteRef/>
      </w:r>
      <w:r>
        <w:t xml:space="preserve"> </w:t>
      </w:r>
      <w:r>
        <w:rPr>
          <w:lang w:val="en-US"/>
        </w:rPr>
        <w:t>Id.</w:t>
      </w:r>
    </w:p>
  </w:footnote>
  <w:footnote w:id="106">
    <w:p w:rsidR="00E30311" w:rsidRPr="005C71ED" w:rsidRDefault="00E30311">
      <w:pPr>
        <w:pStyle w:val="FootnoteText"/>
        <w:rPr>
          <w:lang w:val="en-US"/>
        </w:rPr>
      </w:pPr>
      <w:r>
        <w:rPr>
          <w:rStyle w:val="FootnoteReference"/>
        </w:rPr>
        <w:footnoteRef/>
      </w:r>
      <w:r>
        <w:t xml:space="preserve"> </w:t>
      </w:r>
      <w:r>
        <w:rPr>
          <w:lang w:val="en-US"/>
        </w:rPr>
        <w:t>Id.</w:t>
      </w:r>
    </w:p>
  </w:footnote>
  <w:footnote w:id="107">
    <w:p w:rsidR="00E30311" w:rsidRPr="005C71ED" w:rsidRDefault="00E30311">
      <w:pPr>
        <w:pStyle w:val="FootnoteText"/>
        <w:rPr>
          <w:lang w:val="en-US"/>
        </w:rPr>
      </w:pPr>
      <w:r>
        <w:rPr>
          <w:rStyle w:val="FootnoteReference"/>
        </w:rPr>
        <w:footnoteRef/>
      </w:r>
      <w:r>
        <w:t xml:space="preserve"> </w:t>
      </w:r>
      <w:r>
        <w:rPr>
          <w:lang w:val="en-US"/>
        </w:rPr>
        <w:t xml:space="preserve">[1975] A.C. 135 at p. 149. </w:t>
      </w:r>
    </w:p>
  </w:footnote>
  <w:footnote w:id="108">
    <w:p w:rsidR="00E30311" w:rsidRPr="007C47D8" w:rsidRDefault="00E30311">
      <w:pPr>
        <w:pStyle w:val="FootnoteText"/>
        <w:rPr>
          <w:lang w:val="en-US"/>
        </w:rPr>
      </w:pPr>
      <w:r>
        <w:rPr>
          <w:rStyle w:val="FootnoteReference"/>
        </w:rPr>
        <w:footnoteRef/>
      </w:r>
      <w:r>
        <w:t xml:space="preserve"> </w:t>
      </w:r>
      <w:r>
        <w:rPr>
          <w:lang w:val="en-US"/>
        </w:rPr>
        <w:t>[2001] 2 A.C. 127.</w:t>
      </w:r>
    </w:p>
  </w:footnote>
  <w:footnote w:id="109">
    <w:p w:rsidR="00E30311" w:rsidRPr="00B773CC" w:rsidRDefault="00E30311">
      <w:pPr>
        <w:pStyle w:val="FootnoteText"/>
        <w:rPr>
          <w:lang w:val="en-US"/>
        </w:rPr>
      </w:pPr>
      <w:r>
        <w:rPr>
          <w:rStyle w:val="FootnoteReference"/>
        </w:rPr>
        <w:footnoteRef/>
      </w:r>
      <w:r>
        <w:t xml:space="preserve"> </w:t>
      </w:r>
      <w:r>
        <w:rPr>
          <w:lang w:val="en-US"/>
        </w:rPr>
        <w:t>[2003] A.C. 300</w:t>
      </w:r>
    </w:p>
  </w:footnote>
  <w:footnote w:id="110">
    <w:p w:rsidR="00E30311" w:rsidRPr="00FD1844" w:rsidRDefault="00E30311">
      <w:pPr>
        <w:pStyle w:val="FootnoteText"/>
        <w:rPr>
          <w:lang w:val="en-US"/>
        </w:rPr>
      </w:pPr>
      <w:r>
        <w:rPr>
          <w:rStyle w:val="FootnoteReference"/>
        </w:rPr>
        <w:footnoteRef/>
      </w:r>
      <w:r>
        <w:t xml:space="preserve"> </w:t>
      </w:r>
      <w:r>
        <w:rPr>
          <w:lang w:val="en-US"/>
        </w:rPr>
        <w:t>[2006] 3 W.L.R. 642</w:t>
      </w:r>
    </w:p>
  </w:footnote>
  <w:footnote w:id="111">
    <w:p w:rsidR="00E30311" w:rsidRPr="00400556" w:rsidRDefault="00E30311">
      <w:pPr>
        <w:pStyle w:val="FootnoteText"/>
        <w:rPr>
          <w:lang w:val="en-US"/>
        </w:rPr>
      </w:pPr>
      <w:r>
        <w:rPr>
          <w:rStyle w:val="FootnoteReference"/>
        </w:rPr>
        <w:footnoteRef/>
      </w:r>
      <w:r>
        <w:t xml:space="preserve"> </w:t>
      </w:r>
      <w:r>
        <w:rPr>
          <w:lang w:val="en-US"/>
        </w:rPr>
        <w:t>[1987] Ch. 327</w:t>
      </w:r>
    </w:p>
  </w:footnote>
  <w:footnote w:id="112">
    <w:p w:rsidR="00E30311" w:rsidRPr="00303518" w:rsidRDefault="00E30311">
      <w:pPr>
        <w:pStyle w:val="FootnoteText"/>
        <w:rPr>
          <w:lang w:val="en-US"/>
        </w:rPr>
      </w:pPr>
      <w:r>
        <w:rPr>
          <w:rStyle w:val="FootnoteReference"/>
        </w:rPr>
        <w:footnoteRef/>
      </w:r>
      <w:r>
        <w:t xml:space="preserve"> </w:t>
      </w:r>
      <w:r>
        <w:rPr>
          <w:lang w:val="en-US"/>
        </w:rPr>
        <w:t>Patrick Milmo and W.V.H. Rogers supra note 35, at paragraph 27 – 18 at page 945.</w:t>
      </w:r>
    </w:p>
  </w:footnote>
  <w:footnote w:id="113">
    <w:p w:rsidR="00E30311" w:rsidRPr="004238BA" w:rsidRDefault="00E30311">
      <w:pPr>
        <w:pStyle w:val="FootnoteText"/>
        <w:rPr>
          <w:lang w:val="en-US"/>
        </w:rPr>
      </w:pPr>
      <w:r>
        <w:rPr>
          <w:rStyle w:val="FootnoteReference"/>
        </w:rPr>
        <w:footnoteRef/>
      </w:r>
      <w:r>
        <w:t xml:space="preserve"> </w:t>
      </w:r>
      <w:r>
        <w:rPr>
          <w:lang w:val="en-US"/>
        </w:rPr>
        <w:t>[1991] 2 ALL E.R. 864</w:t>
      </w:r>
    </w:p>
  </w:footnote>
  <w:footnote w:id="114">
    <w:p w:rsidR="00E30311" w:rsidRPr="005733BC" w:rsidRDefault="00E30311">
      <w:pPr>
        <w:pStyle w:val="FootnoteText"/>
        <w:rPr>
          <w:lang w:val="en-US"/>
        </w:rPr>
      </w:pPr>
      <w:r>
        <w:rPr>
          <w:rStyle w:val="FootnoteReference"/>
        </w:rPr>
        <w:footnoteRef/>
      </w:r>
      <w:r>
        <w:t xml:space="preserve"> </w:t>
      </w:r>
      <w:r>
        <w:rPr>
          <w:lang w:val="en-US"/>
        </w:rPr>
        <w:t>Patrick Milmo and W.V.H. Rogers supra note 35, paragraph 27 – 18 at page 46.</w:t>
      </w:r>
    </w:p>
  </w:footnote>
  <w:footnote w:id="115">
    <w:p w:rsidR="00E30311" w:rsidRPr="00BA5A3C" w:rsidRDefault="00E30311">
      <w:pPr>
        <w:pStyle w:val="FootnoteText"/>
        <w:rPr>
          <w:lang w:val="en-US"/>
        </w:rPr>
      </w:pPr>
      <w:r>
        <w:rPr>
          <w:rStyle w:val="FootnoteReference"/>
        </w:rPr>
        <w:footnoteRef/>
      </w:r>
      <w:r>
        <w:t xml:space="preserve"> </w:t>
      </w:r>
      <w:r>
        <w:rPr>
          <w:lang w:val="en-US"/>
        </w:rPr>
        <w:t>David Price, Korieh Duodu, and Nicola Cain, supra note 47, paragraph 18-01 at p. 99.</w:t>
      </w:r>
    </w:p>
  </w:footnote>
  <w:footnote w:id="116">
    <w:p w:rsidR="00E30311" w:rsidRPr="008D4FB3" w:rsidRDefault="00E30311">
      <w:pPr>
        <w:pStyle w:val="FootnoteText"/>
        <w:rPr>
          <w:lang w:val="en-US"/>
        </w:rPr>
      </w:pPr>
      <w:r>
        <w:rPr>
          <w:rStyle w:val="FootnoteReference"/>
        </w:rPr>
        <w:footnoteRef/>
      </w:r>
      <w:r>
        <w:t xml:space="preserve"> </w:t>
      </w:r>
      <w:r>
        <w:rPr>
          <w:lang w:val="en-US"/>
        </w:rPr>
        <w:t>Id.</w:t>
      </w:r>
    </w:p>
  </w:footnote>
  <w:footnote w:id="117">
    <w:p w:rsidR="00E30311" w:rsidRPr="008D4FB3" w:rsidRDefault="00E30311">
      <w:pPr>
        <w:pStyle w:val="FootnoteText"/>
        <w:rPr>
          <w:lang w:val="en-US"/>
        </w:rPr>
      </w:pPr>
      <w:r>
        <w:rPr>
          <w:rStyle w:val="FootnoteReference"/>
        </w:rPr>
        <w:footnoteRef/>
      </w:r>
      <w:r>
        <w:t xml:space="preserve"> See R v Tolson [1889] 23 Q.B.D. 168 at 187.</w:t>
      </w:r>
    </w:p>
  </w:footnote>
  <w:footnote w:id="118">
    <w:p w:rsidR="00E30311" w:rsidRPr="00A040D3" w:rsidRDefault="00E30311">
      <w:pPr>
        <w:pStyle w:val="FootnoteText"/>
        <w:rPr>
          <w:lang w:val="en-US"/>
        </w:rPr>
      </w:pPr>
      <w:r>
        <w:rPr>
          <w:rStyle w:val="FootnoteReference"/>
        </w:rPr>
        <w:footnoteRef/>
      </w:r>
      <w:r>
        <w:t xml:space="preserve"> </w:t>
      </w:r>
      <w:r>
        <w:rPr>
          <w:lang w:val="en-US"/>
        </w:rPr>
        <w:t>David Price, Korieh Duodu, and Nicola Cain, supra note 47, paragraph 18 – 01 at page 199.</w:t>
      </w:r>
    </w:p>
  </w:footnote>
  <w:footnote w:id="119">
    <w:p w:rsidR="00E30311" w:rsidRPr="006969B7" w:rsidRDefault="00E30311">
      <w:pPr>
        <w:pStyle w:val="FootnoteText"/>
        <w:rPr>
          <w:lang w:val="en-US"/>
        </w:rPr>
      </w:pPr>
      <w:r>
        <w:rPr>
          <w:rStyle w:val="FootnoteReference"/>
        </w:rPr>
        <w:footnoteRef/>
      </w:r>
      <w:r>
        <w:t xml:space="preserve"> </w:t>
      </w:r>
      <w:r>
        <w:rPr>
          <w:lang w:val="en-US"/>
        </w:rPr>
        <w:t>Id.</w:t>
      </w:r>
    </w:p>
  </w:footnote>
  <w:footnote w:id="120">
    <w:p w:rsidR="00E30311" w:rsidRPr="006969B7" w:rsidRDefault="00E30311">
      <w:pPr>
        <w:pStyle w:val="FootnoteText"/>
        <w:rPr>
          <w:lang w:val="en-US"/>
        </w:rPr>
      </w:pPr>
      <w:r>
        <w:rPr>
          <w:rStyle w:val="FootnoteReference"/>
        </w:rPr>
        <w:footnoteRef/>
      </w:r>
      <w:r>
        <w:t xml:space="preserve"> </w:t>
      </w:r>
      <w:r>
        <w:rPr>
          <w:lang w:val="en-US"/>
        </w:rPr>
        <w:t>Id.</w:t>
      </w:r>
    </w:p>
  </w:footnote>
  <w:footnote w:id="121">
    <w:p w:rsidR="00E30311" w:rsidRPr="006969B7" w:rsidRDefault="00E30311">
      <w:pPr>
        <w:pStyle w:val="FootnoteText"/>
        <w:rPr>
          <w:lang w:val="en-US"/>
        </w:rPr>
      </w:pPr>
      <w:r>
        <w:rPr>
          <w:rStyle w:val="FootnoteReference"/>
        </w:rPr>
        <w:footnoteRef/>
      </w:r>
      <w:r>
        <w:t xml:space="preserve"> </w:t>
      </w:r>
      <w:r>
        <w:rPr>
          <w:lang w:val="en-US"/>
        </w:rPr>
        <w:t>Id.</w:t>
      </w:r>
    </w:p>
  </w:footnote>
  <w:footnote w:id="122">
    <w:p w:rsidR="00E30311" w:rsidRPr="006969B7" w:rsidRDefault="00E30311">
      <w:pPr>
        <w:pStyle w:val="FootnoteText"/>
        <w:rPr>
          <w:lang w:val="en-US"/>
        </w:rPr>
      </w:pPr>
      <w:r>
        <w:rPr>
          <w:rStyle w:val="FootnoteReference"/>
        </w:rPr>
        <w:footnoteRef/>
      </w:r>
      <w:r>
        <w:t xml:space="preserve"> </w:t>
      </w:r>
      <w:r>
        <w:rPr>
          <w:lang w:val="en-US"/>
        </w:rPr>
        <w:t>[1885] 29 Ch. D. 459, at 483.</w:t>
      </w:r>
    </w:p>
  </w:footnote>
  <w:footnote w:id="123">
    <w:p w:rsidR="00E30311" w:rsidRPr="006861B0" w:rsidRDefault="00E30311">
      <w:pPr>
        <w:pStyle w:val="FootnoteText"/>
        <w:rPr>
          <w:lang w:val="en-US"/>
        </w:rPr>
      </w:pPr>
      <w:r>
        <w:rPr>
          <w:rStyle w:val="FootnoteReference"/>
        </w:rPr>
        <w:footnoteRef/>
      </w:r>
      <w:r>
        <w:t xml:space="preserve"> </w:t>
      </w:r>
      <w:r>
        <w:rPr>
          <w:lang w:val="en-US"/>
        </w:rPr>
        <w:t>David Price, Korieh Duodu, and Nicola Cain, supra note 47, paragraph, 18 - -2, p 200.</w:t>
      </w:r>
    </w:p>
  </w:footnote>
  <w:footnote w:id="124">
    <w:p w:rsidR="00E30311" w:rsidRPr="00C56B82" w:rsidRDefault="00E30311">
      <w:pPr>
        <w:pStyle w:val="FootnoteText"/>
        <w:rPr>
          <w:lang w:val="en-US"/>
        </w:rPr>
      </w:pPr>
      <w:r>
        <w:rPr>
          <w:rStyle w:val="FootnoteReference"/>
        </w:rPr>
        <w:footnoteRef/>
      </w:r>
      <w:r>
        <w:t xml:space="preserve"> </w:t>
      </w:r>
      <w:r>
        <w:rPr>
          <w:lang w:val="en-US"/>
        </w:rPr>
        <w:t>Patrick Milmo and W.V.H. Rogers supra note 35, at paragraph 34-36 at 1181.</w:t>
      </w:r>
    </w:p>
  </w:footnote>
  <w:footnote w:id="125">
    <w:p w:rsidR="00E30311" w:rsidRPr="00E77811" w:rsidRDefault="00E30311">
      <w:pPr>
        <w:pStyle w:val="FootnoteText"/>
        <w:rPr>
          <w:lang w:val="en-US"/>
        </w:rPr>
      </w:pPr>
      <w:r>
        <w:rPr>
          <w:rStyle w:val="FootnoteReference"/>
        </w:rPr>
        <w:footnoteRef/>
      </w:r>
      <w:r>
        <w:t xml:space="preserve"> </w:t>
      </w:r>
      <w:r>
        <w:rPr>
          <w:lang w:val="en-US"/>
        </w:rPr>
        <w:t>[1869] L.R. 232 at 235.</w:t>
      </w:r>
    </w:p>
  </w:footnote>
  <w:footnote w:id="126">
    <w:p w:rsidR="00E30311" w:rsidRPr="00565963" w:rsidRDefault="00E30311">
      <w:pPr>
        <w:pStyle w:val="FootnoteText"/>
        <w:rPr>
          <w:lang w:val="en-US"/>
        </w:rPr>
      </w:pPr>
      <w:r>
        <w:rPr>
          <w:rStyle w:val="FootnoteReference"/>
        </w:rPr>
        <w:footnoteRef/>
      </w:r>
      <w:r>
        <w:t xml:space="preserve"> </w:t>
      </w:r>
      <w:r>
        <w:rPr>
          <w:lang w:val="en-US"/>
        </w:rPr>
        <w:t>[1993] 1 W.L.R. 337, at 345 HL.</w:t>
      </w:r>
    </w:p>
  </w:footnote>
  <w:footnote w:id="127">
    <w:p w:rsidR="00E30311" w:rsidRPr="00DB7D91" w:rsidRDefault="00E30311">
      <w:pPr>
        <w:pStyle w:val="FootnoteText"/>
        <w:rPr>
          <w:lang w:val="en-US"/>
        </w:rPr>
      </w:pPr>
      <w:r>
        <w:rPr>
          <w:rStyle w:val="FootnoteReference"/>
        </w:rPr>
        <w:footnoteRef/>
      </w:r>
      <w:r>
        <w:t xml:space="preserve"> </w:t>
      </w:r>
      <w:r>
        <w:rPr>
          <w:lang w:val="en-US"/>
        </w:rPr>
        <w:t>David Price, Korieh Duodu, and Nicola Cain, supra note 47, paragraph, 18-02, p 200.</w:t>
      </w:r>
    </w:p>
  </w:footnote>
  <w:footnote w:id="128">
    <w:p w:rsidR="00E30311" w:rsidRPr="00DC31EB" w:rsidRDefault="00E30311">
      <w:pPr>
        <w:pStyle w:val="FootnoteText"/>
        <w:rPr>
          <w:lang w:val="en-US"/>
        </w:rPr>
      </w:pPr>
      <w:r>
        <w:rPr>
          <w:rStyle w:val="FootnoteReference"/>
        </w:rPr>
        <w:footnoteRef/>
      </w:r>
      <w:r>
        <w:t xml:space="preserve"> </w:t>
      </w:r>
      <w:r>
        <w:rPr>
          <w:lang w:val="en-US"/>
        </w:rPr>
        <w:t>Id.</w:t>
      </w:r>
    </w:p>
  </w:footnote>
  <w:footnote w:id="129">
    <w:p w:rsidR="00E30311" w:rsidRPr="001345D2" w:rsidRDefault="00E30311">
      <w:pPr>
        <w:pStyle w:val="FootnoteText"/>
        <w:rPr>
          <w:lang w:val="en-US"/>
        </w:rPr>
      </w:pPr>
      <w:r>
        <w:rPr>
          <w:rStyle w:val="FootnoteReference"/>
        </w:rPr>
        <w:footnoteRef/>
      </w:r>
      <w:r>
        <w:t xml:space="preserve"> </w:t>
      </w:r>
      <w:r>
        <w:rPr>
          <w:lang w:val="en-US"/>
        </w:rPr>
        <w:t>[1975] A.C. 135</w:t>
      </w:r>
    </w:p>
  </w:footnote>
  <w:footnote w:id="130">
    <w:p w:rsidR="00E30311" w:rsidRPr="00B33696" w:rsidRDefault="00E30311">
      <w:pPr>
        <w:pStyle w:val="FootnoteText"/>
        <w:rPr>
          <w:lang w:val="en-US"/>
        </w:rPr>
      </w:pPr>
      <w:r>
        <w:rPr>
          <w:rStyle w:val="FootnoteReference"/>
        </w:rPr>
        <w:footnoteRef/>
      </w:r>
      <w:r>
        <w:t xml:space="preserve"> </w:t>
      </w:r>
      <w:r>
        <w:rPr>
          <w:lang w:val="en-US"/>
        </w:rPr>
        <w:t>David Price, Korieh Duodu, and Nicola Cain, supra note 47, paragraph 18 – 03, page 201 – 202.</w:t>
      </w:r>
    </w:p>
  </w:footnote>
  <w:footnote w:id="131">
    <w:p w:rsidR="00E30311" w:rsidRPr="00571E6C" w:rsidRDefault="00E30311">
      <w:pPr>
        <w:pStyle w:val="FootnoteText"/>
        <w:rPr>
          <w:lang w:val="en-US"/>
        </w:rPr>
      </w:pPr>
      <w:r>
        <w:rPr>
          <w:rStyle w:val="FootnoteReference"/>
        </w:rPr>
        <w:footnoteRef/>
      </w:r>
      <w:r>
        <w:t xml:space="preserve"> Id paragraph 18 – 04 at p 202.</w:t>
      </w:r>
    </w:p>
  </w:footnote>
  <w:footnote w:id="132">
    <w:p w:rsidR="00E30311" w:rsidRPr="00571E6C" w:rsidRDefault="00E30311">
      <w:pPr>
        <w:pStyle w:val="FootnoteText"/>
        <w:rPr>
          <w:lang w:val="en-US"/>
        </w:rPr>
      </w:pPr>
      <w:r>
        <w:rPr>
          <w:rStyle w:val="FootnoteReference"/>
        </w:rPr>
        <w:footnoteRef/>
      </w:r>
      <w:r>
        <w:t xml:space="preserve"> </w:t>
      </w:r>
      <w:r>
        <w:rPr>
          <w:lang w:val="en-US"/>
        </w:rPr>
        <w:t>Id.</w:t>
      </w:r>
    </w:p>
  </w:footnote>
  <w:footnote w:id="133">
    <w:p w:rsidR="00E30311" w:rsidRPr="00571E6C" w:rsidRDefault="00E30311">
      <w:pPr>
        <w:pStyle w:val="FootnoteText"/>
        <w:rPr>
          <w:lang w:val="en-US"/>
        </w:rPr>
      </w:pPr>
      <w:r>
        <w:rPr>
          <w:rStyle w:val="FootnoteReference"/>
        </w:rPr>
        <w:footnoteRef/>
      </w:r>
      <w:r>
        <w:t xml:space="preserve"> </w:t>
      </w:r>
      <w:r>
        <w:rPr>
          <w:lang w:val="en-US"/>
        </w:rPr>
        <w:t>Id.</w:t>
      </w:r>
    </w:p>
  </w:footnote>
  <w:footnote w:id="134">
    <w:p w:rsidR="00E30311" w:rsidRPr="00571E6C" w:rsidRDefault="00E30311">
      <w:pPr>
        <w:pStyle w:val="FootnoteText"/>
        <w:rPr>
          <w:lang w:val="en-US"/>
        </w:rPr>
      </w:pPr>
      <w:r>
        <w:rPr>
          <w:rStyle w:val="FootnoteReference"/>
        </w:rPr>
        <w:footnoteRef/>
      </w:r>
      <w:r>
        <w:t xml:space="preserve"> </w:t>
      </w:r>
      <w:r>
        <w:rPr>
          <w:lang w:val="en-US"/>
        </w:rPr>
        <w:t>Id. At paragraph 18 – 18 at page 212.</w:t>
      </w:r>
    </w:p>
  </w:footnote>
  <w:footnote w:id="135">
    <w:p w:rsidR="00E30311" w:rsidRPr="00571E6C" w:rsidRDefault="00E30311">
      <w:pPr>
        <w:pStyle w:val="FootnoteText"/>
        <w:rPr>
          <w:lang w:val="en-US"/>
        </w:rPr>
      </w:pPr>
      <w:r>
        <w:rPr>
          <w:rStyle w:val="FootnoteReference"/>
        </w:rPr>
        <w:footnoteRef/>
      </w:r>
      <w:r>
        <w:t xml:space="preserve"> </w:t>
      </w:r>
      <w:r>
        <w:rPr>
          <w:lang w:val="en-US"/>
        </w:rPr>
        <w:t>Id.</w:t>
      </w:r>
    </w:p>
  </w:footnote>
  <w:footnote w:id="136">
    <w:p w:rsidR="00E30311" w:rsidRPr="00B045F9" w:rsidRDefault="00E30311">
      <w:pPr>
        <w:pStyle w:val="FootnoteText"/>
        <w:rPr>
          <w:lang w:val="en-US"/>
        </w:rPr>
      </w:pPr>
      <w:r>
        <w:rPr>
          <w:rStyle w:val="FootnoteReference"/>
        </w:rPr>
        <w:footnoteRef/>
      </w:r>
      <w:r>
        <w:t xml:space="preserve"> </w:t>
      </w:r>
      <w:r>
        <w:rPr>
          <w:lang w:val="en-US"/>
        </w:rPr>
        <w:t xml:space="preserve">See Attorney General v Clarke (2008) VII Z.R. 38. </w:t>
      </w:r>
    </w:p>
  </w:footnote>
  <w:footnote w:id="137">
    <w:p w:rsidR="00E30311" w:rsidRPr="00165C1A" w:rsidRDefault="00E30311">
      <w:pPr>
        <w:pStyle w:val="FootnoteText"/>
        <w:rPr>
          <w:lang w:val="en-US"/>
        </w:rPr>
      </w:pPr>
      <w:r>
        <w:rPr>
          <w:rStyle w:val="FootnoteReference"/>
        </w:rPr>
        <w:footnoteRef/>
      </w:r>
      <w:r>
        <w:t xml:space="preserve"> </w:t>
      </w:r>
      <w:r>
        <w:rPr>
          <w:lang w:val="en-US"/>
        </w:rPr>
        <w:t xml:space="preserve">Reynolds v Times Newspapers Limited, and Others [2001] 2 A.C. 127. Per Lord Nicholls of Birkenhead </w:t>
      </w:r>
    </w:p>
  </w:footnote>
  <w:footnote w:id="138">
    <w:p w:rsidR="00E30311" w:rsidRPr="00A82A40" w:rsidRDefault="00E30311">
      <w:pPr>
        <w:pStyle w:val="FootnoteText"/>
        <w:rPr>
          <w:lang w:val="en-US"/>
        </w:rPr>
      </w:pPr>
      <w:r>
        <w:rPr>
          <w:rStyle w:val="FootnoteReference"/>
        </w:rPr>
        <w:footnoteRef/>
      </w:r>
      <w:r>
        <w:t xml:space="preserve"> </w:t>
      </w:r>
      <w:r>
        <w:rPr>
          <w:lang w:val="en-US"/>
        </w:rPr>
        <w:t>Id at p 621</w:t>
      </w:r>
    </w:p>
  </w:footnote>
  <w:footnote w:id="139">
    <w:p w:rsidR="00E30311" w:rsidRPr="00A82A40" w:rsidRDefault="00E30311">
      <w:pPr>
        <w:pStyle w:val="FootnoteText"/>
        <w:rPr>
          <w:lang w:val="en-US"/>
        </w:rPr>
      </w:pPr>
      <w:r>
        <w:rPr>
          <w:rStyle w:val="FootnoteReference"/>
        </w:rPr>
        <w:footnoteRef/>
      </w:r>
      <w:r>
        <w:t xml:space="preserve"> </w:t>
      </w:r>
      <w:r>
        <w:rPr>
          <w:lang w:val="en-US"/>
        </w:rPr>
        <w:t xml:space="preserve">Id </w:t>
      </w:r>
    </w:p>
  </w:footnote>
  <w:footnote w:id="140">
    <w:p w:rsidR="00E30311" w:rsidRPr="00A82A40" w:rsidRDefault="00E30311">
      <w:pPr>
        <w:pStyle w:val="FootnoteText"/>
        <w:rPr>
          <w:lang w:val="en-US"/>
        </w:rPr>
      </w:pPr>
      <w:r>
        <w:rPr>
          <w:rStyle w:val="FootnoteReference"/>
        </w:rPr>
        <w:footnoteRef/>
      </w:r>
      <w:r>
        <w:t xml:space="preserve"> </w:t>
      </w:r>
      <w:r>
        <w:rPr>
          <w:lang w:val="en-US"/>
        </w:rPr>
        <w:t xml:space="preserve">Id </w:t>
      </w:r>
    </w:p>
  </w:footnote>
  <w:footnote w:id="141">
    <w:p w:rsidR="00E30311" w:rsidRPr="00BB5738" w:rsidRDefault="00E30311">
      <w:pPr>
        <w:pStyle w:val="FootnoteText"/>
        <w:rPr>
          <w:lang w:val="en-US"/>
        </w:rPr>
      </w:pPr>
      <w:r>
        <w:rPr>
          <w:rStyle w:val="FootnoteReference"/>
        </w:rPr>
        <w:footnoteRef/>
      </w:r>
      <w:r>
        <w:t xml:space="preserve"> </w:t>
      </w:r>
      <w:r>
        <w:rPr>
          <w:lang w:val="en-US"/>
        </w:rPr>
        <w:t>id</w:t>
      </w:r>
    </w:p>
  </w:footnote>
  <w:footnote w:id="142">
    <w:p w:rsidR="00E30311" w:rsidRPr="000C11F4" w:rsidRDefault="00E30311">
      <w:pPr>
        <w:pStyle w:val="FootnoteText"/>
        <w:rPr>
          <w:lang w:val="en-US"/>
        </w:rPr>
      </w:pPr>
      <w:r>
        <w:rPr>
          <w:rStyle w:val="FootnoteReference"/>
        </w:rPr>
        <w:footnoteRef/>
      </w:r>
      <w:r>
        <w:t xml:space="preserve"> </w:t>
      </w:r>
      <w:r>
        <w:rPr>
          <w:lang w:val="en-US"/>
        </w:rPr>
        <w:t>id</w:t>
      </w:r>
    </w:p>
  </w:footnote>
  <w:footnote w:id="143">
    <w:p w:rsidR="00E30311" w:rsidRPr="000C11F4" w:rsidRDefault="00E30311">
      <w:pPr>
        <w:pStyle w:val="FootnoteText"/>
        <w:rPr>
          <w:lang w:val="en-US"/>
        </w:rPr>
      </w:pPr>
      <w:r>
        <w:rPr>
          <w:rStyle w:val="FootnoteReference"/>
        </w:rPr>
        <w:footnoteRef/>
      </w:r>
      <w:r>
        <w:t xml:space="preserve"> </w:t>
      </w:r>
      <w:r>
        <w:rPr>
          <w:lang w:val="en-US"/>
        </w:rPr>
        <w:t>id</w:t>
      </w:r>
    </w:p>
  </w:footnote>
  <w:footnote w:id="144">
    <w:p w:rsidR="00E30311" w:rsidRPr="000C11F4" w:rsidRDefault="00E30311">
      <w:pPr>
        <w:pStyle w:val="FootnoteText"/>
        <w:rPr>
          <w:lang w:val="en-US"/>
        </w:rPr>
      </w:pPr>
      <w:r>
        <w:rPr>
          <w:rStyle w:val="FootnoteReference"/>
        </w:rPr>
        <w:footnoteRef/>
      </w:r>
      <w:r>
        <w:t xml:space="preserve"> </w:t>
      </w:r>
      <w:r>
        <w:rPr>
          <w:lang w:val="en-US"/>
        </w:rPr>
        <w:t>id</w:t>
      </w:r>
    </w:p>
  </w:footnote>
  <w:footnote w:id="145">
    <w:p w:rsidR="00E30311" w:rsidRPr="000C11F4" w:rsidRDefault="00E30311">
      <w:pPr>
        <w:pStyle w:val="FootnoteText"/>
        <w:rPr>
          <w:lang w:val="en-US"/>
        </w:rPr>
      </w:pPr>
      <w:r>
        <w:rPr>
          <w:rStyle w:val="FootnoteReference"/>
        </w:rPr>
        <w:footnoteRef/>
      </w:r>
      <w:r>
        <w:t xml:space="preserve"> </w:t>
      </w:r>
      <w:r>
        <w:rPr>
          <w:lang w:val="en-US"/>
        </w:rPr>
        <w:t>id</w:t>
      </w:r>
    </w:p>
  </w:footnote>
  <w:footnote w:id="146">
    <w:p w:rsidR="00E30311" w:rsidRPr="000C11F4" w:rsidRDefault="00E30311">
      <w:pPr>
        <w:pStyle w:val="FootnoteText"/>
        <w:rPr>
          <w:lang w:val="en-US"/>
        </w:rPr>
      </w:pPr>
      <w:r>
        <w:rPr>
          <w:rStyle w:val="FootnoteReference"/>
        </w:rPr>
        <w:footnoteRef/>
      </w:r>
      <w:r>
        <w:t xml:space="preserve"> </w:t>
      </w:r>
      <w:r>
        <w:rPr>
          <w:lang w:val="en-US"/>
        </w:rPr>
        <w:t xml:space="preserve">1993/HP/1395/ and 1804 and HP/823 (unreported). These actions were consolidated into one action. </w:t>
      </w:r>
    </w:p>
  </w:footnote>
  <w:footnote w:id="147">
    <w:p w:rsidR="00E30311" w:rsidRPr="00585ECC" w:rsidRDefault="00E30311">
      <w:pPr>
        <w:pStyle w:val="FootnoteText"/>
        <w:rPr>
          <w:lang w:val="en-US"/>
        </w:rPr>
      </w:pPr>
      <w:r>
        <w:rPr>
          <w:rStyle w:val="FootnoteReference"/>
        </w:rPr>
        <w:footnoteRef/>
      </w:r>
      <w:r>
        <w:t xml:space="preserve"> </w:t>
      </w:r>
      <w:r>
        <w:rPr>
          <w:lang w:val="en-US"/>
        </w:rPr>
        <w:t>Article 20 (2) of the constitution, chapter 1 of the laws of Zambia provides inter alia that “subject to the provisions of this Constitution a law shall not make any provision that derogates from freedom of the press.”</w:t>
      </w:r>
    </w:p>
  </w:footnote>
  <w:footnote w:id="148">
    <w:p w:rsidR="00E30311" w:rsidRPr="006C2E5D" w:rsidRDefault="00E30311">
      <w:pPr>
        <w:pStyle w:val="FootnoteText"/>
        <w:rPr>
          <w:lang w:val="en-US"/>
        </w:rPr>
      </w:pPr>
      <w:r>
        <w:rPr>
          <w:rStyle w:val="FootnoteReference"/>
        </w:rPr>
        <w:footnoteRef/>
      </w:r>
      <w:r>
        <w:t xml:space="preserve"> </w:t>
      </w:r>
      <w:r>
        <w:rPr>
          <w:lang w:val="en-US"/>
        </w:rPr>
        <w:t>376 US 254 1964.</w:t>
      </w:r>
    </w:p>
  </w:footnote>
  <w:footnote w:id="149">
    <w:p w:rsidR="00E30311" w:rsidRPr="00024E0E" w:rsidRDefault="00E30311">
      <w:pPr>
        <w:pStyle w:val="FootnoteText"/>
        <w:rPr>
          <w:lang w:val="en-US"/>
        </w:rPr>
      </w:pPr>
      <w:r>
        <w:rPr>
          <w:rStyle w:val="FootnoteReference"/>
        </w:rPr>
        <w:footnoteRef/>
      </w:r>
      <w:r>
        <w:t xml:space="preserve"> </w:t>
      </w:r>
      <w:r>
        <w:rPr>
          <w:lang w:val="en-US"/>
        </w:rPr>
        <w:t>Article 20 of the Constitution of Zambia.</w:t>
      </w:r>
    </w:p>
  </w:footnote>
  <w:footnote w:id="150">
    <w:p w:rsidR="00E30311" w:rsidRPr="00D04274" w:rsidRDefault="00E30311">
      <w:pPr>
        <w:pStyle w:val="FootnoteText"/>
        <w:rPr>
          <w:lang w:val="en-US"/>
        </w:rPr>
      </w:pPr>
      <w:r>
        <w:rPr>
          <w:rStyle w:val="FootnoteReference"/>
        </w:rPr>
        <w:footnoteRef/>
      </w:r>
      <w:r>
        <w:t xml:space="preserve"> </w:t>
      </w:r>
      <w:r>
        <w:rPr>
          <w:lang w:val="en-US"/>
        </w:rPr>
        <w:t xml:space="preserve">Chapter 68 of the laws of Zambia. </w:t>
      </w:r>
    </w:p>
  </w:footnote>
  <w:footnote w:id="151">
    <w:p w:rsidR="00E30311" w:rsidRPr="008D44C0" w:rsidRDefault="00E30311">
      <w:pPr>
        <w:pStyle w:val="FootnoteText"/>
        <w:rPr>
          <w:lang w:val="en-US"/>
        </w:rPr>
      </w:pPr>
      <w:r>
        <w:rPr>
          <w:rStyle w:val="FootnoteReference"/>
        </w:rPr>
        <w:footnoteRef/>
      </w:r>
      <w:r>
        <w:t xml:space="preserve"> </w:t>
      </w:r>
      <w:r>
        <w:rPr>
          <w:lang w:val="en-US"/>
        </w:rPr>
        <w:t>FC/94/041 of 12</w:t>
      </w:r>
      <w:r w:rsidRPr="008D44C0">
        <w:rPr>
          <w:vertAlign w:val="superscript"/>
          <w:lang w:val="en-US"/>
        </w:rPr>
        <w:t>th</w:t>
      </w:r>
      <w:r>
        <w:rPr>
          <w:lang w:val="en-US"/>
        </w:rPr>
        <w:t xml:space="preserve"> October, 19994.</w:t>
      </w:r>
    </w:p>
  </w:footnote>
  <w:footnote w:id="152">
    <w:p w:rsidR="00E30311" w:rsidRPr="002565A1" w:rsidRDefault="00E30311">
      <w:pPr>
        <w:pStyle w:val="FootnoteText"/>
        <w:rPr>
          <w:lang w:val="en-US"/>
        </w:rPr>
      </w:pPr>
      <w:r>
        <w:rPr>
          <w:rStyle w:val="FootnoteReference"/>
        </w:rPr>
        <w:footnoteRef/>
      </w:r>
      <w:r>
        <w:t xml:space="preserve"> </w:t>
      </w:r>
      <w:r>
        <w:rPr>
          <w:lang w:val="en-US"/>
        </w:rPr>
        <w:t xml:space="preserve">Capital and Counties Bank Limited v George Henty and Sons [1882] 7 A.C. 741 at 745 HL per Lord Selborne. </w:t>
      </w:r>
    </w:p>
  </w:footnote>
  <w:footnote w:id="153">
    <w:p w:rsidR="00E30311" w:rsidRPr="006F66AB" w:rsidRDefault="00E30311">
      <w:pPr>
        <w:pStyle w:val="FootnoteText"/>
        <w:rPr>
          <w:lang w:val="en-US"/>
        </w:rPr>
      </w:pPr>
      <w:r>
        <w:rPr>
          <w:rStyle w:val="FootnoteReference"/>
        </w:rPr>
        <w:footnoteRef/>
      </w:r>
      <w:r>
        <w:t xml:space="preserve"> See </w:t>
      </w:r>
      <w:r>
        <w:rPr>
          <w:lang w:val="en-US"/>
        </w:rPr>
        <w:t xml:space="preserve">Charteston v News Group Newspapers Limited [1995] 2 A.C. 65. </w:t>
      </w:r>
    </w:p>
  </w:footnote>
  <w:footnote w:id="154">
    <w:p w:rsidR="00E30311" w:rsidRPr="008D7A18" w:rsidRDefault="00E30311">
      <w:pPr>
        <w:pStyle w:val="FootnoteText"/>
        <w:rPr>
          <w:lang w:val="en-US"/>
        </w:rPr>
      </w:pPr>
      <w:r>
        <w:rPr>
          <w:rStyle w:val="FootnoteReference"/>
        </w:rPr>
        <w:footnoteRef/>
      </w:r>
      <w:r>
        <w:t xml:space="preserve"> </w:t>
      </w:r>
      <w:r>
        <w:rPr>
          <w:lang w:val="en-US"/>
        </w:rPr>
        <w:t xml:space="preserve">Maurice Waite, </w:t>
      </w:r>
      <w:r w:rsidRPr="0016683D">
        <w:rPr>
          <w:u w:val="single"/>
          <w:lang w:val="en-US"/>
        </w:rPr>
        <w:t>Oxford Paperback, Thesaurus</w:t>
      </w:r>
      <w:r>
        <w:rPr>
          <w:u w:val="single"/>
          <w:lang w:val="en-US"/>
        </w:rPr>
        <w:t>,</w:t>
      </w:r>
      <w:r>
        <w:rPr>
          <w:lang w:val="en-US"/>
        </w:rPr>
        <w:t xml:space="preserve"> (London, Oxford University Press, 2006).</w:t>
      </w:r>
    </w:p>
  </w:footnote>
  <w:footnote w:id="155">
    <w:p w:rsidR="00E30311" w:rsidRPr="0031606B" w:rsidRDefault="00E30311">
      <w:pPr>
        <w:pStyle w:val="FootnoteText"/>
        <w:rPr>
          <w:lang w:val="en-US"/>
        </w:rPr>
      </w:pPr>
      <w:r>
        <w:rPr>
          <w:rStyle w:val="FootnoteReference"/>
        </w:rPr>
        <w:footnoteRef/>
      </w:r>
      <w:r>
        <w:t xml:space="preserve"> </w:t>
      </w:r>
      <w:r>
        <w:rPr>
          <w:lang w:val="en-US"/>
        </w:rPr>
        <w:t>(2006) Z.R. 43</w:t>
      </w:r>
    </w:p>
  </w:footnote>
  <w:footnote w:id="156">
    <w:p w:rsidR="00E30311" w:rsidRPr="00EF68A1" w:rsidRDefault="00E30311">
      <w:pPr>
        <w:pStyle w:val="FootnoteText"/>
        <w:rPr>
          <w:lang w:val="en-US"/>
        </w:rPr>
      </w:pPr>
      <w:r>
        <w:rPr>
          <w:rStyle w:val="FootnoteReference"/>
        </w:rPr>
        <w:footnoteRef/>
      </w:r>
      <w:r>
        <w:t xml:space="preserve"> </w:t>
      </w:r>
      <w:r>
        <w:rPr>
          <w:lang w:val="en-US"/>
        </w:rPr>
        <w:t>[1964] A.C. 234.</w:t>
      </w:r>
    </w:p>
  </w:footnote>
  <w:footnote w:id="157">
    <w:p w:rsidR="00E30311" w:rsidRPr="00DF2EF9" w:rsidRDefault="00E30311">
      <w:pPr>
        <w:pStyle w:val="FootnoteText"/>
        <w:rPr>
          <w:lang w:val="en-US"/>
        </w:rPr>
      </w:pPr>
      <w:r>
        <w:rPr>
          <w:rStyle w:val="FootnoteReference"/>
        </w:rPr>
        <w:footnoteRef/>
      </w:r>
      <w:r>
        <w:t xml:space="preserve"> </w:t>
      </w:r>
      <w:r>
        <w:rPr>
          <w:lang w:val="en-US"/>
        </w:rPr>
        <w:t>Lord Denning “</w:t>
      </w:r>
      <w:r w:rsidRPr="005F4D59">
        <w:rPr>
          <w:u w:val="single"/>
          <w:lang w:val="en-US"/>
        </w:rPr>
        <w:t>What Next in the Law</w:t>
      </w:r>
      <w:r>
        <w:rPr>
          <w:lang w:val="en-US"/>
        </w:rPr>
        <w:t>” (Butterworths, 1982) p. 192.</w:t>
      </w:r>
    </w:p>
  </w:footnote>
  <w:footnote w:id="158">
    <w:p w:rsidR="00E30311" w:rsidRPr="005754D2" w:rsidRDefault="00E30311">
      <w:pPr>
        <w:pStyle w:val="FootnoteText"/>
        <w:rPr>
          <w:lang w:val="en-US"/>
        </w:rPr>
      </w:pPr>
      <w:r>
        <w:rPr>
          <w:rStyle w:val="FootnoteReference"/>
        </w:rPr>
        <w:footnoteRef/>
      </w:r>
      <w:r>
        <w:t xml:space="preserve"> </w:t>
      </w:r>
      <w:r>
        <w:rPr>
          <w:lang w:val="en-US"/>
        </w:rPr>
        <w:t>See London Artists v Litter [1969] 2 Q.B. 375.</w:t>
      </w:r>
    </w:p>
  </w:footnote>
  <w:footnote w:id="159">
    <w:p w:rsidR="00E30311" w:rsidRPr="000B175B" w:rsidRDefault="00E30311">
      <w:pPr>
        <w:pStyle w:val="FootnoteText"/>
        <w:rPr>
          <w:lang w:val="en-US"/>
        </w:rPr>
      </w:pPr>
      <w:r>
        <w:rPr>
          <w:rStyle w:val="FootnoteReference"/>
        </w:rPr>
        <w:footnoteRef/>
      </w:r>
      <w:r>
        <w:t xml:space="preserve"> </w:t>
      </w:r>
      <w:r>
        <w:rPr>
          <w:lang w:val="en-US"/>
        </w:rPr>
        <w:t xml:space="preserve">155 [2001] A.C. 127. </w:t>
      </w:r>
    </w:p>
  </w:footnote>
  <w:footnote w:id="160">
    <w:p w:rsidR="00E30311" w:rsidRPr="0046662B" w:rsidRDefault="00E30311">
      <w:pPr>
        <w:pStyle w:val="FootnoteText"/>
        <w:rPr>
          <w:lang w:val="en-US"/>
        </w:rPr>
      </w:pPr>
      <w:r>
        <w:rPr>
          <w:rStyle w:val="FootnoteReference"/>
        </w:rPr>
        <w:footnoteRef/>
      </w:r>
      <w:r>
        <w:t xml:space="preserve"> </w:t>
      </w:r>
      <w:r>
        <w:rPr>
          <w:lang w:val="en-US"/>
        </w:rPr>
        <w:t>See s. 7 (b) (c) (h), and (m) of act Number 20 of 2002.</w:t>
      </w:r>
    </w:p>
  </w:footnote>
  <w:footnote w:id="161">
    <w:p w:rsidR="00E30311" w:rsidRPr="00DA4E27" w:rsidRDefault="00E30311">
      <w:pPr>
        <w:pStyle w:val="FootnoteText"/>
        <w:rPr>
          <w:lang w:val="en-US"/>
        </w:rPr>
      </w:pPr>
      <w:r>
        <w:rPr>
          <w:rStyle w:val="FootnoteReference"/>
        </w:rPr>
        <w:footnoteRef/>
      </w:r>
      <w:r>
        <w:t xml:space="preserve"> </w:t>
      </w:r>
      <w:r>
        <w:rPr>
          <w:lang w:val="en-US"/>
        </w:rPr>
        <w:t>Act Number 17 of 2002</w:t>
      </w:r>
    </w:p>
  </w:footnote>
  <w:footnote w:id="162">
    <w:p w:rsidR="00E30311" w:rsidRPr="00D54BB9" w:rsidRDefault="00E30311">
      <w:pPr>
        <w:pStyle w:val="FootnoteText"/>
        <w:rPr>
          <w:lang w:val="en-US"/>
        </w:rPr>
      </w:pPr>
      <w:r>
        <w:rPr>
          <w:rStyle w:val="FootnoteReference"/>
        </w:rPr>
        <w:footnoteRef/>
      </w:r>
      <w:r>
        <w:t xml:space="preserve"> </w:t>
      </w:r>
      <w:r>
        <w:rPr>
          <w:lang w:val="en-US"/>
        </w:rPr>
        <w:t>Id s. 5 (2) (g).</w:t>
      </w:r>
    </w:p>
  </w:footnote>
  <w:footnote w:id="163">
    <w:p w:rsidR="00E30311" w:rsidRPr="00335A1C" w:rsidRDefault="00E30311">
      <w:pPr>
        <w:pStyle w:val="FootnoteText"/>
        <w:rPr>
          <w:lang w:val="en-US"/>
        </w:rPr>
      </w:pPr>
      <w:r>
        <w:rPr>
          <w:rStyle w:val="FootnoteReference"/>
        </w:rPr>
        <w:footnoteRef/>
      </w:r>
      <w:r>
        <w:t xml:space="preserve"> </w:t>
      </w:r>
      <w:r>
        <w:rPr>
          <w:lang w:val="en-US"/>
        </w:rPr>
        <w:t>Id s. 5 (2) (h).</w:t>
      </w:r>
    </w:p>
  </w:footnote>
  <w:footnote w:id="164">
    <w:p w:rsidR="00E30311" w:rsidRPr="00D05EC6" w:rsidRDefault="00E30311">
      <w:pPr>
        <w:pStyle w:val="FootnoteText"/>
        <w:rPr>
          <w:lang w:val="en-US"/>
        </w:rPr>
      </w:pPr>
      <w:r>
        <w:rPr>
          <w:rStyle w:val="FootnoteReference"/>
        </w:rPr>
        <w:footnoteRef/>
      </w:r>
      <w:r>
        <w:t xml:space="preserve"> </w:t>
      </w:r>
      <w:r>
        <w:rPr>
          <w:lang w:val="en-US"/>
        </w:rPr>
        <w:t>Id s. 5 (2) (i).</w:t>
      </w:r>
    </w:p>
  </w:footnote>
  <w:footnote w:id="165">
    <w:p w:rsidR="00E30311" w:rsidRPr="00D05EC6" w:rsidRDefault="00E30311">
      <w:pPr>
        <w:pStyle w:val="FootnoteText"/>
        <w:rPr>
          <w:lang w:val="en-US"/>
        </w:rPr>
      </w:pPr>
      <w:r>
        <w:rPr>
          <w:rStyle w:val="FootnoteReference"/>
        </w:rPr>
        <w:footnoteRef/>
      </w:r>
      <w:r>
        <w:t xml:space="preserve"> 164 s. 5 (2) (f).</w:t>
      </w:r>
    </w:p>
  </w:footnote>
  <w:footnote w:id="166">
    <w:p w:rsidR="00E30311" w:rsidRPr="006A0144" w:rsidRDefault="00E30311">
      <w:pPr>
        <w:pStyle w:val="FootnoteText"/>
        <w:rPr>
          <w:lang w:val="en-US"/>
        </w:rPr>
      </w:pPr>
      <w:r>
        <w:rPr>
          <w:rStyle w:val="FootnoteReference"/>
        </w:rPr>
        <w:footnoteRef/>
      </w:r>
      <w:r>
        <w:t xml:space="preserve"> </w:t>
      </w:r>
      <w:r>
        <w:rPr>
          <w:lang w:val="en-US"/>
        </w:rPr>
        <w:t xml:space="preserve">Regulation 13 (b) of Statutory Instrument Number 52 of 2011, The Electoral Act, 2006 (Act Number 12 of 2006), The Electoral (Code of Conduct) Regulations, 2011. </w:t>
      </w:r>
    </w:p>
  </w:footnote>
  <w:footnote w:id="167">
    <w:p w:rsidR="00E30311" w:rsidRPr="00730394" w:rsidRDefault="00E30311" w:rsidP="00D54BB9">
      <w:pPr>
        <w:pStyle w:val="FootnoteText"/>
        <w:rPr>
          <w:lang w:val="en-US"/>
        </w:rPr>
      </w:pPr>
      <w:r>
        <w:rPr>
          <w:rStyle w:val="FootnoteReference"/>
        </w:rPr>
        <w:footnoteRef/>
      </w:r>
      <w:r>
        <w:t xml:space="preserve"> See Articles 2, 3, 6, and 7 of the Guidelines, and Principles which were adopted at the Annual General Meeting of the Southern African Broadcasting Association (SABA) in Arusha, Tanzania, in September, 2005.</w:t>
      </w:r>
    </w:p>
    <w:p w:rsidR="00E30311" w:rsidRPr="002144AE" w:rsidRDefault="00E30311">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43F"/>
    <w:multiLevelType w:val="hybridMultilevel"/>
    <w:tmpl w:val="B5DE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F6E6B"/>
    <w:multiLevelType w:val="hybridMultilevel"/>
    <w:tmpl w:val="F8101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31B9C"/>
    <w:multiLevelType w:val="hybridMultilevel"/>
    <w:tmpl w:val="5DB6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074ED"/>
    <w:multiLevelType w:val="hybridMultilevel"/>
    <w:tmpl w:val="BC3A72FC"/>
    <w:lvl w:ilvl="0" w:tplc="30EAF18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C0974"/>
    <w:multiLevelType w:val="hybridMultilevel"/>
    <w:tmpl w:val="78223E86"/>
    <w:lvl w:ilvl="0" w:tplc="F68E42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F7301"/>
    <w:multiLevelType w:val="hybridMultilevel"/>
    <w:tmpl w:val="C10EE2B2"/>
    <w:lvl w:ilvl="0" w:tplc="194CE6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71B4"/>
    <w:multiLevelType w:val="hybridMultilevel"/>
    <w:tmpl w:val="5BAAF768"/>
    <w:lvl w:ilvl="0" w:tplc="08367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BC73CF"/>
    <w:multiLevelType w:val="hybridMultilevel"/>
    <w:tmpl w:val="968CE66E"/>
    <w:lvl w:ilvl="0" w:tplc="99F61B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F4CB1"/>
    <w:multiLevelType w:val="hybridMultilevel"/>
    <w:tmpl w:val="7C6CA202"/>
    <w:lvl w:ilvl="0" w:tplc="A9F6D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32059"/>
    <w:multiLevelType w:val="hybridMultilevel"/>
    <w:tmpl w:val="AE207776"/>
    <w:lvl w:ilvl="0" w:tplc="D2E42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655B9"/>
    <w:multiLevelType w:val="hybridMultilevel"/>
    <w:tmpl w:val="8EAE5652"/>
    <w:lvl w:ilvl="0" w:tplc="9FF87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6E20EB"/>
    <w:multiLevelType w:val="hybridMultilevel"/>
    <w:tmpl w:val="B1BC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D208D"/>
    <w:multiLevelType w:val="hybridMultilevel"/>
    <w:tmpl w:val="9F96E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E1212"/>
    <w:multiLevelType w:val="hybridMultilevel"/>
    <w:tmpl w:val="191EE7EC"/>
    <w:lvl w:ilvl="0" w:tplc="B50AB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C824B9"/>
    <w:multiLevelType w:val="hybridMultilevel"/>
    <w:tmpl w:val="E406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AA3C9E"/>
    <w:multiLevelType w:val="hybridMultilevel"/>
    <w:tmpl w:val="6248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C92E44"/>
    <w:multiLevelType w:val="hybridMultilevel"/>
    <w:tmpl w:val="7DD82E5E"/>
    <w:lvl w:ilvl="0" w:tplc="1F16EB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850D4"/>
    <w:multiLevelType w:val="hybridMultilevel"/>
    <w:tmpl w:val="353E02BC"/>
    <w:lvl w:ilvl="0" w:tplc="E87451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819DB"/>
    <w:multiLevelType w:val="hybridMultilevel"/>
    <w:tmpl w:val="6472E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10CD4"/>
    <w:multiLevelType w:val="hybridMultilevel"/>
    <w:tmpl w:val="1D88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6E2C5C"/>
    <w:multiLevelType w:val="hybridMultilevel"/>
    <w:tmpl w:val="E23A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8D0BFA"/>
    <w:multiLevelType w:val="hybridMultilevel"/>
    <w:tmpl w:val="F680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A5D50"/>
    <w:multiLevelType w:val="hybridMultilevel"/>
    <w:tmpl w:val="59D2570A"/>
    <w:lvl w:ilvl="0" w:tplc="9864B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B6C31"/>
    <w:multiLevelType w:val="hybridMultilevel"/>
    <w:tmpl w:val="EEE8DB50"/>
    <w:lvl w:ilvl="0" w:tplc="0409000F">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A5F7B8B"/>
    <w:multiLevelType w:val="hybridMultilevel"/>
    <w:tmpl w:val="564AB76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B462F62"/>
    <w:multiLevelType w:val="hybridMultilevel"/>
    <w:tmpl w:val="B5D08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753607"/>
    <w:multiLevelType w:val="hybridMultilevel"/>
    <w:tmpl w:val="9D40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D04D51"/>
    <w:multiLevelType w:val="hybridMultilevel"/>
    <w:tmpl w:val="B9A8E9D8"/>
    <w:lvl w:ilvl="0" w:tplc="B0E6DE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7"/>
  </w:num>
  <w:num w:numId="4">
    <w:abstractNumId w:val="13"/>
  </w:num>
  <w:num w:numId="5">
    <w:abstractNumId w:val="5"/>
  </w:num>
  <w:num w:numId="6">
    <w:abstractNumId w:val="4"/>
  </w:num>
  <w:num w:numId="7">
    <w:abstractNumId w:val="27"/>
  </w:num>
  <w:num w:numId="8">
    <w:abstractNumId w:val="23"/>
  </w:num>
  <w:num w:numId="9">
    <w:abstractNumId w:val="22"/>
  </w:num>
  <w:num w:numId="10">
    <w:abstractNumId w:val="9"/>
  </w:num>
  <w:num w:numId="11">
    <w:abstractNumId w:val="1"/>
  </w:num>
  <w:num w:numId="12">
    <w:abstractNumId w:val="0"/>
  </w:num>
  <w:num w:numId="13">
    <w:abstractNumId w:val="2"/>
  </w:num>
  <w:num w:numId="14">
    <w:abstractNumId w:val="21"/>
  </w:num>
  <w:num w:numId="15">
    <w:abstractNumId w:val="6"/>
  </w:num>
  <w:num w:numId="16">
    <w:abstractNumId w:val="8"/>
  </w:num>
  <w:num w:numId="17">
    <w:abstractNumId w:val="12"/>
  </w:num>
  <w:num w:numId="18">
    <w:abstractNumId w:val="26"/>
  </w:num>
  <w:num w:numId="19">
    <w:abstractNumId w:val="16"/>
  </w:num>
  <w:num w:numId="20">
    <w:abstractNumId w:val="11"/>
  </w:num>
  <w:num w:numId="21">
    <w:abstractNumId w:val="17"/>
  </w:num>
  <w:num w:numId="22">
    <w:abstractNumId w:val="25"/>
  </w:num>
  <w:num w:numId="23">
    <w:abstractNumId w:val="19"/>
  </w:num>
  <w:num w:numId="24">
    <w:abstractNumId w:val="14"/>
  </w:num>
  <w:num w:numId="25">
    <w:abstractNumId w:val="20"/>
  </w:num>
  <w:num w:numId="26">
    <w:abstractNumId w:val="24"/>
  </w:num>
  <w:num w:numId="27">
    <w:abstractNumId w:val="15"/>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153D09"/>
    <w:rsid w:val="000149A2"/>
    <w:rsid w:val="00017363"/>
    <w:rsid w:val="000222A7"/>
    <w:rsid w:val="00023B9A"/>
    <w:rsid w:val="00024E0E"/>
    <w:rsid w:val="0003622A"/>
    <w:rsid w:val="000406B4"/>
    <w:rsid w:val="000632A8"/>
    <w:rsid w:val="000673B2"/>
    <w:rsid w:val="000674E2"/>
    <w:rsid w:val="000678A0"/>
    <w:rsid w:val="00072B35"/>
    <w:rsid w:val="00074F18"/>
    <w:rsid w:val="0008482F"/>
    <w:rsid w:val="000912B9"/>
    <w:rsid w:val="00092291"/>
    <w:rsid w:val="000944F5"/>
    <w:rsid w:val="00096167"/>
    <w:rsid w:val="000A5612"/>
    <w:rsid w:val="000A6922"/>
    <w:rsid w:val="000A73AE"/>
    <w:rsid w:val="000A7DC4"/>
    <w:rsid w:val="000B175B"/>
    <w:rsid w:val="000B2792"/>
    <w:rsid w:val="000B6377"/>
    <w:rsid w:val="000C11F4"/>
    <w:rsid w:val="000D02CC"/>
    <w:rsid w:val="000D33FD"/>
    <w:rsid w:val="000D4449"/>
    <w:rsid w:val="000E2CBB"/>
    <w:rsid w:val="000E3918"/>
    <w:rsid w:val="001031D1"/>
    <w:rsid w:val="00110A64"/>
    <w:rsid w:val="0011318E"/>
    <w:rsid w:val="00115D76"/>
    <w:rsid w:val="001345D2"/>
    <w:rsid w:val="001349E1"/>
    <w:rsid w:val="00140307"/>
    <w:rsid w:val="001425B3"/>
    <w:rsid w:val="0014507E"/>
    <w:rsid w:val="001518AD"/>
    <w:rsid w:val="00153293"/>
    <w:rsid w:val="001532F6"/>
    <w:rsid w:val="00153D09"/>
    <w:rsid w:val="00161B73"/>
    <w:rsid w:val="001626BE"/>
    <w:rsid w:val="00165C1A"/>
    <w:rsid w:val="0016683D"/>
    <w:rsid w:val="0017740C"/>
    <w:rsid w:val="00185B24"/>
    <w:rsid w:val="00185C1E"/>
    <w:rsid w:val="00187A35"/>
    <w:rsid w:val="0019460A"/>
    <w:rsid w:val="001A6DF0"/>
    <w:rsid w:val="001A7011"/>
    <w:rsid w:val="001D26FF"/>
    <w:rsid w:val="001D36CA"/>
    <w:rsid w:val="001D499F"/>
    <w:rsid w:val="001E76BF"/>
    <w:rsid w:val="001F3550"/>
    <w:rsid w:val="00203E03"/>
    <w:rsid w:val="00213CB6"/>
    <w:rsid w:val="002144AE"/>
    <w:rsid w:val="00223784"/>
    <w:rsid w:val="002250E4"/>
    <w:rsid w:val="002329D6"/>
    <w:rsid w:val="00232A59"/>
    <w:rsid w:val="00235C17"/>
    <w:rsid w:val="00244912"/>
    <w:rsid w:val="00250360"/>
    <w:rsid w:val="002565A1"/>
    <w:rsid w:val="0026250E"/>
    <w:rsid w:val="002625DF"/>
    <w:rsid w:val="00270294"/>
    <w:rsid w:val="00276C61"/>
    <w:rsid w:val="00295533"/>
    <w:rsid w:val="002969EF"/>
    <w:rsid w:val="002A162E"/>
    <w:rsid w:val="002A2A5D"/>
    <w:rsid w:val="002A7FD3"/>
    <w:rsid w:val="002B5BEE"/>
    <w:rsid w:val="002C0A08"/>
    <w:rsid w:val="002D07CF"/>
    <w:rsid w:val="002D6928"/>
    <w:rsid w:val="002E4F6E"/>
    <w:rsid w:val="00301256"/>
    <w:rsid w:val="00303518"/>
    <w:rsid w:val="00305BE2"/>
    <w:rsid w:val="00313200"/>
    <w:rsid w:val="00313E41"/>
    <w:rsid w:val="0031606B"/>
    <w:rsid w:val="003260F8"/>
    <w:rsid w:val="00335A1C"/>
    <w:rsid w:val="00336E98"/>
    <w:rsid w:val="003423FA"/>
    <w:rsid w:val="00346DF8"/>
    <w:rsid w:val="003510C9"/>
    <w:rsid w:val="00357D71"/>
    <w:rsid w:val="0036218D"/>
    <w:rsid w:val="00372160"/>
    <w:rsid w:val="00372947"/>
    <w:rsid w:val="0038747D"/>
    <w:rsid w:val="0039099F"/>
    <w:rsid w:val="003A4909"/>
    <w:rsid w:val="003C11F6"/>
    <w:rsid w:val="003C7351"/>
    <w:rsid w:val="003C77E5"/>
    <w:rsid w:val="003D0E9A"/>
    <w:rsid w:val="003D1619"/>
    <w:rsid w:val="003D33EC"/>
    <w:rsid w:val="003E5B1A"/>
    <w:rsid w:val="003E61FF"/>
    <w:rsid w:val="003E67F6"/>
    <w:rsid w:val="003E6941"/>
    <w:rsid w:val="003F2A95"/>
    <w:rsid w:val="003F5688"/>
    <w:rsid w:val="00400556"/>
    <w:rsid w:val="00412D91"/>
    <w:rsid w:val="004238BA"/>
    <w:rsid w:val="00435741"/>
    <w:rsid w:val="004364F8"/>
    <w:rsid w:val="00454540"/>
    <w:rsid w:val="0045544B"/>
    <w:rsid w:val="004628EB"/>
    <w:rsid w:val="00463AC4"/>
    <w:rsid w:val="0046662B"/>
    <w:rsid w:val="004801E6"/>
    <w:rsid w:val="00483D2F"/>
    <w:rsid w:val="00485375"/>
    <w:rsid w:val="004879FE"/>
    <w:rsid w:val="00491CD8"/>
    <w:rsid w:val="00494BD4"/>
    <w:rsid w:val="00496636"/>
    <w:rsid w:val="004B2AD7"/>
    <w:rsid w:val="004B6780"/>
    <w:rsid w:val="004C6200"/>
    <w:rsid w:val="004C64E8"/>
    <w:rsid w:val="004C6BB4"/>
    <w:rsid w:val="004D1D34"/>
    <w:rsid w:val="004D77DE"/>
    <w:rsid w:val="004E212F"/>
    <w:rsid w:val="004E77B9"/>
    <w:rsid w:val="004F049D"/>
    <w:rsid w:val="004F140A"/>
    <w:rsid w:val="004F2ACE"/>
    <w:rsid w:val="004F4B4E"/>
    <w:rsid w:val="004F7A64"/>
    <w:rsid w:val="004F7CED"/>
    <w:rsid w:val="0051035E"/>
    <w:rsid w:val="0051168B"/>
    <w:rsid w:val="00514A1E"/>
    <w:rsid w:val="00520FD0"/>
    <w:rsid w:val="005218F5"/>
    <w:rsid w:val="00522312"/>
    <w:rsid w:val="00527411"/>
    <w:rsid w:val="00542518"/>
    <w:rsid w:val="0055005A"/>
    <w:rsid w:val="00560351"/>
    <w:rsid w:val="00561066"/>
    <w:rsid w:val="00565963"/>
    <w:rsid w:val="00566FDA"/>
    <w:rsid w:val="00571E66"/>
    <w:rsid w:val="00571E6C"/>
    <w:rsid w:val="005733BC"/>
    <w:rsid w:val="005754D2"/>
    <w:rsid w:val="005759F0"/>
    <w:rsid w:val="005769B5"/>
    <w:rsid w:val="005817A2"/>
    <w:rsid w:val="005852FB"/>
    <w:rsid w:val="005859C1"/>
    <w:rsid w:val="00585B57"/>
    <w:rsid w:val="00585ECC"/>
    <w:rsid w:val="00586004"/>
    <w:rsid w:val="005925D4"/>
    <w:rsid w:val="005953C7"/>
    <w:rsid w:val="005A6F2D"/>
    <w:rsid w:val="005B1C5F"/>
    <w:rsid w:val="005B5465"/>
    <w:rsid w:val="005C2650"/>
    <w:rsid w:val="005C2C43"/>
    <w:rsid w:val="005C71ED"/>
    <w:rsid w:val="005F2592"/>
    <w:rsid w:val="005F41FB"/>
    <w:rsid w:val="005F4D59"/>
    <w:rsid w:val="005F66CE"/>
    <w:rsid w:val="0060384D"/>
    <w:rsid w:val="00604A5D"/>
    <w:rsid w:val="00605011"/>
    <w:rsid w:val="006201B9"/>
    <w:rsid w:val="00624A34"/>
    <w:rsid w:val="006347A9"/>
    <w:rsid w:val="0064495F"/>
    <w:rsid w:val="0065347F"/>
    <w:rsid w:val="00653887"/>
    <w:rsid w:val="00660C2B"/>
    <w:rsid w:val="00666D65"/>
    <w:rsid w:val="00670461"/>
    <w:rsid w:val="00676DDD"/>
    <w:rsid w:val="00680349"/>
    <w:rsid w:val="00681DE9"/>
    <w:rsid w:val="006851EA"/>
    <w:rsid w:val="006861B0"/>
    <w:rsid w:val="006879F3"/>
    <w:rsid w:val="006921FC"/>
    <w:rsid w:val="006969B7"/>
    <w:rsid w:val="006A0144"/>
    <w:rsid w:val="006A02DC"/>
    <w:rsid w:val="006A0336"/>
    <w:rsid w:val="006A0B73"/>
    <w:rsid w:val="006A1768"/>
    <w:rsid w:val="006B50EC"/>
    <w:rsid w:val="006B5EE5"/>
    <w:rsid w:val="006B7598"/>
    <w:rsid w:val="006C2E5D"/>
    <w:rsid w:val="006C6424"/>
    <w:rsid w:val="006D0304"/>
    <w:rsid w:val="006D4570"/>
    <w:rsid w:val="006D5D5D"/>
    <w:rsid w:val="006F0C81"/>
    <w:rsid w:val="006F66AB"/>
    <w:rsid w:val="00704312"/>
    <w:rsid w:val="00707F68"/>
    <w:rsid w:val="00711DD6"/>
    <w:rsid w:val="007247CE"/>
    <w:rsid w:val="00730394"/>
    <w:rsid w:val="00742C1A"/>
    <w:rsid w:val="00752168"/>
    <w:rsid w:val="00761B9E"/>
    <w:rsid w:val="00764003"/>
    <w:rsid w:val="00770DDF"/>
    <w:rsid w:val="00775E86"/>
    <w:rsid w:val="0077607D"/>
    <w:rsid w:val="007822C8"/>
    <w:rsid w:val="007A3AA9"/>
    <w:rsid w:val="007A4F2B"/>
    <w:rsid w:val="007A7A85"/>
    <w:rsid w:val="007B4CA9"/>
    <w:rsid w:val="007C47D8"/>
    <w:rsid w:val="007C50F5"/>
    <w:rsid w:val="007D112C"/>
    <w:rsid w:val="007D4418"/>
    <w:rsid w:val="00811434"/>
    <w:rsid w:val="00816F6A"/>
    <w:rsid w:val="008213F6"/>
    <w:rsid w:val="00822A0C"/>
    <w:rsid w:val="00824A1C"/>
    <w:rsid w:val="00825F37"/>
    <w:rsid w:val="0082765A"/>
    <w:rsid w:val="00855B46"/>
    <w:rsid w:val="00857643"/>
    <w:rsid w:val="0086430B"/>
    <w:rsid w:val="0086597E"/>
    <w:rsid w:val="00867404"/>
    <w:rsid w:val="0086753A"/>
    <w:rsid w:val="0087120A"/>
    <w:rsid w:val="00877F6E"/>
    <w:rsid w:val="0088014A"/>
    <w:rsid w:val="00880C59"/>
    <w:rsid w:val="00887B4B"/>
    <w:rsid w:val="008966CC"/>
    <w:rsid w:val="008A44D8"/>
    <w:rsid w:val="008B01C5"/>
    <w:rsid w:val="008B2DC7"/>
    <w:rsid w:val="008C1BCA"/>
    <w:rsid w:val="008C392C"/>
    <w:rsid w:val="008C439D"/>
    <w:rsid w:val="008C5B8C"/>
    <w:rsid w:val="008D1FCA"/>
    <w:rsid w:val="008D44C0"/>
    <w:rsid w:val="008D4FB3"/>
    <w:rsid w:val="008D5547"/>
    <w:rsid w:val="008D7A18"/>
    <w:rsid w:val="008E77CC"/>
    <w:rsid w:val="008E7C2D"/>
    <w:rsid w:val="0090662B"/>
    <w:rsid w:val="00910779"/>
    <w:rsid w:val="0091303D"/>
    <w:rsid w:val="00915038"/>
    <w:rsid w:val="0093164D"/>
    <w:rsid w:val="00936B48"/>
    <w:rsid w:val="009459D8"/>
    <w:rsid w:val="00947F4E"/>
    <w:rsid w:val="009539C9"/>
    <w:rsid w:val="009544FE"/>
    <w:rsid w:val="00960D57"/>
    <w:rsid w:val="00970612"/>
    <w:rsid w:val="00973F4B"/>
    <w:rsid w:val="00985FE1"/>
    <w:rsid w:val="00986AFB"/>
    <w:rsid w:val="009935DC"/>
    <w:rsid w:val="009A359A"/>
    <w:rsid w:val="009A4EC1"/>
    <w:rsid w:val="009A7B1B"/>
    <w:rsid w:val="009B0838"/>
    <w:rsid w:val="009B241F"/>
    <w:rsid w:val="009C0534"/>
    <w:rsid w:val="009C282A"/>
    <w:rsid w:val="009C6761"/>
    <w:rsid w:val="009C697C"/>
    <w:rsid w:val="009C714E"/>
    <w:rsid w:val="009D0FE7"/>
    <w:rsid w:val="009D1A52"/>
    <w:rsid w:val="009D3E39"/>
    <w:rsid w:val="009D6511"/>
    <w:rsid w:val="009E0A3D"/>
    <w:rsid w:val="009E6893"/>
    <w:rsid w:val="009E6EB6"/>
    <w:rsid w:val="009E7E4C"/>
    <w:rsid w:val="009F4FB0"/>
    <w:rsid w:val="00A03798"/>
    <w:rsid w:val="00A040D3"/>
    <w:rsid w:val="00A057A5"/>
    <w:rsid w:val="00A06108"/>
    <w:rsid w:val="00A14A66"/>
    <w:rsid w:val="00A17008"/>
    <w:rsid w:val="00A23328"/>
    <w:rsid w:val="00A23B97"/>
    <w:rsid w:val="00A36270"/>
    <w:rsid w:val="00A378F1"/>
    <w:rsid w:val="00A45DCF"/>
    <w:rsid w:val="00A46035"/>
    <w:rsid w:val="00A5225D"/>
    <w:rsid w:val="00A5406E"/>
    <w:rsid w:val="00A57922"/>
    <w:rsid w:val="00A72638"/>
    <w:rsid w:val="00A8291A"/>
    <w:rsid w:val="00A82A40"/>
    <w:rsid w:val="00A83370"/>
    <w:rsid w:val="00A854E0"/>
    <w:rsid w:val="00A910CA"/>
    <w:rsid w:val="00A94520"/>
    <w:rsid w:val="00A94A7B"/>
    <w:rsid w:val="00AA1D1E"/>
    <w:rsid w:val="00AB4B8F"/>
    <w:rsid w:val="00AB7B9C"/>
    <w:rsid w:val="00AC1077"/>
    <w:rsid w:val="00AD1B54"/>
    <w:rsid w:val="00AD43C9"/>
    <w:rsid w:val="00AD78F6"/>
    <w:rsid w:val="00AE0E86"/>
    <w:rsid w:val="00AE1459"/>
    <w:rsid w:val="00AE183C"/>
    <w:rsid w:val="00AE6B33"/>
    <w:rsid w:val="00AF11F4"/>
    <w:rsid w:val="00B00B5B"/>
    <w:rsid w:val="00B033D8"/>
    <w:rsid w:val="00B03764"/>
    <w:rsid w:val="00B045F9"/>
    <w:rsid w:val="00B06991"/>
    <w:rsid w:val="00B135D3"/>
    <w:rsid w:val="00B20924"/>
    <w:rsid w:val="00B22F0F"/>
    <w:rsid w:val="00B24FAF"/>
    <w:rsid w:val="00B306FE"/>
    <w:rsid w:val="00B33696"/>
    <w:rsid w:val="00B36CD0"/>
    <w:rsid w:val="00B4559B"/>
    <w:rsid w:val="00B537A4"/>
    <w:rsid w:val="00B55846"/>
    <w:rsid w:val="00B55B88"/>
    <w:rsid w:val="00B55DF7"/>
    <w:rsid w:val="00B56022"/>
    <w:rsid w:val="00B64A43"/>
    <w:rsid w:val="00B64C42"/>
    <w:rsid w:val="00B73A54"/>
    <w:rsid w:val="00B773CC"/>
    <w:rsid w:val="00B77E82"/>
    <w:rsid w:val="00B80A62"/>
    <w:rsid w:val="00B81669"/>
    <w:rsid w:val="00B834D7"/>
    <w:rsid w:val="00B929B7"/>
    <w:rsid w:val="00BA2E80"/>
    <w:rsid w:val="00BA5A3C"/>
    <w:rsid w:val="00BB45B6"/>
    <w:rsid w:val="00BB5738"/>
    <w:rsid w:val="00BB7839"/>
    <w:rsid w:val="00BC3ED1"/>
    <w:rsid w:val="00BC7400"/>
    <w:rsid w:val="00BD0511"/>
    <w:rsid w:val="00BD11DC"/>
    <w:rsid w:val="00BD5999"/>
    <w:rsid w:val="00BE7B3A"/>
    <w:rsid w:val="00BF15F7"/>
    <w:rsid w:val="00BF7E18"/>
    <w:rsid w:val="00C03B93"/>
    <w:rsid w:val="00C07CD0"/>
    <w:rsid w:val="00C12D00"/>
    <w:rsid w:val="00C15885"/>
    <w:rsid w:val="00C245E6"/>
    <w:rsid w:val="00C2510B"/>
    <w:rsid w:val="00C27279"/>
    <w:rsid w:val="00C3083D"/>
    <w:rsid w:val="00C31DB0"/>
    <w:rsid w:val="00C4192B"/>
    <w:rsid w:val="00C41E2C"/>
    <w:rsid w:val="00C42BA8"/>
    <w:rsid w:val="00C46420"/>
    <w:rsid w:val="00C52F52"/>
    <w:rsid w:val="00C53CB2"/>
    <w:rsid w:val="00C560CB"/>
    <w:rsid w:val="00C56B82"/>
    <w:rsid w:val="00C56FE3"/>
    <w:rsid w:val="00C611E7"/>
    <w:rsid w:val="00C6162E"/>
    <w:rsid w:val="00C814C5"/>
    <w:rsid w:val="00C86141"/>
    <w:rsid w:val="00C9018B"/>
    <w:rsid w:val="00C90909"/>
    <w:rsid w:val="00C91966"/>
    <w:rsid w:val="00C9669C"/>
    <w:rsid w:val="00CA0AF7"/>
    <w:rsid w:val="00CA0FEF"/>
    <w:rsid w:val="00CA47AC"/>
    <w:rsid w:val="00CB3F9F"/>
    <w:rsid w:val="00CB532E"/>
    <w:rsid w:val="00CB7C3A"/>
    <w:rsid w:val="00CC3134"/>
    <w:rsid w:val="00CC3E50"/>
    <w:rsid w:val="00CC53B9"/>
    <w:rsid w:val="00CD10EA"/>
    <w:rsid w:val="00CD396E"/>
    <w:rsid w:val="00CD64E2"/>
    <w:rsid w:val="00CE19F0"/>
    <w:rsid w:val="00CF022C"/>
    <w:rsid w:val="00CF127F"/>
    <w:rsid w:val="00CF50DC"/>
    <w:rsid w:val="00CF781B"/>
    <w:rsid w:val="00D04274"/>
    <w:rsid w:val="00D04F59"/>
    <w:rsid w:val="00D05181"/>
    <w:rsid w:val="00D052DE"/>
    <w:rsid w:val="00D05EC6"/>
    <w:rsid w:val="00D179BF"/>
    <w:rsid w:val="00D232D0"/>
    <w:rsid w:val="00D27F53"/>
    <w:rsid w:val="00D31F7C"/>
    <w:rsid w:val="00D47B13"/>
    <w:rsid w:val="00D54BB9"/>
    <w:rsid w:val="00D56414"/>
    <w:rsid w:val="00D56EC6"/>
    <w:rsid w:val="00D577FE"/>
    <w:rsid w:val="00D639DA"/>
    <w:rsid w:val="00D6540F"/>
    <w:rsid w:val="00D72763"/>
    <w:rsid w:val="00D7763E"/>
    <w:rsid w:val="00D8005A"/>
    <w:rsid w:val="00D8174D"/>
    <w:rsid w:val="00D925A7"/>
    <w:rsid w:val="00DA4E27"/>
    <w:rsid w:val="00DA6D77"/>
    <w:rsid w:val="00DA7427"/>
    <w:rsid w:val="00DB1C7A"/>
    <w:rsid w:val="00DB7D91"/>
    <w:rsid w:val="00DC1941"/>
    <w:rsid w:val="00DC31EB"/>
    <w:rsid w:val="00DC5D8D"/>
    <w:rsid w:val="00DC605A"/>
    <w:rsid w:val="00DC6DBE"/>
    <w:rsid w:val="00DD5A2A"/>
    <w:rsid w:val="00DE1AF9"/>
    <w:rsid w:val="00DE4F14"/>
    <w:rsid w:val="00DF12A6"/>
    <w:rsid w:val="00DF2EF9"/>
    <w:rsid w:val="00DF6F51"/>
    <w:rsid w:val="00E02146"/>
    <w:rsid w:val="00E04C4D"/>
    <w:rsid w:val="00E06DB5"/>
    <w:rsid w:val="00E06FD0"/>
    <w:rsid w:val="00E1259D"/>
    <w:rsid w:val="00E130CB"/>
    <w:rsid w:val="00E13A82"/>
    <w:rsid w:val="00E21E90"/>
    <w:rsid w:val="00E23DED"/>
    <w:rsid w:val="00E30311"/>
    <w:rsid w:val="00E3387F"/>
    <w:rsid w:val="00E345F3"/>
    <w:rsid w:val="00E4489A"/>
    <w:rsid w:val="00E44990"/>
    <w:rsid w:val="00E509EE"/>
    <w:rsid w:val="00E60590"/>
    <w:rsid w:val="00E76D73"/>
    <w:rsid w:val="00E77811"/>
    <w:rsid w:val="00E77877"/>
    <w:rsid w:val="00E840DD"/>
    <w:rsid w:val="00E97DD3"/>
    <w:rsid w:val="00EB2CF1"/>
    <w:rsid w:val="00EC62F2"/>
    <w:rsid w:val="00EE1D85"/>
    <w:rsid w:val="00EE4EEE"/>
    <w:rsid w:val="00EE5A59"/>
    <w:rsid w:val="00EF6364"/>
    <w:rsid w:val="00EF68A1"/>
    <w:rsid w:val="00F05DCB"/>
    <w:rsid w:val="00F135F6"/>
    <w:rsid w:val="00F249F2"/>
    <w:rsid w:val="00F268B6"/>
    <w:rsid w:val="00F279B3"/>
    <w:rsid w:val="00F3441B"/>
    <w:rsid w:val="00F36273"/>
    <w:rsid w:val="00F3676F"/>
    <w:rsid w:val="00F3682B"/>
    <w:rsid w:val="00F37A79"/>
    <w:rsid w:val="00F37BC4"/>
    <w:rsid w:val="00F41C12"/>
    <w:rsid w:val="00F44AF3"/>
    <w:rsid w:val="00F45797"/>
    <w:rsid w:val="00F466AB"/>
    <w:rsid w:val="00F61AA4"/>
    <w:rsid w:val="00F6253D"/>
    <w:rsid w:val="00F712AE"/>
    <w:rsid w:val="00F748DA"/>
    <w:rsid w:val="00F80C0E"/>
    <w:rsid w:val="00F81961"/>
    <w:rsid w:val="00FA0D6D"/>
    <w:rsid w:val="00FA265F"/>
    <w:rsid w:val="00FB02C2"/>
    <w:rsid w:val="00FC07AD"/>
    <w:rsid w:val="00FC381F"/>
    <w:rsid w:val="00FC607A"/>
    <w:rsid w:val="00FC75BC"/>
    <w:rsid w:val="00FD05ED"/>
    <w:rsid w:val="00FD1844"/>
    <w:rsid w:val="00FE2721"/>
    <w:rsid w:val="00FF2A4D"/>
    <w:rsid w:val="00FF309F"/>
    <w:rsid w:val="00FF3A09"/>
    <w:rsid w:val="00FF4C50"/>
    <w:rsid w:val="00FF6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D09"/>
    <w:pPr>
      <w:ind w:left="720"/>
      <w:contextualSpacing/>
    </w:pPr>
  </w:style>
  <w:style w:type="paragraph" w:styleId="Header">
    <w:name w:val="header"/>
    <w:basedOn w:val="Normal"/>
    <w:link w:val="HeaderChar"/>
    <w:uiPriority w:val="99"/>
    <w:semiHidden/>
    <w:unhideWhenUsed/>
    <w:rsid w:val="00153D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D09"/>
    <w:rPr>
      <w:lang w:val="en-GB"/>
    </w:rPr>
  </w:style>
  <w:style w:type="paragraph" w:styleId="Footer">
    <w:name w:val="footer"/>
    <w:basedOn w:val="Normal"/>
    <w:link w:val="FooterChar"/>
    <w:uiPriority w:val="99"/>
    <w:unhideWhenUsed/>
    <w:rsid w:val="0015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D09"/>
    <w:rPr>
      <w:lang w:val="en-GB"/>
    </w:rPr>
  </w:style>
  <w:style w:type="paragraph" w:styleId="FootnoteText">
    <w:name w:val="footnote text"/>
    <w:basedOn w:val="Normal"/>
    <w:link w:val="FootnoteTextChar"/>
    <w:uiPriority w:val="99"/>
    <w:semiHidden/>
    <w:unhideWhenUsed/>
    <w:rsid w:val="00153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D09"/>
    <w:rPr>
      <w:sz w:val="20"/>
      <w:szCs w:val="20"/>
      <w:lang w:val="en-GB"/>
    </w:rPr>
  </w:style>
  <w:style w:type="character" w:styleId="FootnoteReference">
    <w:name w:val="footnote reference"/>
    <w:basedOn w:val="DefaultParagraphFont"/>
    <w:uiPriority w:val="99"/>
    <w:semiHidden/>
    <w:unhideWhenUsed/>
    <w:rsid w:val="00153D09"/>
    <w:rPr>
      <w:vertAlign w:val="superscript"/>
    </w:rPr>
  </w:style>
  <w:style w:type="paragraph" w:styleId="BalloonText">
    <w:name w:val="Balloon Text"/>
    <w:basedOn w:val="Normal"/>
    <w:link w:val="BalloonTextChar"/>
    <w:uiPriority w:val="99"/>
    <w:semiHidden/>
    <w:unhideWhenUsed/>
    <w:rsid w:val="0015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0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1BD3F-8740-4FF4-84DF-F5975C59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3727</TotalTime>
  <Pages>1</Pages>
  <Words>25220</Words>
  <Characters>143760</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MatibiniSec</dc:creator>
  <cp:lastModifiedBy>Judge MatibiniSec</cp:lastModifiedBy>
  <cp:revision>135</cp:revision>
  <cp:lastPrinted>2011-08-02T01:03:00Z</cp:lastPrinted>
  <dcterms:created xsi:type="dcterms:W3CDTF">2011-07-18T19:13:00Z</dcterms:created>
  <dcterms:modified xsi:type="dcterms:W3CDTF">2011-08-02T01:10:00Z</dcterms:modified>
</cp:coreProperties>
</file>