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45" w:rsidRPr="00253A59" w:rsidRDefault="00393B45" w:rsidP="00393B45">
      <w:pPr>
        <w:spacing w:line="360" w:lineRule="auto"/>
        <w:jc w:val="both"/>
        <w:rPr>
          <w:rFonts w:ascii="Tunga" w:hAnsi="Tunga" w:cs="Tunga"/>
        </w:rPr>
      </w:pPr>
      <w:r w:rsidRPr="00253A59">
        <w:rPr>
          <w:rFonts w:ascii="Tunga" w:hAnsi="Tunga" w:cs="Tunga"/>
          <w:u w:val="single"/>
        </w:rPr>
        <w:t xml:space="preserve">IN THE HIGH COURT FOR </w:t>
      </w:r>
      <w:smartTag w:uri="urn:schemas-microsoft-com:office:smarttags" w:element="country-region">
        <w:smartTag w:uri="urn:schemas-microsoft-com:office:smarttags" w:element="place">
          <w:r w:rsidRPr="00253A59">
            <w:rPr>
              <w:rFonts w:ascii="Tunga" w:hAnsi="Tunga" w:cs="Tunga"/>
              <w:u w:val="single"/>
            </w:rPr>
            <w:t>ZAMBIA</w:t>
          </w:r>
        </w:smartTag>
      </w:smartTag>
      <w:r>
        <w:rPr>
          <w:rFonts w:ascii="Tunga" w:hAnsi="Tunga" w:cs="Tunga"/>
        </w:rPr>
        <w:t xml:space="preserve"> </w:t>
      </w:r>
      <w:r>
        <w:rPr>
          <w:rFonts w:ascii="Tunga" w:hAnsi="Tunga" w:cs="Tunga"/>
        </w:rPr>
        <w:tab/>
      </w:r>
      <w:r>
        <w:rPr>
          <w:rFonts w:ascii="Tunga" w:hAnsi="Tunga" w:cs="Tunga"/>
        </w:rPr>
        <w:tab/>
      </w:r>
      <w:r>
        <w:rPr>
          <w:rFonts w:ascii="Tunga" w:hAnsi="Tunga" w:cs="Tunga"/>
        </w:rPr>
        <w:tab/>
        <w:t xml:space="preserve">                    </w:t>
      </w:r>
      <w:r w:rsidRPr="00253A59">
        <w:rPr>
          <w:rFonts w:ascii="Tunga" w:hAnsi="Tunga" w:cs="Tunga"/>
        </w:rPr>
        <w:t>2010/HK/</w:t>
      </w:r>
      <w:r>
        <w:rPr>
          <w:rFonts w:ascii="Tunga" w:hAnsi="Tunga" w:cs="Tunga"/>
        </w:rPr>
        <w:t>D.22</w:t>
      </w:r>
    </w:p>
    <w:p w:rsidR="00393B45" w:rsidRPr="00253A59" w:rsidRDefault="00393B45" w:rsidP="00393B45">
      <w:pPr>
        <w:spacing w:line="360" w:lineRule="auto"/>
        <w:jc w:val="both"/>
        <w:rPr>
          <w:rFonts w:ascii="Tunga" w:hAnsi="Tunga" w:cs="Tunga"/>
          <w:u w:val="single"/>
        </w:rPr>
      </w:pPr>
      <w:r w:rsidRPr="00253A59">
        <w:rPr>
          <w:rFonts w:ascii="Tunga" w:hAnsi="Tunga" w:cs="Tunga"/>
          <w:u w:val="single"/>
        </w:rPr>
        <w:t xml:space="preserve">AT THE </w:t>
      </w:r>
      <w:smartTag w:uri="urn:schemas-microsoft-com:office:smarttags" w:element="place">
        <w:smartTag w:uri="urn:schemas-microsoft-com:office:smarttags" w:element="City">
          <w:r w:rsidRPr="00253A59">
            <w:rPr>
              <w:rFonts w:ascii="Tunga" w:hAnsi="Tunga" w:cs="Tunga"/>
              <w:u w:val="single"/>
            </w:rPr>
            <w:t>KITWE</w:t>
          </w:r>
        </w:smartTag>
      </w:smartTag>
      <w:r w:rsidRPr="00253A59">
        <w:rPr>
          <w:rFonts w:ascii="Tunga" w:hAnsi="Tunga" w:cs="Tunga"/>
          <w:u w:val="single"/>
        </w:rPr>
        <w:t xml:space="preserve"> DISTRICT REGISTRY</w:t>
      </w:r>
    </w:p>
    <w:p w:rsidR="00393B45" w:rsidRPr="00253A59" w:rsidRDefault="00393B45" w:rsidP="00393B45">
      <w:pPr>
        <w:spacing w:line="360" w:lineRule="auto"/>
        <w:jc w:val="both"/>
        <w:rPr>
          <w:rFonts w:ascii="Tunga" w:hAnsi="Tunga" w:cs="Tunga"/>
        </w:rPr>
      </w:pPr>
      <w:r w:rsidRPr="00253A59">
        <w:rPr>
          <w:rFonts w:ascii="Tunga" w:hAnsi="Tunga" w:cs="Tunga"/>
          <w:u w:val="single"/>
        </w:rPr>
        <w:t>(</w:t>
      </w:r>
      <w:proofErr w:type="gramStart"/>
      <w:r>
        <w:rPr>
          <w:rFonts w:ascii="Tunga" w:hAnsi="Tunga" w:cs="Tunga"/>
          <w:u w:val="single"/>
        </w:rPr>
        <w:t xml:space="preserve">DIVORCE </w:t>
      </w:r>
      <w:r w:rsidRPr="00253A59">
        <w:rPr>
          <w:rFonts w:ascii="Tunga" w:hAnsi="Tunga" w:cs="Tunga"/>
          <w:u w:val="single"/>
        </w:rPr>
        <w:t xml:space="preserve"> JURISDICTION</w:t>
      </w:r>
      <w:proofErr w:type="gramEnd"/>
      <w:r w:rsidRPr="00253A59">
        <w:rPr>
          <w:rFonts w:ascii="Tunga" w:hAnsi="Tunga" w:cs="Tunga"/>
        </w:rPr>
        <w:t>)</w:t>
      </w:r>
    </w:p>
    <w:p w:rsidR="00393B45" w:rsidRDefault="00393B45" w:rsidP="00393B45">
      <w:pPr>
        <w:spacing w:line="360" w:lineRule="auto"/>
        <w:jc w:val="both"/>
        <w:rPr>
          <w:rFonts w:ascii="Tunga" w:hAnsi="Tunga" w:cs="Tunga"/>
        </w:rPr>
      </w:pPr>
    </w:p>
    <w:p w:rsidR="00393B45" w:rsidRDefault="00393B45" w:rsidP="00393B45">
      <w:pPr>
        <w:spacing w:line="360" w:lineRule="auto"/>
        <w:jc w:val="both"/>
        <w:rPr>
          <w:rFonts w:ascii="Tunga" w:hAnsi="Tunga" w:cs="Tunga"/>
        </w:rPr>
      </w:pPr>
      <w:r>
        <w:rPr>
          <w:rFonts w:ascii="Tunga" w:hAnsi="Tunga" w:cs="Tunga"/>
        </w:rPr>
        <w:t>IN THE MATTER OF:</w:t>
      </w:r>
      <w:r>
        <w:rPr>
          <w:rFonts w:ascii="Tunga" w:hAnsi="Tunga" w:cs="Tunga"/>
        </w:rPr>
        <w:tab/>
        <w:t xml:space="preserve">A SUIT FOR THE DISOLUTION OF MARRIAGE </w:t>
      </w:r>
    </w:p>
    <w:p w:rsidR="00393B45" w:rsidRDefault="00393B45" w:rsidP="00393B45">
      <w:pPr>
        <w:spacing w:line="360" w:lineRule="auto"/>
        <w:jc w:val="both"/>
        <w:rPr>
          <w:rFonts w:ascii="Tunga" w:hAnsi="Tunga" w:cs="Tunga"/>
        </w:rPr>
      </w:pPr>
      <w:r>
        <w:rPr>
          <w:rFonts w:ascii="Tunga" w:hAnsi="Tunga" w:cs="Tunga"/>
        </w:rPr>
        <w:t xml:space="preserve">AND </w:t>
      </w:r>
    </w:p>
    <w:p w:rsidR="00393B45" w:rsidRPr="00253A59" w:rsidRDefault="00393B45" w:rsidP="00393B45">
      <w:pPr>
        <w:spacing w:line="360" w:lineRule="auto"/>
        <w:jc w:val="both"/>
        <w:rPr>
          <w:rFonts w:ascii="Tunga" w:hAnsi="Tunga" w:cs="Tunga"/>
        </w:rPr>
      </w:pPr>
      <w:r>
        <w:rPr>
          <w:rFonts w:ascii="Tunga" w:hAnsi="Tunga" w:cs="Tunga"/>
        </w:rPr>
        <w:t>IN THE MATTER OF:</w:t>
      </w:r>
      <w:r>
        <w:rPr>
          <w:rFonts w:ascii="Tunga" w:hAnsi="Tunga" w:cs="Tunga"/>
        </w:rPr>
        <w:tab/>
        <w:t xml:space="preserve">THE MATRIMONIAL CAUSES ACT </w:t>
      </w:r>
      <w:r w:rsidR="00D37B57">
        <w:rPr>
          <w:rFonts w:ascii="Tunga" w:hAnsi="Tunga" w:cs="Tunga"/>
        </w:rPr>
        <w:t>1973</w:t>
      </w:r>
      <w:r>
        <w:rPr>
          <w:rFonts w:ascii="Tunga" w:hAnsi="Tunga" w:cs="Tunga"/>
        </w:rPr>
        <w:t xml:space="preserve"> </w:t>
      </w:r>
    </w:p>
    <w:p w:rsidR="00393B45" w:rsidRDefault="00393B45" w:rsidP="00393B45">
      <w:pPr>
        <w:spacing w:line="360" w:lineRule="auto"/>
        <w:jc w:val="both"/>
        <w:rPr>
          <w:rFonts w:ascii="Tunga" w:hAnsi="Tunga" w:cs="Tunga"/>
        </w:rPr>
      </w:pPr>
    </w:p>
    <w:p w:rsidR="00393B45" w:rsidRPr="00253A59" w:rsidRDefault="00393B45" w:rsidP="00393B45">
      <w:pPr>
        <w:spacing w:line="360" w:lineRule="auto"/>
        <w:jc w:val="both"/>
        <w:rPr>
          <w:rFonts w:ascii="Tunga" w:hAnsi="Tunga" w:cs="Tunga"/>
        </w:rPr>
      </w:pPr>
      <w:r w:rsidRPr="00253A59">
        <w:rPr>
          <w:rFonts w:ascii="Tunga" w:hAnsi="Tunga" w:cs="Tunga"/>
        </w:rPr>
        <w:t xml:space="preserve">BETWEEN: </w:t>
      </w:r>
    </w:p>
    <w:p w:rsidR="00D37B57" w:rsidRDefault="00393B45" w:rsidP="00D37B57">
      <w:pPr>
        <w:spacing w:line="360" w:lineRule="auto"/>
        <w:ind w:left="720" w:firstLine="720"/>
        <w:jc w:val="both"/>
        <w:rPr>
          <w:rFonts w:ascii="Tunga" w:hAnsi="Tunga" w:cs="Tunga"/>
        </w:rPr>
      </w:pPr>
      <w:r>
        <w:rPr>
          <w:rFonts w:ascii="Tunga" w:hAnsi="Tunga" w:cs="Tunga"/>
        </w:rPr>
        <w:t xml:space="preserve">SAM KAFWELU  </w:t>
      </w:r>
      <w:r>
        <w:rPr>
          <w:rFonts w:ascii="Tunga" w:hAnsi="Tunga" w:cs="Tunga"/>
        </w:rPr>
        <w:tab/>
      </w:r>
      <w:r w:rsidRPr="00253A59">
        <w:rPr>
          <w:rFonts w:ascii="Tunga" w:hAnsi="Tunga" w:cs="Tunga"/>
        </w:rPr>
        <w:t xml:space="preserve"> </w:t>
      </w:r>
      <w:r w:rsidRPr="00253A59">
        <w:rPr>
          <w:rFonts w:ascii="Tunga" w:hAnsi="Tunga" w:cs="Tunga"/>
        </w:rPr>
        <w:tab/>
      </w:r>
      <w:r w:rsidR="00D37B57">
        <w:rPr>
          <w:rFonts w:ascii="Tunga" w:hAnsi="Tunga" w:cs="Tunga"/>
        </w:rPr>
        <w:tab/>
      </w:r>
      <w:r w:rsidRPr="00253A59">
        <w:rPr>
          <w:rFonts w:ascii="Tunga" w:hAnsi="Tunga" w:cs="Tunga"/>
        </w:rPr>
        <w:t xml:space="preserve">-      </w:t>
      </w:r>
      <w:r>
        <w:rPr>
          <w:rFonts w:ascii="Tunga" w:hAnsi="Tunga" w:cs="Tunga"/>
        </w:rPr>
        <w:tab/>
      </w:r>
      <w:r w:rsidR="00D37B57">
        <w:rPr>
          <w:rFonts w:ascii="Tunga" w:hAnsi="Tunga" w:cs="Tunga"/>
        </w:rPr>
        <w:tab/>
      </w:r>
      <w:r>
        <w:rPr>
          <w:rFonts w:ascii="Tunga" w:hAnsi="Tunga" w:cs="Tunga"/>
        </w:rPr>
        <w:t xml:space="preserve">PETITIONER </w:t>
      </w:r>
    </w:p>
    <w:p w:rsidR="00393B45" w:rsidRPr="00253A59" w:rsidRDefault="00393B45" w:rsidP="00D37B57">
      <w:pPr>
        <w:spacing w:line="360" w:lineRule="auto"/>
        <w:ind w:left="720" w:firstLine="720"/>
        <w:jc w:val="both"/>
        <w:rPr>
          <w:rFonts w:ascii="Tunga" w:hAnsi="Tunga" w:cs="Tunga"/>
        </w:rPr>
      </w:pPr>
      <w:r w:rsidRPr="00253A59">
        <w:rPr>
          <w:rFonts w:ascii="Tunga" w:hAnsi="Tunga" w:cs="Tunga"/>
        </w:rPr>
        <w:t xml:space="preserve">AND  </w:t>
      </w:r>
    </w:p>
    <w:p w:rsidR="00D37B57" w:rsidRDefault="00393B45" w:rsidP="00D37B57">
      <w:pPr>
        <w:spacing w:line="360" w:lineRule="auto"/>
        <w:ind w:left="720" w:firstLine="720"/>
        <w:jc w:val="both"/>
        <w:rPr>
          <w:rFonts w:ascii="Tunga" w:hAnsi="Tunga" w:cs="Tunga"/>
        </w:rPr>
      </w:pPr>
      <w:r>
        <w:rPr>
          <w:rFonts w:ascii="Tunga" w:hAnsi="Tunga" w:cs="Tunga"/>
        </w:rPr>
        <w:t xml:space="preserve">BRENDA LIMBUWA KAFWELU </w:t>
      </w:r>
      <w:r>
        <w:rPr>
          <w:rFonts w:ascii="Tunga" w:hAnsi="Tunga" w:cs="Tunga"/>
        </w:rPr>
        <w:tab/>
        <w:t xml:space="preserve">- </w:t>
      </w:r>
      <w:r>
        <w:rPr>
          <w:rFonts w:ascii="Tunga" w:hAnsi="Tunga" w:cs="Tunga"/>
        </w:rPr>
        <w:tab/>
      </w:r>
      <w:r w:rsidR="00D37B57">
        <w:rPr>
          <w:rFonts w:ascii="Tunga" w:hAnsi="Tunga" w:cs="Tunga"/>
        </w:rPr>
        <w:tab/>
      </w:r>
      <w:r>
        <w:rPr>
          <w:rFonts w:ascii="Tunga" w:hAnsi="Tunga" w:cs="Tunga"/>
        </w:rPr>
        <w:t xml:space="preserve">RESPONDENT     </w:t>
      </w:r>
    </w:p>
    <w:p w:rsidR="00D37B57" w:rsidRDefault="00D37B57" w:rsidP="00D37B57">
      <w:pPr>
        <w:spacing w:line="360" w:lineRule="auto"/>
        <w:jc w:val="both"/>
        <w:rPr>
          <w:rFonts w:ascii="Tunga" w:hAnsi="Tunga" w:cs="Tunga"/>
        </w:rPr>
      </w:pPr>
    </w:p>
    <w:p w:rsidR="00393B45" w:rsidRDefault="00393B45" w:rsidP="00D37B57">
      <w:pPr>
        <w:spacing w:line="360" w:lineRule="auto"/>
        <w:jc w:val="both"/>
        <w:rPr>
          <w:rFonts w:ascii="Tunga" w:hAnsi="Tunga" w:cs="Tunga"/>
        </w:rPr>
      </w:pPr>
      <w:proofErr w:type="gramStart"/>
      <w:r w:rsidRPr="00253A59">
        <w:rPr>
          <w:rFonts w:ascii="Tunga" w:hAnsi="Tunga" w:cs="Tunga"/>
        </w:rPr>
        <w:t>Before the Hon. Mr. Justice I.C.T</w:t>
      </w:r>
      <w:r>
        <w:rPr>
          <w:rFonts w:ascii="Tunga" w:hAnsi="Tunga" w:cs="Tunga"/>
        </w:rPr>
        <w:t>.</w:t>
      </w:r>
      <w:r w:rsidRPr="00253A59">
        <w:rPr>
          <w:rFonts w:ascii="Tunga" w:hAnsi="Tunga" w:cs="Tunga"/>
        </w:rPr>
        <w:t xml:space="preserve"> </w:t>
      </w:r>
      <w:proofErr w:type="spellStart"/>
      <w:r w:rsidRPr="00253A59">
        <w:rPr>
          <w:rFonts w:ascii="Tunga" w:hAnsi="Tunga" w:cs="Tunga"/>
        </w:rPr>
        <w:t>Chali</w:t>
      </w:r>
      <w:proofErr w:type="spellEnd"/>
      <w:r w:rsidRPr="00253A59">
        <w:rPr>
          <w:rFonts w:ascii="Tunga" w:hAnsi="Tunga" w:cs="Tunga"/>
        </w:rPr>
        <w:t xml:space="preserve"> </w:t>
      </w:r>
      <w:r>
        <w:rPr>
          <w:rFonts w:ascii="Tunga" w:hAnsi="Tunga" w:cs="Tunga"/>
        </w:rPr>
        <w:t>in Chambers</w:t>
      </w:r>
      <w:r w:rsidRPr="00253A59">
        <w:rPr>
          <w:rFonts w:ascii="Tunga" w:hAnsi="Tunga" w:cs="Tunga"/>
        </w:rPr>
        <w:t xml:space="preserve"> on the </w:t>
      </w:r>
      <w:r w:rsidR="00D37B57">
        <w:rPr>
          <w:rFonts w:ascii="Tunga" w:hAnsi="Tunga" w:cs="Tunga"/>
          <w:b/>
        </w:rPr>
        <w:t>11</w:t>
      </w:r>
      <w:r w:rsidRPr="00253A59">
        <w:rPr>
          <w:rFonts w:ascii="Tunga" w:hAnsi="Tunga" w:cs="Tunga"/>
          <w:vertAlign w:val="superscript"/>
        </w:rPr>
        <w:t xml:space="preserve">th </w:t>
      </w:r>
      <w:r w:rsidRPr="00253A59">
        <w:rPr>
          <w:rFonts w:ascii="Tunga" w:hAnsi="Tunga" w:cs="Tunga"/>
        </w:rPr>
        <w:t xml:space="preserve">day of </w:t>
      </w:r>
      <w:r w:rsidR="00D37B57">
        <w:rPr>
          <w:rFonts w:ascii="Tunga" w:hAnsi="Tunga" w:cs="Tunga"/>
          <w:b/>
        </w:rPr>
        <w:t>January</w:t>
      </w:r>
      <w:r>
        <w:rPr>
          <w:rFonts w:ascii="Tunga" w:hAnsi="Tunga" w:cs="Tunga"/>
        </w:rPr>
        <w:t>,</w:t>
      </w:r>
      <w:r w:rsidRPr="00253A59">
        <w:rPr>
          <w:rFonts w:ascii="Tunga" w:hAnsi="Tunga" w:cs="Tunga"/>
        </w:rPr>
        <w:t xml:space="preserve"> 20</w:t>
      </w:r>
      <w:r w:rsidR="00D37B57">
        <w:rPr>
          <w:rFonts w:ascii="Tunga" w:hAnsi="Tunga" w:cs="Tunga"/>
          <w:b/>
        </w:rPr>
        <w:t>11</w:t>
      </w:r>
      <w:r w:rsidRPr="00253A59">
        <w:rPr>
          <w:rFonts w:ascii="Tunga" w:hAnsi="Tunga" w:cs="Tunga"/>
        </w:rPr>
        <w:t>.</w:t>
      </w:r>
      <w:proofErr w:type="gramEnd"/>
      <w:r w:rsidRPr="00253A59">
        <w:rPr>
          <w:rFonts w:ascii="Tunga" w:hAnsi="Tunga" w:cs="Tunga"/>
        </w:rPr>
        <w:t xml:space="preserve"> </w:t>
      </w:r>
    </w:p>
    <w:p w:rsidR="00D37B57" w:rsidRPr="00253A59" w:rsidRDefault="00D37B57" w:rsidP="00D37B57">
      <w:pPr>
        <w:spacing w:line="360" w:lineRule="auto"/>
        <w:jc w:val="both"/>
        <w:rPr>
          <w:rFonts w:ascii="Tunga" w:hAnsi="Tunga" w:cs="Tunga"/>
        </w:rPr>
      </w:pPr>
    </w:p>
    <w:p w:rsidR="00393B45" w:rsidRDefault="00393B45" w:rsidP="00393B45">
      <w:pPr>
        <w:spacing w:line="360" w:lineRule="auto"/>
        <w:jc w:val="both"/>
        <w:rPr>
          <w:rFonts w:ascii="Tunga" w:hAnsi="Tunga" w:cs="Tunga"/>
        </w:rPr>
      </w:pPr>
      <w:r w:rsidRPr="00253A59">
        <w:rPr>
          <w:rFonts w:ascii="Tunga" w:hAnsi="Tunga" w:cs="Tunga"/>
        </w:rPr>
        <w:t xml:space="preserve">For the </w:t>
      </w:r>
      <w:r>
        <w:rPr>
          <w:rFonts w:ascii="Tunga" w:hAnsi="Tunga" w:cs="Tunga"/>
        </w:rPr>
        <w:t xml:space="preserve">Petitioner:  </w:t>
      </w:r>
      <w:r w:rsidR="00D37B57">
        <w:rPr>
          <w:rFonts w:ascii="Tunga" w:hAnsi="Tunga" w:cs="Tunga"/>
        </w:rPr>
        <w:t xml:space="preserve">Mr. G. </w:t>
      </w:r>
      <w:proofErr w:type="spellStart"/>
      <w:r w:rsidR="00D37B57">
        <w:rPr>
          <w:rFonts w:ascii="Tunga" w:hAnsi="Tunga" w:cs="Tunga"/>
        </w:rPr>
        <w:t>Nyirongo</w:t>
      </w:r>
      <w:proofErr w:type="spellEnd"/>
      <w:r w:rsidR="00D37B57">
        <w:rPr>
          <w:rFonts w:ascii="Tunga" w:hAnsi="Tunga" w:cs="Tunga"/>
        </w:rPr>
        <w:t xml:space="preserve"> - </w:t>
      </w:r>
      <w:r>
        <w:rPr>
          <w:rFonts w:ascii="Tunga" w:hAnsi="Tunga" w:cs="Tunga"/>
        </w:rPr>
        <w:t xml:space="preserve">Messrs </w:t>
      </w:r>
      <w:proofErr w:type="spellStart"/>
      <w:r>
        <w:rPr>
          <w:rFonts w:ascii="Tunga" w:hAnsi="Tunga" w:cs="Tunga"/>
        </w:rPr>
        <w:t>Nyirongo</w:t>
      </w:r>
      <w:proofErr w:type="spellEnd"/>
      <w:r>
        <w:rPr>
          <w:rFonts w:ascii="Tunga" w:hAnsi="Tunga" w:cs="Tunga"/>
        </w:rPr>
        <w:t xml:space="preserve"> &amp; Company </w:t>
      </w:r>
    </w:p>
    <w:p w:rsidR="00393B45" w:rsidRPr="00253A59" w:rsidRDefault="00393B45" w:rsidP="00393B45">
      <w:pPr>
        <w:spacing w:line="360" w:lineRule="auto"/>
        <w:jc w:val="both"/>
        <w:rPr>
          <w:rFonts w:ascii="Tunga" w:hAnsi="Tunga" w:cs="Tunga"/>
        </w:rPr>
      </w:pPr>
      <w:r>
        <w:rPr>
          <w:rFonts w:ascii="Tunga" w:hAnsi="Tunga" w:cs="Tunga"/>
        </w:rPr>
        <w:t xml:space="preserve">For the Respondent: </w:t>
      </w:r>
      <w:r w:rsidR="00D37B57">
        <w:rPr>
          <w:rFonts w:ascii="Tunga" w:hAnsi="Tunga" w:cs="Tunga"/>
        </w:rPr>
        <w:t xml:space="preserve">Mr. W. Banda - </w:t>
      </w:r>
      <w:r>
        <w:rPr>
          <w:rFonts w:ascii="Tunga" w:hAnsi="Tunga" w:cs="Tunga"/>
        </w:rPr>
        <w:t xml:space="preserve">Messrs Wilson and Cornhill  </w:t>
      </w:r>
      <w:r w:rsidRPr="00253A59">
        <w:rPr>
          <w:rFonts w:ascii="Tunga" w:hAnsi="Tunga" w:cs="Tunga"/>
        </w:rPr>
        <w:t xml:space="preserve">  </w:t>
      </w:r>
    </w:p>
    <w:p w:rsidR="00393B45" w:rsidRPr="00F94388" w:rsidRDefault="00393B45" w:rsidP="00393B45">
      <w:pPr>
        <w:spacing w:line="360" w:lineRule="auto"/>
        <w:jc w:val="both"/>
        <w:rPr>
          <w:rFonts w:ascii="Tunga" w:hAnsi="Tunga" w:cs="Tunga"/>
          <w:b/>
        </w:rPr>
      </w:pPr>
      <w:r w:rsidRPr="00F94388">
        <w:rPr>
          <w:rFonts w:ascii="Tunga" w:hAnsi="Tunga" w:cs="Tunga"/>
          <w:b/>
        </w:rPr>
        <w:t>---------------------------------------------------------------------------------------------------</w:t>
      </w:r>
      <w:r>
        <w:rPr>
          <w:rFonts w:ascii="Tunga" w:hAnsi="Tunga" w:cs="Tunga"/>
          <w:b/>
        </w:rPr>
        <w:t>---------</w:t>
      </w:r>
    </w:p>
    <w:p w:rsidR="00393B45" w:rsidRPr="002A31D3" w:rsidRDefault="00393B45" w:rsidP="00393B45">
      <w:pPr>
        <w:spacing w:line="360" w:lineRule="auto"/>
        <w:jc w:val="center"/>
        <w:rPr>
          <w:rFonts w:ascii="Tunga" w:hAnsi="Tunga" w:cs="Tunga"/>
        </w:rPr>
      </w:pPr>
      <w:r>
        <w:rPr>
          <w:rFonts w:ascii="Tunga" w:hAnsi="Tunga" w:cs="Tunga"/>
        </w:rPr>
        <w:t xml:space="preserve">RULING </w:t>
      </w:r>
    </w:p>
    <w:p w:rsidR="00393B45" w:rsidRDefault="00393B45" w:rsidP="00393B45">
      <w:pPr>
        <w:spacing w:line="360" w:lineRule="auto"/>
        <w:jc w:val="both"/>
        <w:rPr>
          <w:rFonts w:ascii="Tunga" w:hAnsi="Tunga" w:cs="Tunga"/>
        </w:rPr>
      </w:pPr>
      <w:r w:rsidRPr="00F94388">
        <w:rPr>
          <w:rFonts w:ascii="Tunga" w:hAnsi="Tunga" w:cs="Tunga"/>
        </w:rPr>
        <w:t>------------------------------------------------------------------------------------------------------------</w:t>
      </w:r>
    </w:p>
    <w:p w:rsidR="00393B45" w:rsidRDefault="00393B45" w:rsidP="00393B45">
      <w:pPr>
        <w:spacing w:line="360" w:lineRule="auto"/>
        <w:jc w:val="both"/>
        <w:rPr>
          <w:rFonts w:ascii="Tunga" w:hAnsi="Tunga" w:cs="Tunga"/>
        </w:rPr>
      </w:pPr>
    </w:p>
    <w:p w:rsidR="00393B45" w:rsidRPr="00D37B57" w:rsidRDefault="00393B45" w:rsidP="00393B45">
      <w:pPr>
        <w:spacing w:line="360" w:lineRule="auto"/>
        <w:jc w:val="both"/>
        <w:rPr>
          <w:rFonts w:ascii="Tunga" w:hAnsi="Tunga" w:cs="Tunga"/>
          <w:sz w:val="22"/>
          <w:szCs w:val="22"/>
        </w:rPr>
      </w:pPr>
      <w:r w:rsidRPr="00D37B57">
        <w:rPr>
          <w:rFonts w:ascii="Tunga" w:hAnsi="Tunga" w:cs="Tunga"/>
          <w:i/>
          <w:sz w:val="22"/>
          <w:szCs w:val="22"/>
          <w:u w:val="single"/>
        </w:rPr>
        <w:t>Cases referred to</w:t>
      </w:r>
      <w:r w:rsidRPr="00D37B57">
        <w:rPr>
          <w:rFonts w:ascii="Tunga" w:hAnsi="Tunga" w:cs="Tunga"/>
          <w:sz w:val="22"/>
          <w:szCs w:val="22"/>
        </w:rPr>
        <w:t xml:space="preserve">; </w:t>
      </w:r>
    </w:p>
    <w:p w:rsidR="00393B45" w:rsidRDefault="00D37B57" w:rsidP="00393B45">
      <w:pPr>
        <w:numPr>
          <w:ilvl w:val="0"/>
          <w:numId w:val="4"/>
        </w:numPr>
        <w:spacing w:line="360" w:lineRule="auto"/>
        <w:jc w:val="both"/>
        <w:rPr>
          <w:rFonts w:ascii="Tunga" w:hAnsi="Tunga" w:cs="Tunga"/>
          <w:sz w:val="22"/>
          <w:szCs w:val="22"/>
        </w:rPr>
      </w:pPr>
      <w:proofErr w:type="spellStart"/>
      <w:r>
        <w:rPr>
          <w:rFonts w:ascii="Tunga" w:hAnsi="Tunga" w:cs="Tunga"/>
          <w:sz w:val="22"/>
          <w:szCs w:val="22"/>
        </w:rPr>
        <w:t>Lisulo</w:t>
      </w:r>
      <w:proofErr w:type="spellEnd"/>
      <w:r>
        <w:rPr>
          <w:rFonts w:ascii="Tunga" w:hAnsi="Tunga" w:cs="Tunga"/>
          <w:sz w:val="22"/>
          <w:szCs w:val="22"/>
        </w:rPr>
        <w:t xml:space="preserve"> v. </w:t>
      </w:r>
      <w:proofErr w:type="spellStart"/>
      <w:r>
        <w:rPr>
          <w:rFonts w:ascii="Tunga" w:hAnsi="Tunga" w:cs="Tunga"/>
          <w:sz w:val="22"/>
          <w:szCs w:val="22"/>
        </w:rPr>
        <w:t>Lisulo</w:t>
      </w:r>
      <w:proofErr w:type="spellEnd"/>
      <w:r>
        <w:rPr>
          <w:rFonts w:ascii="Tunga" w:hAnsi="Tunga" w:cs="Tunga"/>
          <w:sz w:val="22"/>
          <w:szCs w:val="22"/>
        </w:rPr>
        <w:t xml:space="preserve"> (1998) Z.R. 75 </w:t>
      </w:r>
    </w:p>
    <w:p w:rsidR="00D37B57" w:rsidRDefault="00D37B57" w:rsidP="00D37B57">
      <w:pPr>
        <w:spacing w:line="360" w:lineRule="auto"/>
        <w:jc w:val="both"/>
        <w:rPr>
          <w:rFonts w:ascii="Tunga" w:hAnsi="Tunga" w:cs="Tunga"/>
          <w:i/>
          <w:sz w:val="22"/>
          <w:szCs w:val="22"/>
          <w:u w:val="single"/>
        </w:rPr>
      </w:pPr>
    </w:p>
    <w:p w:rsidR="00D37B57" w:rsidRPr="00D37B57" w:rsidRDefault="00D37B57" w:rsidP="00D37B57">
      <w:pPr>
        <w:spacing w:line="360" w:lineRule="auto"/>
        <w:jc w:val="both"/>
        <w:rPr>
          <w:rFonts w:ascii="Tunga" w:hAnsi="Tunga" w:cs="Tunga"/>
          <w:sz w:val="22"/>
          <w:szCs w:val="22"/>
        </w:rPr>
      </w:pPr>
      <w:r>
        <w:rPr>
          <w:rFonts w:ascii="Tunga" w:hAnsi="Tunga" w:cs="Tunga"/>
          <w:i/>
          <w:sz w:val="22"/>
          <w:szCs w:val="22"/>
          <w:u w:val="single"/>
        </w:rPr>
        <w:t>Legislation</w:t>
      </w:r>
      <w:r w:rsidRPr="00D37B57">
        <w:rPr>
          <w:rFonts w:ascii="Tunga" w:hAnsi="Tunga" w:cs="Tunga"/>
          <w:i/>
          <w:sz w:val="22"/>
          <w:szCs w:val="22"/>
          <w:u w:val="single"/>
        </w:rPr>
        <w:t xml:space="preserve"> referred to</w:t>
      </w:r>
      <w:r w:rsidRPr="00D37B57">
        <w:rPr>
          <w:rFonts w:ascii="Tunga" w:hAnsi="Tunga" w:cs="Tunga"/>
          <w:sz w:val="22"/>
          <w:szCs w:val="22"/>
        </w:rPr>
        <w:t xml:space="preserve">; </w:t>
      </w:r>
    </w:p>
    <w:p w:rsidR="00D37B57" w:rsidRDefault="00D37B57" w:rsidP="00D37B57">
      <w:pPr>
        <w:numPr>
          <w:ilvl w:val="0"/>
          <w:numId w:val="7"/>
        </w:numPr>
        <w:spacing w:line="360" w:lineRule="auto"/>
        <w:jc w:val="both"/>
        <w:rPr>
          <w:rFonts w:ascii="Tunga" w:hAnsi="Tunga" w:cs="Tunga"/>
          <w:sz w:val="22"/>
          <w:szCs w:val="22"/>
        </w:rPr>
      </w:pPr>
      <w:r>
        <w:rPr>
          <w:rFonts w:ascii="Tunga" w:hAnsi="Tunga" w:cs="Tunga"/>
          <w:sz w:val="22"/>
          <w:szCs w:val="22"/>
        </w:rPr>
        <w:t xml:space="preserve">High Court Rules Chapter 27 of the Laws of Zambia  </w:t>
      </w:r>
    </w:p>
    <w:p w:rsidR="00D37B57" w:rsidRDefault="00D37B57" w:rsidP="00D37B57">
      <w:pPr>
        <w:spacing w:line="360" w:lineRule="auto"/>
        <w:ind w:left="1080"/>
        <w:jc w:val="both"/>
        <w:rPr>
          <w:rFonts w:ascii="Tunga" w:hAnsi="Tunga" w:cs="Tunga"/>
          <w:sz w:val="22"/>
          <w:szCs w:val="22"/>
        </w:rPr>
      </w:pPr>
    </w:p>
    <w:p w:rsidR="00D37B57" w:rsidRDefault="00D37B57" w:rsidP="00D37B57">
      <w:pPr>
        <w:spacing w:line="360" w:lineRule="auto"/>
        <w:ind w:left="1080"/>
        <w:jc w:val="both"/>
        <w:rPr>
          <w:rFonts w:ascii="Tunga" w:hAnsi="Tunga" w:cs="Tunga"/>
          <w:sz w:val="22"/>
          <w:szCs w:val="22"/>
        </w:rPr>
      </w:pPr>
    </w:p>
    <w:p w:rsidR="00D37B57" w:rsidRDefault="00D37B57" w:rsidP="00393B45">
      <w:pPr>
        <w:spacing w:line="360" w:lineRule="auto"/>
        <w:jc w:val="both"/>
        <w:rPr>
          <w:rFonts w:ascii="Arial" w:hAnsi="Arial" w:cs="Arial"/>
        </w:rPr>
      </w:pPr>
    </w:p>
    <w:p w:rsidR="00D37B57" w:rsidRPr="00D37B57" w:rsidRDefault="00D37B57" w:rsidP="00393B45">
      <w:pPr>
        <w:spacing w:line="360" w:lineRule="auto"/>
        <w:jc w:val="both"/>
        <w:rPr>
          <w:rFonts w:ascii="Arial" w:hAnsi="Arial" w:cs="Arial"/>
        </w:rPr>
      </w:pPr>
      <w:r w:rsidRPr="00D37B57">
        <w:rPr>
          <w:rFonts w:ascii="Arial" w:hAnsi="Arial" w:cs="Arial"/>
        </w:rPr>
        <w:t>On 29</w:t>
      </w:r>
      <w:r w:rsidRPr="00D37B57">
        <w:rPr>
          <w:rFonts w:ascii="Arial" w:hAnsi="Arial" w:cs="Arial"/>
          <w:vertAlign w:val="superscript"/>
        </w:rPr>
        <w:t>th</w:t>
      </w:r>
      <w:r w:rsidRPr="00D37B57">
        <w:rPr>
          <w:rFonts w:ascii="Arial" w:hAnsi="Arial" w:cs="Arial"/>
        </w:rPr>
        <w:t xml:space="preserve"> October, 2010 I delivered a ruling relating to two applications the Respondent had made, namely, for custody of the children of the family and for maintenance and property adjustment. Regarding those applications, the parties and their Advocates had relied on affidavit evidence which I fully considered together with various authorities I had referred to in arriving at that decision. </w:t>
      </w:r>
    </w:p>
    <w:p w:rsidR="00D37B57" w:rsidRDefault="00896691" w:rsidP="00393B45">
      <w:pPr>
        <w:spacing w:line="360" w:lineRule="auto"/>
        <w:jc w:val="both"/>
        <w:rPr>
          <w:rFonts w:ascii="Tunga" w:hAnsi="Tunga" w:cs="Tunga"/>
        </w:rPr>
      </w:pPr>
      <w:r>
        <w:rPr>
          <w:rFonts w:ascii="Tunga" w:hAnsi="Tunga" w:cs="Tunga"/>
        </w:rPr>
        <w:lastRenderedPageBreak/>
        <w:t xml:space="preserve">In fact the affidavits of means of both parties were only filed after I had prompted counsel to do so in the course of hearing the two applications. </w:t>
      </w:r>
    </w:p>
    <w:p w:rsidR="00896691" w:rsidRDefault="00896691" w:rsidP="00393B45">
      <w:pPr>
        <w:spacing w:line="360" w:lineRule="auto"/>
        <w:jc w:val="both"/>
        <w:rPr>
          <w:rFonts w:ascii="Tunga" w:hAnsi="Tunga" w:cs="Tunga"/>
        </w:rPr>
      </w:pPr>
    </w:p>
    <w:p w:rsidR="00896691" w:rsidRDefault="00896691" w:rsidP="00393B45">
      <w:pPr>
        <w:spacing w:line="360" w:lineRule="auto"/>
        <w:jc w:val="both"/>
        <w:rPr>
          <w:rFonts w:ascii="Tunga" w:hAnsi="Tunga" w:cs="Tunga"/>
        </w:rPr>
      </w:pPr>
      <w:r>
        <w:rPr>
          <w:rFonts w:ascii="Tunga" w:hAnsi="Tunga" w:cs="Tunga"/>
        </w:rPr>
        <w:t xml:space="preserve">The Respondent now applies for a review of my said Ruling in terms of Order 39 Rule 1 of the High Court Rules Chapter 27 of the Laws of Zambia. The application is again supported by an affidavit of the Respondent exhibiting various documents. Needless to say, the Petitioner opposes the application for review. I shall return to the contents of those affidavits and the submissions later in this Ruling. </w:t>
      </w:r>
    </w:p>
    <w:p w:rsidR="00896691" w:rsidRDefault="00896691" w:rsidP="00393B45">
      <w:pPr>
        <w:spacing w:line="360" w:lineRule="auto"/>
        <w:jc w:val="both"/>
        <w:rPr>
          <w:rFonts w:ascii="Tunga" w:hAnsi="Tunga" w:cs="Tunga"/>
        </w:rPr>
      </w:pPr>
    </w:p>
    <w:p w:rsidR="00896691" w:rsidRDefault="00896691" w:rsidP="00393B45">
      <w:pPr>
        <w:spacing w:line="360" w:lineRule="auto"/>
        <w:jc w:val="both"/>
        <w:rPr>
          <w:rFonts w:ascii="Tunga" w:hAnsi="Tunga" w:cs="Tunga"/>
        </w:rPr>
      </w:pPr>
      <w:r>
        <w:rPr>
          <w:rFonts w:ascii="Tunga" w:hAnsi="Tunga" w:cs="Tunga"/>
        </w:rPr>
        <w:t xml:space="preserve">Order 39 Rule 1 of the High Court Rules provides as follows; </w:t>
      </w:r>
    </w:p>
    <w:p w:rsidR="00896691" w:rsidRDefault="00896691" w:rsidP="00393B45">
      <w:pPr>
        <w:spacing w:line="360" w:lineRule="auto"/>
        <w:jc w:val="both"/>
        <w:rPr>
          <w:rFonts w:ascii="Tunga" w:hAnsi="Tunga" w:cs="Tunga"/>
        </w:rPr>
      </w:pPr>
    </w:p>
    <w:p w:rsidR="00896691" w:rsidRPr="00896691" w:rsidRDefault="00896691" w:rsidP="00896691">
      <w:pPr>
        <w:spacing w:line="360" w:lineRule="auto"/>
        <w:ind w:left="720"/>
        <w:jc w:val="both"/>
        <w:rPr>
          <w:rFonts w:ascii="Tunga" w:hAnsi="Tunga" w:cs="Tunga"/>
          <w:b/>
        </w:rPr>
      </w:pPr>
      <w:r w:rsidRPr="00896691">
        <w:rPr>
          <w:rFonts w:ascii="Tunga" w:hAnsi="Tunga" w:cs="Tunga"/>
          <w:b/>
        </w:rPr>
        <w:t xml:space="preserve">“39. 1 Any Judge may, upon such grounds as he shall consider sufficient, review any judgment or decision given by him…., and, upon such review, it shall be lawful for him to open and rehear the case wholly or in part, and to take fresh evidence, and to reverse, vary or confirm his previous judgment or decision.” </w:t>
      </w:r>
    </w:p>
    <w:p w:rsidR="00896691" w:rsidRDefault="00896691" w:rsidP="00393B45">
      <w:pPr>
        <w:spacing w:line="360" w:lineRule="auto"/>
        <w:jc w:val="both"/>
        <w:rPr>
          <w:rFonts w:ascii="Tunga" w:hAnsi="Tunga" w:cs="Tunga"/>
        </w:rPr>
      </w:pPr>
    </w:p>
    <w:p w:rsidR="00896691" w:rsidRDefault="00896691" w:rsidP="00393B45">
      <w:pPr>
        <w:spacing w:line="360" w:lineRule="auto"/>
        <w:jc w:val="both"/>
        <w:rPr>
          <w:rFonts w:ascii="Tunga" w:hAnsi="Tunga" w:cs="Tunga"/>
        </w:rPr>
      </w:pPr>
      <w:r>
        <w:rPr>
          <w:rFonts w:ascii="Tunga" w:hAnsi="Tunga" w:cs="Tunga"/>
        </w:rPr>
        <w:t xml:space="preserve">Mr. </w:t>
      </w:r>
      <w:proofErr w:type="spellStart"/>
      <w:r>
        <w:rPr>
          <w:rFonts w:ascii="Tunga" w:hAnsi="Tunga" w:cs="Tunga"/>
        </w:rPr>
        <w:t>Nyirongo</w:t>
      </w:r>
      <w:proofErr w:type="spellEnd"/>
      <w:r>
        <w:rPr>
          <w:rFonts w:ascii="Tunga" w:hAnsi="Tunga" w:cs="Tunga"/>
        </w:rPr>
        <w:t xml:space="preserve">, counsel for the Petitioner, has attacked the application for review for not presenting any fresh evidence which was not available or which had only been recently discovered and which could not have been reasonably available to the Respondent at the time the court heard the two applications. </w:t>
      </w:r>
    </w:p>
    <w:p w:rsidR="00896691" w:rsidRDefault="00896691" w:rsidP="00393B45">
      <w:pPr>
        <w:spacing w:line="360" w:lineRule="auto"/>
        <w:jc w:val="both"/>
        <w:rPr>
          <w:rFonts w:ascii="Tunga" w:hAnsi="Tunga" w:cs="Tunga"/>
        </w:rPr>
      </w:pPr>
    </w:p>
    <w:p w:rsidR="00896691" w:rsidRDefault="00896691" w:rsidP="00393B45">
      <w:pPr>
        <w:spacing w:line="360" w:lineRule="auto"/>
        <w:jc w:val="both"/>
        <w:rPr>
          <w:rFonts w:ascii="Tunga" w:hAnsi="Tunga" w:cs="Tunga"/>
        </w:rPr>
      </w:pPr>
      <w:r>
        <w:rPr>
          <w:rFonts w:ascii="Tunga" w:hAnsi="Tunga" w:cs="Tunga"/>
        </w:rPr>
        <w:t xml:space="preserve">In the ruling now sought to be reviewed, I had considered, among other factors; </w:t>
      </w:r>
    </w:p>
    <w:p w:rsidR="00896691" w:rsidRDefault="00896691" w:rsidP="00393B45">
      <w:pPr>
        <w:spacing w:line="360" w:lineRule="auto"/>
        <w:jc w:val="both"/>
        <w:rPr>
          <w:rFonts w:ascii="Tunga" w:hAnsi="Tunga" w:cs="Tunga"/>
        </w:rPr>
      </w:pPr>
    </w:p>
    <w:p w:rsidR="00896691" w:rsidRDefault="00896691" w:rsidP="00896691">
      <w:pPr>
        <w:spacing w:line="360" w:lineRule="auto"/>
        <w:ind w:left="720" w:hanging="720"/>
        <w:jc w:val="both"/>
        <w:rPr>
          <w:rFonts w:ascii="Tunga" w:hAnsi="Tunga" w:cs="Tunga"/>
        </w:rPr>
      </w:pPr>
      <w:r>
        <w:rPr>
          <w:rFonts w:ascii="Tunga" w:hAnsi="Tunga" w:cs="Tunga"/>
        </w:rPr>
        <w:t>(1).</w:t>
      </w:r>
      <w:r>
        <w:rPr>
          <w:rFonts w:ascii="Tunga" w:hAnsi="Tunga" w:cs="Tunga"/>
        </w:rPr>
        <w:tab/>
        <w:t>the length of the marriage having regard to the contents of the Petition and the Marriage Certificate;</w:t>
      </w:r>
    </w:p>
    <w:p w:rsidR="00896691" w:rsidRDefault="00896691" w:rsidP="00896691">
      <w:pPr>
        <w:spacing w:line="360" w:lineRule="auto"/>
        <w:ind w:left="720" w:hanging="720"/>
        <w:jc w:val="both"/>
        <w:rPr>
          <w:rFonts w:ascii="Tunga" w:hAnsi="Tunga" w:cs="Tunga"/>
        </w:rPr>
      </w:pPr>
      <w:r>
        <w:rPr>
          <w:rFonts w:ascii="Tunga" w:hAnsi="Tunga" w:cs="Tunga"/>
        </w:rPr>
        <w:t>(2).</w:t>
      </w:r>
      <w:r>
        <w:rPr>
          <w:rFonts w:ascii="Tunga" w:hAnsi="Tunga" w:cs="Tunga"/>
        </w:rPr>
        <w:tab/>
        <w:t xml:space="preserve">the uncontested grounds for the breakdown of the marriage; </w:t>
      </w:r>
    </w:p>
    <w:p w:rsidR="00896691" w:rsidRDefault="00896691" w:rsidP="00896691">
      <w:pPr>
        <w:spacing w:line="360" w:lineRule="auto"/>
        <w:ind w:left="720" w:hanging="720"/>
        <w:jc w:val="both"/>
        <w:rPr>
          <w:rFonts w:ascii="Tunga" w:hAnsi="Tunga" w:cs="Tunga"/>
        </w:rPr>
      </w:pPr>
      <w:r>
        <w:rPr>
          <w:rFonts w:ascii="Tunga" w:hAnsi="Tunga" w:cs="Tunga"/>
        </w:rPr>
        <w:t>(3).</w:t>
      </w:r>
      <w:r>
        <w:rPr>
          <w:rFonts w:ascii="Tunga" w:hAnsi="Tunga" w:cs="Tunga"/>
        </w:rPr>
        <w:tab/>
      </w:r>
      <w:r w:rsidR="002D51AA">
        <w:rPr>
          <w:rFonts w:ascii="Tunga" w:hAnsi="Tunga" w:cs="Tunga"/>
        </w:rPr>
        <w:t>t</w:t>
      </w:r>
      <w:r>
        <w:rPr>
          <w:rFonts w:ascii="Tunga" w:hAnsi="Tunga" w:cs="Tunga"/>
        </w:rPr>
        <w:t xml:space="preserve">he properties acquired by the parties and the respective dates of acquisition as disclosed in their affidavits; </w:t>
      </w:r>
    </w:p>
    <w:p w:rsidR="00896691" w:rsidRDefault="00896691" w:rsidP="00896691">
      <w:pPr>
        <w:spacing w:line="360" w:lineRule="auto"/>
        <w:ind w:left="720" w:hanging="720"/>
        <w:jc w:val="both"/>
        <w:rPr>
          <w:rFonts w:ascii="Tunga" w:hAnsi="Tunga" w:cs="Tunga"/>
        </w:rPr>
      </w:pPr>
      <w:r>
        <w:rPr>
          <w:rFonts w:ascii="Tunga" w:hAnsi="Tunga" w:cs="Tunga"/>
        </w:rPr>
        <w:t>(4).</w:t>
      </w:r>
      <w:r>
        <w:rPr>
          <w:rFonts w:ascii="Tunga" w:hAnsi="Tunga" w:cs="Tunga"/>
        </w:rPr>
        <w:tab/>
        <w:t xml:space="preserve">the </w:t>
      </w:r>
      <w:r w:rsidR="002D51AA">
        <w:rPr>
          <w:rFonts w:ascii="Tunga" w:hAnsi="Tunga" w:cs="Tunga"/>
        </w:rPr>
        <w:t xml:space="preserve">parties’ respective incomes, expenses and needs; and </w:t>
      </w:r>
    </w:p>
    <w:p w:rsidR="002D51AA" w:rsidRDefault="002D51AA" w:rsidP="00896691">
      <w:pPr>
        <w:spacing w:line="360" w:lineRule="auto"/>
        <w:ind w:left="720" w:hanging="720"/>
        <w:jc w:val="both"/>
        <w:rPr>
          <w:rFonts w:ascii="Tunga" w:hAnsi="Tunga" w:cs="Tunga"/>
        </w:rPr>
      </w:pPr>
      <w:r>
        <w:rPr>
          <w:rFonts w:ascii="Tunga" w:hAnsi="Tunga" w:cs="Tunga"/>
        </w:rPr>
        <w:t>(5).</w:t>
      </w:r>
      <w:r>
        <w:rPr>
          <w:rFonts w:ascii="Tunga" w:hAnsi="Tunga" w:cs="Tunga"/>
        </w:rPr>
        <w:tab/>
        <w:t xml:space="preserve">the present and future needs and responsibilities of the parties, particularly after the settling the question of custody of the children of the family. </w:t>
      </w:r>
    </w:p>
    <w:p w:rsidR="002D51AA" w:rsidRDefault="002D51AA" w:rsidP="00896691">
      <w:pPr>
        <w:spacing w:line="360" w:lineRule="auto"/>
        <w:ind w:left="720" w:hanging="720"/>
        <w:jc w:val="both"/>
        <w:rPr>
          <w:rFonts w:ascii="Tunga" w:hAnsi="Tunga" w:cs="Tunga"/>
        </w:rPr>
      </w:pPr>
    </w:p>
    <w:p w:rsidR="002D51AA" w:rsidRDefault="002D51AA" w:rsidP="00896691">
      <w:pPr>
        <w:spacing w:line="360" w:lineRule="auto"/>
        <w:ind w:left="720" w:hanging="720"/>
        <w:jc w:val="both"/>
        <w:rPr>
          <w:rFonts w:ascii="Tunga" w:hAnsi="Tunga" w:cs="Tunga"/>
        </w:rPr>
      </w:pPr>
    </w:p>
    <w:p w:rsidR="002D51AA" w:rsidRDefault="002D51AA" w:rsidP="002D51AA">
      <w:pPr>
        <w:tabs>
          <w:tab w:val="left" w:pos="0"/>
        </w:tabs>
        <w:spacing w:line="360" w:lineRule="auto"/>
        <w:jc w:val="both"/>
        <w:rPr>
          <w:rFonts w:ascii="Tunga" w:hAnsi="Tunga" w:cs="Tunga"/>
          <w:b/>
        </w:rPr>
      </w:pPr>
      <w:r>
        <w:rPr>
          <w:rFonts w:ascii="Tunga" w:hAnsi="Tunga" w:cs="Tunga"/>
        </w:rPr>
        <w:lastRenderedPageBreak/>
        <w:t xml:space="preserve">In her affidavit in support of the application for review, the Respondent contested virtually each and every statement of fact as found by the Court, starting from the date and length of their marriage, the dates of the property acquisition, as well as the grounds for the breakdown of the marriage. She claims, in paragraph 5 of her affidavit that these are </w:t>
      </w:r>
      <w:r>
        <w:rPr>
          <w:rFonts w:ascii="Tunga" w:hAnsi="Tunga" w:cs="Tunga"/>
          <w:b/>
        </w:rPr>
        <w:t xml:space="preserve">“facts which were not considered at the time of the ruling of the court which facts were not before the court at the time the application for property adjustment and custody of the children was being determined”. </w:t>
      </w:r>
    </w:p>
    <w:p w:rsidR="002D51AA" w:rsidRDefault="002D51AA" w:rsidP="002D51AA">
      <w:pPr>
        <w:tabs>
          <w:tab w:val="left" w:pos="0"/>
        </w:tabs>
        <w:spacing w:line="360" w:lineRule="auto"/>
        <w:jc w:val="both"/>
        <w:rPr>
          <w:rFonts w:ascii="Tunga" w:hAnsi="Tunga" w:cs="Tunga"/>
          <w:b/>
        </w:rPr>
      </w:pPr>
    </w:p>
    <w:p w:rsidR="002D51AA" w:rsidRDefault="002D51AA" w:rsidP="002D51AA">
      <w:pPr>
        <w:tabs>
          <w:tab w:val="left" w:pos="0"/>
        </w:tabs>
        <w:spacing w:line="360" w:lineRule="auto"/>
        <w:jc w:val="both"/>
        <w:rPr>
          <w:rFonts w:ascii="Tunga" w:hAnsi="Tunga" w:cs="Tunga"/>
        </w:rPr>
      </w:pPr>
      <w:r>
        <w:rPr>
          <w:rFonts w:ascii="Tunga" w:hAnsi="Tunga" w:cs="Tunga"/>
        </w:rPr>
        <w:t>That may well be the case, but it does not mean that she did not have then all the information she has disclosed now. She simply chose not to disclose it or negligently omitted to do so.</w:t>
      </w:r>
    </w:p>
    <w:p w:rsidR="002D51AA" w:rsidRDefault="002D51AA" w:rsidP="002D51AA">
      <w:pPr>
        <w:tabs>
          <w:tab w:val="left" w:pos="0"/>
        </w:tabs>
        <w:spacing w:line="360" w:lineRule="auto"/>
        <w:jc w:val="both"/>
        <w:rPr>
          <w:rFonts w:ascii="Tunga" w:hAnsi="Tunga" w:cs="Tunga"/>
        </w:rPr>
      </w:pPr>
    </w:p>
    <w:p w:rsidR="002D51AA" w:rsidRDefault="002D51AA" w:rsidP="002D51AA">
      <w:pPr>
        <w:tabs>
          <w:tab w:val="left" w:pos="0"/>
        </w:tabs>
        <w:spacing w:line="360" w:lineRule="auto"/>
        <w:jc w:val="both"/>
        <w:rPr>
          <w:rFonts w:ascii="Tunga" w:hAnsi="Tunga" w:cs="Tunga"/>
        </w:rPr>
      </w:pPr>
      <w:r>
        <w:rPr>
          <w:rFonts w:ascii="Tunga" w:hAnsi="Tunga" w:cs="Tunga"/>
        </w:rPr>
        <w:t>The Supreme Court case of LISULO v. LISULO (1998) Z.R. 75 is quite instructive on such applications. It was held</w:t>
      </w:r>
      <w:r w:rsidRPr="002D51AA">
        <w:rPr>
          <w:rFonts w:ascii="Tunga" w:hAnsi="Tunga" w:cs="Tunga"/>
          <w:i/>
        </w:rPr>
        <w:t>, inter alia</w:t>
      </w:r>
      <w:r>
        <w:rPr>
          <w:rFonts w:ascii="Tunga" w:hAnsi="Tunga" w:cs="Tunga"/>
        </w:rPr>
        <w:t xml:space="preserve">,  </w:t>
      </w:r>
    </w:p>
    <w:p w:rsidR="002D51AA" w:rsidRDefault="002D51AA" w:rsidP="002D51AA">
      <w:pPr>
        <w:tabs>
          <w:tab w:val="left" w:pos="0"/>
        </w:tabs>
        <w:spacing w:line="360" w:lineRule="auto"/>
        <w:jc w:val="both"/>
        <w:rPr>
          <w:rFonts w:ascii="Tunga" w:hAnsi="Tunga" w:cs="Tunga"/>
        </w:rPr>
      </w:pPr>
    </w:p>
    <w:p w:rsidR="00D86925" w:rsidRDefault="00D86925" w:rsidP="00D86925">
      <w:pPr>
        <w:tabs>
          <w:tab w:val="left" w:pos="0"/>
        </w:tabs>
        <w:spacing w:line="360" w:lineRule="auto"/>
        <w:ind w:left="720" w:hanging="720"/>
        <w:jc w:val="both"/>
        <w:rPr>
          <w:rFonts w:ascii="Tunga" w:hAnsi="Tunga" w:cs="Tunga"/>
          <w:b/>
        </w:rPr>
      </w:pPr>
      <w:r>
        <w:rPr>
          <w:rFonts w:ascii="Tunga" w:hAnsi="Tunga" w:cs="Tunga"/>
          <w:b/>
        </w:rPr>
        <w:t>1.</w:t>
      </w:r>
      <w:r>
        <w:rPr>
          <w:rFonts w:ascii="Tunga" w:hAnsi="Tunga" w:cs="Tunga"/>
          <w:b/>
        </w:rPr>
        <w:tab/>
      </w:r>
      <w:r w:rsidR="002D51AA">
        <w:rPr>
          <w:rFonts w:ascii="Tunga" w:hAnsi="Tunga" w:cs="Tunga"/>
          <w:b/>
        </w:rPr>
        <w:t xml:space="preserve">That the power to review under Order 39 Rule 1 is discretionary for the </w:t>
      </w:r>
      <w:r>
        <w:rPr>
          <w:rFonts w:ascii="Tunga" w:hAnsi="Tunga" w:cs="Tunga"/>
          <w:b/>
        </w:rPr>
        <w:br/>
      </w:r>
      <w:r w:rsidR="002D51AA">
        <w:rPr>
          <w:rFonts w:ascii="Tunga" w:hAnsi="Tunga" w:cs="Tunga"/>
          <w:b/>
        </w:rPr>
        <w:t>Judge and there must be sufficient grounds to exercise that</w:t>
      </w:r>
      <w:r>
        <w:rPr>
          <w:rFonts w:ascii="Tunga" w:hAnsi="Tunga" w:cs="Tunga"/>
          <w:b/>
        </w:rPr>
        <w:br/>
      </w:r>
      <w:r w:rsidR="002D51AA">
        <w:rPr>
          <w:rFonts w:ascii="Tunga" w:hAnsi="Tunga" w:cs="Tunga"/>
          <w:b/>
        </w:rPr>
        <w:t xml:space="preserve"> discretion; </w:t>
      </w:r>
    </w:p>
    <w:p w:rsidR="00D86925" w:rsidRDefault="00D86925" w:rsidP="00D86925">
      <w:pPr>
        <w:tabs>
          <w:tab w:val="left" w:pos="0"/>
        </w:tabs>
        <w:spacing w:line="360" w:lineRule="auto"/>
        <w:ind w:left="720" w:hanging="720"/>
        <w:jc w:val="both"/>
        <w:rPr>
          <w:rFonts w:ascii="Tunga" w:hAnsi="Tunga" w:cs="Tunga"/>
          <w:b/>
        </w:rPr>
      </w:pPr>
      <w:r>
        <w:rPr>
          <w:rFonts w:ascii="Tunga" w:hAnsi="Tunga" w:cs="Tunga"/>
          <w:b/>
        </w:rPr>
        <w:t>2.</w:t>
      </w:r>
      <w:r>
        <w:rPr>
          <w:rFonts w:ascii="Tunga" w:hAnsi="Tunga" w:cs="Tunga"/>
          <w:b/>
        </w:rPr>
        <w:tab/>
        <w:t xml:space="preserve">That evidence relating to the Appellant’s financial statements was </w:t>
      </w:r>
      <w:r>
        <w:rPr>
          <w:rFonts w:ascii="Tunga" w:hAnsi="Tunga" w:cs="Tunga"/>
          <w:b/>
        </w:rPr>
        <w:br/>
        <w:t xml:space="preserve">available throughout the hearing. Therefore, it cannot be said to be </w:t>
      </w:r>
      <w:r>
        <w:rPr>
          <w:rFonts w:ascii="Tunga" w:hAnsi="Tunga" w:cs="Tunga"/>
          <w:b/>
        </w:rPr>
        <w:br/>
        <w:t xml:space="preserve">fresh evidence for the purposes of review under Order 39 Rule 1 of the High Court Rules; </w:t>
      </w:r>
    </w:p>
    <w:p w:rsidR="00D86925" w:rsidRDefault="00D86925" w:rsidP="00D86925">
      <w:pPr>
        <w:tabs>
          <w:tab w:val="left" w:pos="0"/>
        </w:tabs>
        <w:spacing w:line="360" w:lineRule="auto"/>
        <w:ind w:left="720" w:hanging="720"/>
        <w:jc w:val="both"/>
        <w:rPr>
          <w:rFonts w:ascii="Tunga" w:hAnsi="Tunga" w:cs="Tunga"/>
          <w:b/>
        </w:rPr>
      </w:pPr>
      <w:r>
        <w:rPr>
          <w:rFonts w:ascii="Tunga" w:hAnsi="Tunga" w:cs="Tunga"/>
          <w:b/>
        </w:rPr>
        <w:t>3.</w:t>
      </w:r>
      <w:r>
        <w:rPr>
          <w:rFonts w:ascii="Tunga" w:hAnsi="Tunga" w:cs="Tunga"/>
          <w:b/>
        </w:rPr>
        <w:tab/>
        <w:t xml:space="preserve">Order 39 Rule 1 the High Court Rules is not designed for parties to </w:t>
      </w:r>
      <w:r>
        <w:rPr>
          <w:rFonts w:ascii="Tunga" w:hAnsi="Tunga" w:cs="Tunga"/>
          <w:b/>
        </w:rPr>
        <w:br/>
        <w:t xml:space="preserve">have a second bite. Litigation must come to an end and successful </w:t>
      </w:r>
      <w:r>
        <w:rPr>
          <w:rFonts w:ascii="Tunga" w:hAnsi="Tunga" w:cs="Tunga"/>
          <w:b/>
        </w:rPr>
        <w:br/>
        <w:t xml:space="preserve">parties must enjoy the fruits of their judgment. </w:t>
      </w:r>
    </w:p>
    <w:p w:rsidR="002D51AA" w:rsidRPr="002D51AA" w:rsidRDefault="002D51AA" w:rsidP="002D51AA">
      <w:pPr>
        <w:tabs>
          <w:tab w:val="left" w:pos="0"/>
        </w:tabs>
        <w:spacing w:line="360" w:lineRule="auto"/>
        <w:jc w:val="both"/>
        <w:rPr>
          <w:rFonts w:ascii="Tunga" w:hAnsi="Tunga" w:cs="Tunga"/>
          <w:b/>
        </w:rPr>
      </w:pPr>
    </w:p>
    <w:p w:rsidR="00D86925" w:rsidRDefault="00D86925" w:rsidP="002D51AA">
      <w:pPr>
        <w:spacing w:line="360" w:lineRule="auto"/>
        <w:jc w:val="both"/>
        <w:rPr>
          <w:rFonts w:ascii="Tunga" w:hAnsi="Tunga" w:cs="Tunga"/>
        </w:rPr>
      </w:pPr>
      <w:r>
        <w:rPr>
          <w:rFonts w:ascii="Tunga" w:hAnsi="Tunga" w:cs="Tunga"/>
        </w:rPr>
        <w:t xml:space="preserve">Looking at the reasons for asking for review, it cannot be said that the new evidence only came to light later and that no proper and reasonable diligence and could earlier have secured it. </w:t>
      </w:r>
    </w:p>
    <w:p w:rsidR="00D86925" w:rsidRDefault="00D86925" w:rsidP="002D51AA">
      <w:pPr>
        <w:spacing w:line="360" w:lineRule="auto"/>
        <w:jc w:val="both"/>
        <w:rPr>
          <w:rFonts w:ascii="Tunga" w:hAnsi="Tunga" w:cs="Tunga"/>
        </w:rPr>
      </w:pPr>
    </w:p>
    <w:p w:rsidR="00D86925" w:rsidRDefault="00D86925" w:rsidP="002D51AA">
      <w:pPr>
        <w:spacing w:line="360" w:lineRule="auto"/>
        <w:jc w:val="both"/>
        <w:rPr>
          <w:rFonts w:ascii="Tunga" w:hAnsi="Tunga" w:cs="Tunga"/>
        </w:rPr>
      </w:pPr>
    </w:p>
    <w:p w:rsidR="00D86925" w:rsidRDefault="00D86925" w:rsidP="002D51AA">
      <w:pPr>
        <w:spacing w:line="360" w:lineRule="auto"/>
        <w:jc w:val="both"/>
        <w:rPr>
          <w:rFonts w:ascii="Tunga" w:hAnsi="Tunga" w:cs="Tunga"/>
        </w:rPr>
      </w:pPr>
    </w:p>
    <w:p w:rsidR="00D86925" w:rsidRDefault="00D86925" w:rsidP="002D51AA">
      <w:pPr>
        <w:spacing w:line="360" w:lineRule="auto"/>
        <w:jc w:val="both"/>
        <w:rPr>
          <w:rFonts w:ascii="Tunga" w:hAnsi="Tunga" w:cs="Tunga"/>
        </w:rPr>
      </w:pPr>
    </w:p>
    <w:p w:rsidR="00D86925" w:rsidRDefault="00D86925" w:rsidP="002D51AA">
      <w:pPr>
        <w:spacing w:line="360" w:lineRule="auto"/>
        <w:jc w:val="both"/>
        <w:rPr>
          <w:rFonts w:ascii="Tunga" w:hAnsi="Tunga" w:cs="Tunga"/>
        </w:rPr>
      </w:pPr>
    </w:p>
    <w:p w:rsidR="00393B45" w:rsidRPr="00FA4B2F" w:rsidRDefault="00D86925" w:rsidP="00393B45">
      <w:pPr>
        <w:spacing w:line="360" w:lineRule="auto"/>
        <w:jc w:val="both"/>
        <w:rPr>
          <w:rFonts w:ascii="Tunga" w:hAnsi="Tunga" w:cs="Tunga"/>
        </w:rPr>
      </w:pPr>
      <w:r>
        <w:rPr>
          <w:rFonts w:ascii="Tunga" w:hAnsi="Tunga" w:cs="Tunga"/>
        </w:rPr>
        <w:lastRenderedPageBreak/>
        <w:t xml:space="preserve">I find no merit in the application and I accordingly dismiss it with costs to the Petitioner. </w:t>
      </w:r>
    </w:p>
    <w:p w:rsidR="00393B45" w:rsidRDefault="00393B45" w:rsidP="00393B45">
      <w:pPr>
        <w:spacing w:line="360" w:lineRule="auto"/>
        <w:jc w:val="both"/>
        <w:rPr>
          <w:rFonts w:ascii="Tunga" w:hAnsi="Tunga" w:cs="Tunga"/>
        </w:rPr>
      </w:pPr>
      <w:r>
        <w:rPr>
          <w:rFonts w:ascii="Tunga" w:hAnsi="Tunga" w:cs="Tunga"/>
        </w:rPr>
        <w:t xml:space="preserve">  </w:t>
      </w:r>
    </w:p>
    <w:p w:rsidR="00393B45" w:rsidRDefault="00393B45" w:rsidP="00393B45">
      <w:pPr>
        <w:spacing w:line="360" w:lineRule="auto"/>
        <w:jc w:val="both"/>
        <w:rPr>
          <w:rFonts w:ascii="Tunga" w:hAnsi="Tunga" w:cs="Tunga"/>
        </w:rPr>
      </w:pPr>
    </w:p>
    <w:p w:rsidR="00393B45" w:rsidRDefault="00393B45" w:rsidP="00834EBC">
      <w:pPr>
        <w:spacing w:line="360" w:lineRule="auto"/>
        <w:rPr>
          <w:rFonts w:ascii="Tunga" w:hAnsi="Tunga" w:cs="Tunga"/>
          <w:b/>
        </w:rPr>
      </w:pPr>
      <w:r>
        <w:rPr>
          <w:rFonts w:ascii="Tunga" w:hAnsi="Tunga" w:cs="Tunga"/>
        </w:rPr>
        <w:t xml:space="preserve">     </w:t>
      </w:r>
      <w:r w:rsidRPr="00F94388">
        <w:rPr>
          <w:rFonts w:ascii="Tunga" w:hAnsi="Tunga" w:cs="Tunga"/>
        </w:rPr>
        <w:t xml:space="preserve"> Delivered at Kitwe in Chambers this</w:t>
      </w:r>
      <w:r w:rsidR="00D86925">
        <w:rPr>
          <w:rFonts w:ascii="Tunga" w:hAnsi="Tunga" w:cs="Tunga"/>
        </w:rPr>
        <w:t xml:space="preserve"> </w:t>
      </w:r>
      <w:r w:rsidR="00D86925" w:rsidRPr="00D86925">
        <w:rPr>
          <w:rFonts w:ascii="Tunga" w:hAnsi="Tunga" w:cs="Tunga"/>
          <w:b/>
        </w:rPr>
        <w:t>11</w:t>
      </w:r>
      <w:r w:rsidR="00D86925" w:rsidRPr="00D86925">
        <w:rPr>
          <w:rFonts w:ascii="Tunga" w:hAnsi="Tunga" w:cs="Tunga"/>
          <w:b/>
          <w:vertAlign w:val="superscript"/>
        </w:rPr>
        <w:t>t</w:t>
      </w:r>
      <w:r w:rsidR="00D86925" w:rsidRPr="00D86925">
        <w:rPr>
          <w:rFonts w:ascii="Tunga" w:hAnsi="Tunga" w:cs="Tunga"/>
          <w:vertAlign w:val="superscript"/>
        </w:rPr>
        <w:t>h</w:t>
      </w:r>
      <w:r w:rsidR="00D86925">
        <w:rPr>
          <w:rFonts w:ascii="Tunga" w:hAnsi="Tunga" w:cs="Tunga"/>
        </w:rPr>
        <w:t xml:space="preserve"> </w:t>
      </w:r>
      <w:r w:rsidRPr="00F94388">
        <w:rPr>
          <w:rFonts w:ascii="Tunga" w:hAnsi="Tunga" w:cs="Tunga"/>
        </w:rPr>
        <w:t xml:space="preserve">day of </w:t>
      </w:r>
      <w:r w:rsidR="00D86925">
        <w:rPr>
          <w:rFonts w:ascii="Tunga" w:hAnsi="Tunga" w:cs="Tunga"/>
        </w:rPr>
        <w:t>January,</w:t>
      </w:r>
      <w:r w:rsidRPr="00F94388">
        <w:rPr>
          <w:rFonts w:ascii="Tunga" w:hAnsi="Tunga" w:cs="Tunga"/>
        </w:rPr>
        <w:t xml:space="preserve"> </w:t>
      </w:r>
      <w:r w:rsidR="00D86925" w:rsidRPr="00834EBC">
        <w:rPr>
          <w:rFonts w:ascii="Tunga" w:hAnsi="Tunga" w:cs="Tunga"/>
          <w:b/>
        </w:rPr>
        <w:t>2011</w:t>
      </w:r>
    </w:p>
    <w:p w:rsidR="00834EBC" w:rsidRPr="00834EBC" w:rsidRDefault="00834EBC" w:rsidP="00834EBC">
      <w:pPr>
        <w:spacing w:line="360" w:lineRule="auto"/>
        <w:rPr>
          <w:rFonts w:ascii="Tunga" w:hAnsi="Tunga" w:cs="Tunga"/>
          <w:b/>
        </w:rPr>
      </w:pPr>
    </w:p>
    <w:p w:rsidR="00393B45" w:rsidRPr="00F94388" w:rsidRDefault="00393B45" w:rsidP="00393B45">
      <w:pPr>
        <w:spacing w:line="360" w:lineRule="auto"/>
        <w:ind w:firstLine="720"/>
        <w:rPr>
          <w:rFonts w:ascii="Tunga" w:hAnsi="Tunga" w:cs="Tunga"/>
        </w:rPr>
      </w:pPr>
    </w:p>
    <w:p w:rsidR="00393B45" w:rsidRPr="00F94388" w:rsidRDefault="00393B45" w:rsidP="00834EBC">
      <w:pPr>
        <w:ind w:firstLine="720"/>
        <w:jc w:val="center"/>
        <w:rPr>
          <w:rFonts w:ascii="Tunga" w:hAnsi="Tunga" w:cs="Tunga"/>
          <w:b/>
        </w:rPr>
      </w:pPr>
      <w:r w:rsidRPr="00F94388">
        <w:rPr>
          <w:rFonts w:ascii="Tunga" w:hAnsi="Tunga" w:cs="Tunga"/>
          <w:b/>
        </w:rPr>
        <w:t>----------------------------</w:t>
      </w:r>
    </w:p>
    <w:p w:rsidR="00393B45" w:rsidRPr="00F94388" w:rsidRDefault="00393B45" w:rsidP="00834EBC">
      <w:pPr>
        <w:ind w:firstLine="720"/>
        <w:jc w:val="center"/>
        <w:rPr>
          <w:rFonts w:ascii="Tunga" w:hAnsi="Tunga" w:cs="Tunga"/>
          <w:b/>
        </w:rPr>
      </w:pPr>
      <w:r w:rsidRPr="00F94388">
        <w:rPr>
          <w:rFonts w:ascii="Tunga" w:hAnsi="Tunga" w:cs="Tunga"/>
          <w:b/>
        </w:rPr>
        <w:t>I.C.T</w:t>
      </w:r>
      <w:r>
        <w:rPr>
          <w:rFonts w:ascii="Tunga" w:hAnsi="Tunga" w:cs="Tunga"/>
          <w:b/>
        </w:rPr>
        <w:t>.</w:t>
      </w:r>
      <w:r w:rsidRPr="00F94388">
        <w:rPr>
          <w:rFonts w:ascii="Tunga" w:hAnsi="Tunga" w:cs="Tunga"/>
          <w:b/>
        </w:rPr>
        <w:t xml:space="preserve"> </w:t>
      </w:r>
      <w:proofErr w:type="spellStart"/>
      <w:r w:rsidRPr="00F94388">
        <w:rPr>
          <w:rFonts w:ascii="Tunga" w:hAnsi="Tunga" w:cs="Tunga"/>
          <w:b/>
        </w:rPr>
        <w:t>Chali</w:t>
      </w:r>
      <w:proofErr w:type="spellEnd"/>
    </w:p>
    <w:p w:rsidR="00393B45" w:rsidRPr="00F94388" w:rsidRDefault="00393B45" w:rsidP="00834EBC">
      <w:pPr>
        <w:ind w:firstLine="720"/>
        <w:jc w:val="center"/>
        <w:rPr>
          <w:rFonts w:ascii="Tunga" w:hAnsi="Tunga" w:cs="Tunga"/>
          <w:b/>
        </w:rPr>
      </w:pPr>
      <w:r w:rsidRPr="00F94388">
        <w:rPr>
          <w:rFonts w:ascii="Tunga" w:hAnsi="Tunga" w:cs="Tunga"/>
          <w:b/>
        </w:rPr>
        <w:t>JUDGE</w:t>
      </w:r>
    </w:p>
    <w:p w:rsidR="00393B45" w:rsidRPr="00F94388" w:rsidRDefault="00393B45" w:rsidP="00834EBC">
      <w:pPr>
        <w:jc w:val="center"/>
        <w:rPr>
          <w:rFonts w:ascii="Tunga" w:hAnsi="Tunga" w:cs="Tunga"/>
        </w:rPr>
      </w:pPr>
    </w:p>
    <w:p w:rsidR="00194802" w:rsidRDefault="00393B45" w:rsidP="00393B45">
      <w:r w:rsidRPr="00F94388">
        <w:rPr>
          <w:rFonts w:ascii="Tunga" w:hAnsi="Tunga" w:cs="Tunga"/>
        </w:rPr>
        <w:br w:type="page"/>
      </w:r>
    </w:p>
    <w:sectPr w:rsidR="00194802" w:rsidSect="00E2518B">
      <w:headerReference w:type="default" r:id="rId7"/>
      <w:pgSz w:w="11907" w:h="16839" w:code="9"/>
      <w:pgMar w:top="1440" w:right="837"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803" w:rsidRDefault="007D6803" w:rsidP="00896691">
      <w:r>
        <w:separator/>
      </w:r>
    </w:p>
  </w:endnote>
  <w:endnote w:type="continuationSeparator" w:id="1">
    <w:p w:rsidR="007D6803" w:rsidRDefault="007D6803" w:rsidP="00896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803" w:rsidRDefault="007D6803" w:rsidP="00896691">
      <w:r>
        <w:separator/>
      </w:r>
    </w:p>
  </w:footnote>
  <w:footnote w:type="continuationSeparator" w:id="1">
    <w:p w:rsidR="007D6803" w:rsidRDefault="007D6803" w:rsidP="00896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91" w:rsidRDefault="00896691">
    <w:pPr>
      <w:pStyle w:val="Header"/>
      <w:jc w:val="center"/>
    </w:pPr>
    <w:r>
      <w:t>R</w:t>
    </w:r>
    <w:fldSimple w:instr=" PAGE   \* MERGEFORMAT ">
      <w:r w:rsidR="000C040A">
        <w:rPr>
          <w:noProof/>
        </w:rPr>
        <w:t>5</w:t>
      </w:r>
    </w:fldSimple>
  </w:p>
  <w:p w:rsidR="00896691" w:rsidRDefault="00896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FED"/>
    <w:multiLevelType w:val="hybridMultilevel"/>
    <w:tmpl w:val="A3C0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30930"/>
    <w:multiLevelType w:val="hybridMultilevel"/>
    <w:tmpl w:val="0EAC2C16"/>
    <w:lvl w:ilvl="0" w:tplc="17B27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06CDD"/>
    <w:multiLevelType w:val="hybridMultilevel"/>
    <w:tmpl w:val="B3BE0742"/>
    <w:lvl w:ilvl="0" w:tplc="6CB82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4075D"/>
    <w:multiLevelType w:val="hybridMultilevel"/>
    <w:tmpl w:val="427604EE"/>
    <w:lvl w:ilvl="0" w:tplc="6FBCDE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47040"/>
    <w:multiLevelType w:val="hybridMultilevel"/>
    <w:tmpl w:val="427604EE"/>
    <w:lvl w:ilvl="0" w:tplc="6FBCDE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8806C5"/>
    <w:multiLevelType w:val="hybridMultilevel"/>
    <w:tmpl w:val="5960316C"/>
    <w:lvl w:ilvl="0" w:tplc="FD6829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11559"/>
    <w:multiLevelType w:val="hybridMultilevel"/>
    <w:tmpl w:val="34EA648C"/>
    <w:lvl w:ilvl="0" w:tplc="1CF2B1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E25001"/>
    <w:multiLevelType w:val="hybridMultilevel"/>
    <w:tmpl w:val="BD4CAE98"/>
    <w:lvl w:ilvl="0" w:tplc="AB488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3B45"/>
    <w:rsid w:val="00071BDB"/>
    <w:rsid w:val="000C040A"/>
    <w:rsid w:val="00194802"/>
    <w:rsid w:val="001B4078"/>
    <w:rsid w:val="001D177F"/>
    <w:rsid w:val="002D51AA"/>
    <w:rsid w:val="002E7B52"/>
    <w:rsid w:val="00393B45"/>
    <w:rsid w:val="007151F1"/>
    <w:rsid w:val="007A512E"/>
    <w:rsid w:val="007D6803"/>
    <w:rsid w:val="00834EBC"/>
    <w:rsid w:val="00896691"/>
    <w:rsid w:val="00C22757"/>
    <w:rsid w:val="00D37B57"/>
    <w:rsid w:val="00D86925"/>
    <w:rsid w:val="00E251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691"/>
    <w:pPr>
      <w:tabs>
        <w:tab w:val="center" w:pos="4680"/>
        <w:tab w:val="right" w:pos="9360"/>
      </w:tabs>
    </w:pPr>
  </w:style>
  <w:style w:type="character" w:customStyle="1" w:styleId="HeaderChar">
    <w:name w:val="Header Char"/>
    <w:basedOn w:val="DefaultParagraphFont"/>
    <w:link w:val="Header"/>
    <w:uiPriority w:val="99"/>
    <w:rsid w:val="00896691"/>
    <w:rPr>
      <w:rFonts w:ascii="Times New Roman" w:eastAsia="Times New Roman" w:hAnsi="Times New Roman"/>
      <w:sz w:val="24"/>
      <w:szCs w:val="24"/>
    </w:rPr>
  </w:style>
  <w:style w:type="paragraph" w:styleId="Footer">
    <w:name w:val="footer"/>
    <w:basedOn w:val="Normal"/>
    <w:link w:val="FooterChar"/>
    <w:uiPriority w:val="99"/>
    <w:semiHidden/>
    <w:unhideWhenUsed/>
    <w:rsid w:val="00896691"/>
    <w:pPr>
      <w:tabs>
        <w:tab w:val="center" w:pos="4680"/>
        <w:tab w:val="right" w:pos="9360"/>
      </w:tabs>
    </w:pPr>
  </w:style>
  <w:style w:type="character" w:customStyle="1" w:styleId="FooterChar">
    <w:name w:val="Footer Char"/>
    <w:basedOn w:val="DefaultParagraphFont"/>
    <w:link w:val="Footer"/>
    <w:uiPriority w:val="99"/>
    <w:semiHidden/>
    <w:rsid w:val="0089669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2011-11-28T11:49:00Z</dcterms:created>
  <dcterms:modified xsi:type="dcterms:W3CDTF">2011-11-28T11:49:00Z</dcterms:modified>
</cp:coreProperties>
</file>