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24" w:rsidRDefault="00695524" w:rsidP="00C2759A">
      <w:pPr>
        <w:spacing w:after="0" w:line="240" w:lineRule="auto"/>
        <w:jc w:val="both"/>
        <w:rPr>
          <w:rFonts w:ascii="Bookman Old Style" w:hAnsi="Bookman Old Style"/>
          <w:sz w:val="28"/>
          <w:szCs w:val="28"/>
        </w:rPr>
      </w:pPr>
      <w:r>
        <w:rPr>
          <w:rFonts w:ascii="Bookman Old Style" w:hAnsi="Bookman Old Style"/>
          <w:b/>
          <w:sz w:val="28"/>
          <w:szCs w:val="28"/>
          <w:u w:val="single"/>
        </w:rPr>
        <w:t>IN THE HIGH COURT FOR ZAMBIA</w:t>
      </w:r>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cs="Tahoma"/>
          <w:b/>
          <w:sz w:val="28"/>
          <w:szCs w:val="28"/>
        </w:rPr>
        <w:t>2012/HP/0</w:t>
      </w:r>
      <w:r w:rsidR="00AB4EE5">
        <w:rPr>
          <w:rFonts w:ascii="Bookman Old Style" w:hAnsi="Bookman Old Style" w:cs="Tahoma"/>
          <w:b/>
          <w:sz w:val="28"/>
          <w:szCs w:val="28"/>
        </w:rPr>
        <w:t>379</w:t>
      </w:r>
      <w:r>
        <w:rPr>
          <w:rFonts w:ascii="Bookman Old Style" w:hAnsi="Bookman Old Style"/>
          <w:sz w:val="28"/>
          <w:szCs w:val="28"/>
        </w:rPr>
        <w:t xml:space="preserve">           </w:t>
      </w:r>
    </w:p>
    <w:p w:rsidR="00695524" w:rsidRDefault="00695524" w:rsidP="00695524">
      <w:pPr>
        <w:spacing w:after="0" w:line="240" w:lineRule="auto"/>
        <w:rPr>
          <w:rFonts w:ascii="Bookman Old Style" w:hAnsi="Bookman Old Style"/>
          <w:b/>
          <w:sz w:val="28"/>
          <w:szCs w:val="28"/>
          <w:u w:val="single"/>
        </w:rPr>
      </w:pPr>
      <w:r>
        <w:rPr>
          <w:rFonts w:ascii="Bookman Old Style" w:hAnsi="Bookman Old Style"/>
          <w:b/>
          <w:sz w:val="28"/>
          <w:szCs w:val="28"/>
          <w:u w:val="single"/>
        </w:rPr>
        <w:t>AT THE PRINCIPAL REGISTRY</w:t>
      </w:r>
    </w:p>
    <w:p w:rsidR="00695524" w:rsidRDefault="00695524" w:rsidP="00695524">
      <w:pPr>
        <w:spacing w:after="0" w:line="240" w:lineRule="auto"/>
        <w:rPr>
          <w:rFonts w:ascii="Bookman Old Style" w:hAnsi="Bookman Old Style"/>
          <w:sz w:val="28"/>
          <w:szCs w:val="28"/>
        </w:rPr>
      </w:pPr>
      <w:r>
        <w:rPr>
          <w:rFonts w:ascii="Bookman Old Style" w:hAnsi="Bookman Old Style"/>
          <w:b/>
          <w:sz w:val="28"/>
          <w:szCs w:val="28"/>
          <w:u w:val="single"/>
        </w:rPr>
        <w:t>HOLDEN AT LUSAKA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695524" w:rsidRDefault="00695524" w:rsidP="00695524">
      <w:pPr>
        <w:spacing w:after="0" w:line="240" w:lineRule="auto"/>
        <w:rPr>
          <w:rFonts w:ascii="Bookman Old Style" w:hAnsi="Bookman Old Style"/>
          <w:i/>
          <w:sz w:val="28"/>
          <w:szCs w:val="28"/>
        </w:rPr>
      </w:pPr>
      <w:r>
        <w:rPr>
          <w:rFonts w:ascii="Bookman Old Style" w:hAnsi="Bookman Old Style"/>
          <w:i/>
          <w:sz w:val="28"/>
          <w:szCs w:val="28"/>
        </w:rPr>
        <w:t>(</w:t>
      </w:r>
      <w:r>
        <w:rPr>
          <w:rFonts w:ascii="Bookman Old Style" w:hAnsi="Bookman Old Style"/>
          <w:i/>
        </w:rPr>
        <w:t>Civil Jurisdiction</w:t>
      </w:r>
      <w:r>
        <w:rPr>
          <w:rFonts w:ascii="Bookman Old Style" w:hAnsi="Bookman Old Style"/>
          <w:i/>
          <w:sz w:val="28"/>
          <w:szCs w:val="28"/>
        </w:rPr>
        <w:t xml:space="preserve">) </w:t>
      </w:r>
    </w:p>
    <w:p w:rsidR="00695524" w:rsidRDefault="00695524" w:rsidP="00695524">
      <w:pPr>
        <w:spacing w:after="0" w:line="240" w:lineRule="auto"/>
        <w:rPr>
          <w:rFonts w:ascii="Bookman Old Style" w:hAnsi="Bookman Old Style"/>
          <w:i/>
          <w:sz w:val="28"/>
          <w:szCs w:val="28"/>
        </w:rPr>
      </w:pPr>
    </w:p>
    <w:p w:rsidR="00695524" w:rsidRDefault="00695524" w:rsidP="00695524">
      <w:pPr>
        <w:pStyle w:val="NoSpacing"/>
        <w:ind w:left="0" w:firstLine="0"/>
        <w:rPr>
          <w:rFonts w:ascii="Bookman Old Style" w:hAnsi="Bookman Old Style" w:cs="Tahoma"/>
          <w:b/>
          <w:sz w:val="28"/>
          <w:szCs w:val="28"/>
        </w:rPr>
      </w:pPr>
    </w:p>
    <w:p w:rsidR="00695524" w:rsidRDefault="00695524" w:rsidP="00695524">
      <w:pPr>
        <w:pStyle w:val="NoSpacing"/>
        <w:ind w:left="0" w:firstLine="0"/>
        <w:rPr>
          <w:rFonts w:ascii="Bookman Old Style" w:hAnsi="Bookman Old Style" w:cs="Tahoma"/>
          <w:b/>
          <w:sz w:val="28"/>
          <w:szCs w:val="28"/>
        </w:rPr>
      </w:pPr>
      <w:r>
        <w:rPr>
          <w:rFonts w:ascii="Bookman Old Style" w:hAnsi="Bookman Old Style" w:cs="Tahoma"/>
          <w:b/>
          <w:sz w:val="28"/>
          <w:szCs w:val="28"/>
        </w:rPr>
        <w:t>BETWEEN:</w:t>
      </w:r>
    </w:p>
    <w:p w:rsidR="00695524" w:rsidRDefault="00695524" w:rsidP="00695524">
      <w:pPr>
        <w:pStyle w:val="NoSpacing"/>
        <w:ind w:left="0" w:firstLine="0"/>
        <w:jc w:val="center"/>
        <w:rPr>
          <w:rFonts w:ascii="Bookman Old Style" w:hAnsi="Bookman Old Style" w:cs="Tahoma"/>
          <w:b/>
          <w:sz w:val="28"/>
          <w:szCs w:val="28"/>
        </w:rPr>
      </w:pPr>
    </w:p>
    <w:p w:rsidR="00AB4EE5" w:rsidRDefault="00AB4EE5" w:rsidP="00695524">
      <w:pPr>
        <w:pStyle w:val="NoSpacing"/>
        <w:ind w:left="0" w:firstLine="720"/>
        <w:jc w:val="left"/>
        <w:rPr>
          <w:rFonts w:ascii="Bookman Old Style" w:hAnsi="Bookman Old Style" w:cs="Tahoma"/>
          <w:i/>
          <w:sz w:val="24"/>
          <w:szCs w:val="24"/>
        </w:rPr>
      </w:pPr>
      <w:r>
        <w:rPr>
          <w:rFonts w:ascii="Bookman Old Style" w:hAnsi="Bookman Old Style" w:cs="Tahoma"/>
          <w:i/>
          <w:sz w:val="24"/>
          <w:szCs w:val="24"/>
        </w:rPr>
        <w:t>JONES SIASAMBA AND 16 OTHERS</w:t>
      </w:r>
      <w:r w:rsidRPr="00AB4EE5">
        <w:rPr>
          <w:rFonts w:ascii="Bookman Old Style" w:hAnsi="Bookman Old Style" w:cs="Tahoma"/>
          <w:i/>
          <w:sz w:val="24"/>
          <w:szCs w:val="24"/>
        </w:rPr>
        <w:t xml:space="preserve"> </w:t>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t xml:space="preserve">       APPLICANTS</w:t>
      </w:r>
      <w:r>
        <w:rPr>
          <w:rFonts w:ascii="Bookman Old Style" w:hAnsi="Bookman Old Style" w:cs="Tahoma"/>
          <w:i/>
          <w:sz w:val="24"/>
          <w:szCs w:val="24"/>
        </w:rPr>
        <w:tab/>
      </w:r>
    </w:p>
    <w:p w:rsidR="00AB4EE5" w:rsidRDefault="00AB4EE5" w:rsidP="00695524">
      <w:pPr>
        <w:pStyle w:val="NoSpacing"/>
        <w:ind w:left="0" w:firstLine="720"/>
        <w:jc w:val="left"/>
        <w:rPr>
          <w:rFonts w:ascii="Bookman Old Style" w:hAnsi="Bookman Old Style" w:cs="Tahoma"/>
          <w:i/>
          <w:sz w:val="24"/>
          <w:szCs w:val="24"/>
        </w:rPr>
      </w:pPr>
      <w:r>
        <w:rPr>
          <w:rFonts w:ascii="Bookman Old Style" w:hAnsi="Bookman Old Style" w:cs="Tahoma"/>
          <w:i/>
          <w:sz w:val="24"/>
          <w:szCs w:val="24"/>
        </w:rPr>
        <w:t>(</w:t>
      </w:r>
      <w:proofErr w:type="gramStart"/>
      <w:r w:rsidR="00324E16">
        <w:rPr>
          <w:rFonts w:ascii="Bookman Old Style" w:hAnsi="Bookman Old Style" w:cs="Tahoma"/>
          <w:i/>
          <w:sz w:val="24"/>
          <w:szCs w:val="24"/>
        </w:rPr>
        <w:t>stated</w:t>
      </w:r>
      <w:proofErr w:type="gramEnd"/>
      <w:r>
        <w:rPr>
          <w:rFonts w:ascii="Bookman Old Style" w:hAnsi="Bookman Old Style" w:cs="Tahoma"/>
          <w:i/>
          <w:sz w:val="24"/>
          <w:szCs w:val="24"/>
        </w:rPr>
        <w:t xml:space="preserve"> in the schedule attached to the Originating</w:t>
      </w:r>
    </w:p>
    <w:p w:rsidR="00695524" w:rsidRDefault="00AB4EE5" w:rsidP="00695524">
      <w:pPr>
        <w:pStyle w:val="NoSpacing"/>
        <w:ind w:left="0" w:firstLine="720"/>
        <w:jc w:val="left"/>
        <w:rPr>
          <w:rFonts w:ascii="Bookman Old Style" w:hAnsi="Bookman Old Style" w:cs="Tahoma"/>
          <w:i/>
          <w:sz w:val="24"/>
          <w:szCs w:val="24"/>
        </w:rPr>
      </w:pPr>
      <w:r>
        <w:rPr>
          <w:rFonts w:ascii="Bookman Old Style" w:hAnsi="Bookman Old Style" w:cs="Tahoma"/>
          <w:i/>
          <w:sz w:val="24"/>
          <w:szCs w:val="24"/>
        </w:rPr>
        <w:t xml:space="preserve"> Notice of Motion</w:t>
      </w:r>
      <w:r w:rsidR="00110035">
        <w:rPr>
          <w:rFonts w:ascii="Bookman Old Style" w:hAnsi="Bookman Old Style" w:cs="Tahoma"/>
          <w:i/>
          <w:sz w:val="24"/>
          <w:szCs w:val="24"/>
        </w:rPr>
        <w:t>)</w:t>
      </w:r>
      <w:r w:rsidR="00695524">
        <w:rPr>
          <w:rFonts w:ascii="Bookman Old Style" w:hAnsi="Bookman Old Style" w:cs="Tahoma"/>
          <w:i/>
          <w:sz w:val="24"/>
          <w:szCs w:val="24"/>
        </w:rPr>
        <w:tab/>
      </w:r>
      <w:r w:rsidR="00695524">
        <w:rPr>
          <w:rFonts w:ascii="Bookman Old Style" w:hAnsi="Bookman Old Style" w:cs="Tahoma"/>
          <w:i/>
          <w:sz w:val="24"/>
          <w:szCs w:val="24"/>
        </w:rPr>
        <w:tab/>
      </w:r>
      <w:r w:rsidR="00695524">
        <w:rPr>
          <w:rFonts w:ascii="Bookman Old Style" w:hAnsi="Bookman Old Style" w:cs="Tahoma"/>
          <w:i/>
          <w:sz w:val="24"/>
          <w:szCs w:val="24"/>
        </w:rPr>
        <w:tab/>
      </w:r>
      <w:r w:rsidR="00695524">
        <w:rPr>
          <w:rFonts w:ascii="Bookman Old Style" w:hAnsi="Bookman Old Style" w:cs="Tahoma"/>
          <w:i/>
          <w:sz w:val="24"/>
          <w:szCs w:val="24"/>
        </w:rPr>
        <w:tab/>
      </w:r>
      <w:r w:rsidR="00695524">
        <w:rPr>
          <w:rFonts w:ascii="Bookman Old Style" w:hAnsi="Bookman Old Style" w:cs="Tahoma"/>
          <w:i/>
          <w:sz w:val="24"/>
          <w:szCs w:val="24"/>
        </w:rPr>
        <w:tab/>
      </w:r>
      <w:r w:rsidR="00695524">
        <w:rPr>
          <w:rFonts w:ascii="Bookman Old Style" w:hAnsi="Bookman Old Style" w:cs="Tahoma"/>
          <w:i/>
          <w:sz w:val="24"/>
          <w:szCs w:val="24"/>
        </w:rPr>
        <w:tab/>
      </w:r>
    </w:p>
    <w:p w:rsidR="00695524" w:rsidRDefault="00695524" w:rsidP="00695524">
      <w:pPr>
        <w:pStyle w:val="NoSpacing"/>
        <w:ind w:left="0" w:firstLine="0"/>
        <w:jc w:val="left"/>
        <w:rPr>
          <w:rFonts w:ascii="Bookman Old Style" w:hAnsi="Bookman Old Style" w:cs="Tahoma"/>
          <w:i/>
          <w:sz w:val="24"/>
          <w:szCs w:val="24"/>
        </w:rPr>
      </w:pPr>
    </w:p>
    <w:p w:rsidR="00695524" w:rsidRPr="00052877" w:rsidRDefault="00695524" w:rsidP="00695524">
      <w:pPr>
        <w:pStyle w:val="NoSpacing"/>
        <w:ind w:left="0" w:firstLine="720"/>
        <w:jc w:val="left"/>
        <w:rPr>
          <w:rFonts w:ascii="Bookman Old Style" w:hAnsi="Bookman Old Style" w:cs="Tahoma"/>
          <w:b/>
          <w:i/>
          <w:sz w:val="24"/>
          <w:szCs w:val="24"/>
        </w:rPr>
      </w:pPr>
      <w:proofErr w:type="gramStart"/>
      <w:r w:rsidRPr="00052877">
        <w:rPr>
          <w:rFonts w:ascii="Bookman Old Style" w:hAnsi="Bookman Old Style" w:cs="Tahoma"/>
          <w:b/>
          <w:i/>
          <w:sz w:val="24"/>
          <w:szCs w:val="24"/>
        </w:rPr>
        <w:t>and</w:t>
      </w:r>
      <w:proofErr w:type="gramEnd"/>
    </w:p>
    <w:p w:rsidR="00695524" w:rsidRDefault="00695524" w:rsidP="00695524">
      <w:pPr>
        <w:pStyle w:val="NoSpacing"/>
        <w:ind w:left="0" w:firstLine="0"/>
        <w:jc w:val="left"/>
        <w:rPr>
          <w:rFonts w:ascii="Bookman Old Style" w:hAnsi="Bookman Old Style" w:cs="Tahoma"/>
          <w:i/>
          <w:sz w:val="24"/>
          <w:szCs w:val="24"/>
        </w:rPr>
      </w:pPr>
    </w:p>
    <w:p w:rsidR="00695524" w:rsidRDefault="00AB4EE5" w:rsidP="00695524">
      <w:pPr>
        <w:pStyle w:val="NoSpacing"/>
        <w:ind w:left="0" w:firstLine="720"/>
        <w:jc w:val="left"/>
        <w:rPr>
          <w:rFonts w:ascii="Bookman Old Style" w:hAnsi="Bookman Old Style" w:cs="Tahoma"/>
          <w:i/>
          <w:sz w:val="24"/>
          <w:szCs w:val="24"/>
        </w:rPr>
      </w:pPr>
      <w:r>
        <w:rPr>
          <w:rFonts w:ascii="Bookman Old Style" w:hAnsi="Bookman Old Style" w:cs="Tahoma"/>
          <w:i/>
          <w:sz w:val="24"/>
          <w:szCs w:val="24"/>
        </w:rPr>
        <w:t>ROBINSON KALEB ZULU</w:t>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t xml:space="preserve">       RESPONDENT</w:t>
      </w:r>
    </w:p>
    <w:p w:rsidR="00695524" w:rsidRDefault="00695524" w:rsidP="00695524">
      <w:pPr>
        <w:pStyle w:val="NoSpacing"/>
        <w:ind w:left="0" w:firstLine="0"/>
        <w:jc w:val="left"/>
        <w:rPr>
          <w:rFonts w:ascii="Bookman Old Style" w:hAnsi="Bookman Old Style" w:cs="Tahoma"/>
          <w:b/>
          <w:sz w:val="28"/>
          <w:szCs w:val="28"/>
        </w:rPr>
      </w:pPr>
    </w:p>
    <w:p w:rsidR="00695524" w:rsidRDefault="00695524" w:rsidP="00695524">
      <w:pPr>
        <w:pStyle w:val="NoSpacing"/>
        <w:ind w:left="0" w:firstLine="0"/>
        <w:rPr>
          <w:rFonts w:ascii="Bookman Old Style" w:hAnsi="Bookman Old Style" w:cs="Tahoma"/>
          <w:b/>
          <w:i/>
          <w:sz w:val="24"/>
          <w:szCs w:val="24"/>
        </w:rPr>
      </w:pPr>
      <w:proofErr w:type="gramStart"/>
      <w:r>
        <w:rPr>
          <w:rFonts w:ascii="Bookman Old Style" w:hAnsi="Bookman Old Style" w:cs="Tahoma"/>
          <w:b/>
          <w:i/>
          <w:sz w:val="24"/>
          <w:szCs w:val="24"/>
        </w:rPr>
        <w:t xml:space="preserve">Before the Hon. Mr. Justice Justin </w:t>
      </w:r>
      <w:proofErr w:type="spellStart"/>
      <w:r>
        <w:rPr>
          <w:rFonts w:ascii="Bookman Old Style" w:hAnsi="Bookman Old Style" w:cs="Tahoma"/>
          <w:b/>
          <w:i/>
          <w:sz w:val="24"/>
          <w:szCs w:val="24"/>
        </w:rPr>
        <w:t>Chashi</w:t>
      </w:r>
      <w:proofErr w:type="spellEnd"/>
      <w:r>
        <w:rPr>
          <w:rFonts w:ascii="Bookman Old Style" w:hAnsi="Bookman Old Style" w:cs="Tahoma"/>
          <w:b/>
          <w:i/>
          <w:sz w:val="24"/>
          <w:szCs w:val="24"/>
        </w:rPr>
        <w:t xml:space="preserve"> in Chambers on the 14</w:t>
      </w:r>
      <w:r w:rsidRPr="0018482F">
        <w:rPr>
          <w:rFonts w:ascii="Bookman Old Style" w:hAnsi="Bookman Old Style" w:cs="Tahoma"/>
          <w:b/>
          <w:i/>
          <w:sz w:val="24"/>
          <w:szCs w:val="24"/>
          <w:vertAlign w:val="superscript"/>
        </w:rPr>
        <w:t>th</w:t>
      </w:r>
      <w:r>
        <w:rPr>
          <w:rFonts w:ascii="Bookman Old Style" w:hAnsi="Bookman Old Style" w:cs="Tahoma"/>
          <w:b/>
          <w:i/>
          <w:sz w:val="24"/>
          <w:szCs w:val="24"/>
        </w:rPr>
        <w:t xml:space="preserve"> day of June, 2012.</w:t>
      </w:r>
      <w:proofErr w:type="gramEnd"/>
    </w:p>
    <w:p w:rsidR="00695524" w:rsidRDefault="00695524" w:rsidP="00695524">
      <w:pPr>
        <w:pStyle w:val="NoSpacing"/>
        <w:ind w:left="0" w:firstLine="0"/>
        <w:rPr>
          <w:rFonts w:ascii="Bookman Old Style" w:hAnsi="Bookman Old Style" w:cs="Tahoma"/>
          <w:sz w:val="28"/>
          <w:szCs w:val="28"/>
        </w:rPr>
      </w:pPr>
    </w:p>
    <w:p w:rsidR="00AB4EE5" w:rsidRDefault="00AB4EE5" w:rsidP="00695524">
      <w:pPr>
        <w:pStyle w:val="NoSpacing"/>
        <w:ind w:left="2880" w:hanging="2880"/>
        <w:rPr>
          <w:rFonts w:ascii="Bookman Old Style" w:hAnsi="Bookman Old Style" w:cs="Tahoma"/>
          <w:b/>
          <w:i/>
        </w:rPr>
      </w:pPr>
      <w:r>
        <w:rPr>
          <w:rFonts w:ascii="Bookman Old Style" w:hAnsi="Bookman Old Style" w:cs="Tahoma"/>
          <w:b/>
          <w:i/>
        </w:rPr>
        <w:t>For the Applicants</w:t>
      </w:r>
      <w:r w:rsidR="00695524">
        <w:rPr>
          <w:rFonts w:ascii="Bookman Old Style" w:hAnsi="Bookman Old Style" w:cs="Tahoma"/>
          <w:b/>
          <w:i/>
        </w:rPr>
        <w:t>:</w:t>
      </w:r>
      <w:r>
        <w:rPr>
          <w:rFonts w:ascii="Bookman Old Style" w:hAnsi="Bookman Old Style" w:cs="Tahoma"/>
          <w:b/>
          <w:i/>
        </w:rPr>
        <w:tab/>
        <w:t xml:space="preserve">C. </w:t>
      </w:r>
      <w:proofErr w:type="spellStart"/>
      <w:r>
        <w:rPr>
          <w:rFonts w:ascii="Bookman Old Style" w:hAnsi="Bookman Old Style" w:cs="Tahoma"/>
          <w:b/>
          <w:i/>
        </w:rPr>
        <w:t>Sikazwe</w:t>
      </w:r>
      <w:proofErr w:type="spellEnd"/>
      <w:r>
        <w:rPr>
          <w:rFonts w:ascii="Bookman Old Style" w:hAnsi="Bookman Old Style" w:cs="Tahoma"/>
          <w:b/>
          <w:i/>
        </w:rPr>
        <w:t>,</w:t>
      </w:r>
      <w:r w:rsidR="00695524">
        <w:rPr>
          <w:rFonts w:ascii="Bookman Old Style" w:hAnsi="Bookman Old Style" w:cs="Tahoma"/>
          <w:b/>
          <w:i/>
        </w:rPr>
        <w:tab/>
      </w:r>
      <w:r>
        <w:rPr>
          <w:rFonts w:ascii="Bookman Old Style" w:hAnsi="Bookman Old Style" w:cs="Tahoma"/>
          <w:b/>
          <w:i/>
        </w:rPr>
        <w:t xml:space="preserve">Messrs </w:t>
      </w:r>
      <w:proofErr w:type="spellStart"/>
      <w:r>
        <w:rPr>
          <w:rFonts w:ascii="Bookman Old Style" w:hAnsi="Bookman Old Style" w:cs="Tahoma"/>
          <w:b/>
          <w:i/>
        </w:rPr>
        <w:t>Chanza</w:t>
      </w:r>
      <w:proofErr w:type="spellEnd"/>
      <w:r>
        <w:rPr>
          <w:rFonts w:ascii="Bookman Old Style" w:hAnsi="Bookman Old Style" w:cs="Tahoma"/>
          <w:b/>
          <w:i/>
        </w:rPr>
        <w:t xml:space="preserve"> </w:t>
      </w:r>
      <w:proofErr w:type="spellStart"/>
      <w:r>
        <w:rPr>
          <w:rFonts w:ascii="Bookman Old Style" w:hAnsi="Bookman Old Style" w:cs="Tahoma"/>
          <w:b/>
          <w:i/>
        </w:rPr>
        <w:t>Sikazwe</w:t>
      </w:r>
      <w:proofErr w:type="spellEnd"/>
      <w:r>
        <w:rPr>
          <w:rFonts w:ascii="Bookman Old Style" w:hAnsi="Bookman Old Style" w:cs="Tahoma"/>
          <w:b/>
          <w:i/>
        </w:rPr>
        <w:t xml:space="preserve"> Advocates </w:t>
      </w:r>
    </w:p>
    <w:p w:rsidR="00695524" w:rsidRDefault="00AB4EE5" w:rsidP="00695524">
      <w:pPr>
        <w:pStyle w:val="NoSpacing"/>
        <w:ind w:left="2880" w:hanging="2880"/>
        <w:rPr>
          <w:rFonts w:ascii="Bookman Old Style" w:hAnsi="Bookman Old Style" w:cs="Tahoma"/>
          <w:b/>
          <w:i/>
        </w:rPr>
      </w:pPr>
      <w:r>
        <w:rPr>
          <w:rFonts w:ascii="Bookman Old Style" w:hAnsi="Bookman Old Style" w:cs="Tahoma"/>
          <w:b/>
          <w:i/>
        </w:rPr>
        <w:t>For the Respondent:</w:t>
      </w:r>
      <w:r>
        <w:rPr>
          <w:rFonts w:ascii="Bookman Old Style" w:hAnsi="Bookman Old Style" w:cs="Tahoma"/>
          <w:b/>
          <w:i/>
        </w:rPr>
        <w:tab/>
        <w:t xml:space="preserve">JB </w:t>
      </w:r>
      <w:proofErr w:type="spellStart"/>
      <w:r>
        <w:rPr>
          <w:rFonts w:ascii="Bookman Old Style" w:hAnsi="Bookman Old Style" w:cs="Tahoma"/>
          <w:b/>
          <w:i/>
        </w:rPr>
        <w:t>Malama</w:t>
      </w:r>
      <w:proofErr w:type="spellEnd"/>
      <w:r>
        <w:rPr>
          <w:rFonts w:ascii="Bookman Old Style" w:hAnsi="Bookman Old Style" w:cs="Tahoma"/>
          <w:b/>
          <w:i/>
        </w:rPr>
        <w:t xml:space="preserve">, Messrs </w:t>
      </w:r>
      <w:proofErr w:type="spellStart"/>
      <w:r>
        <w:rPr>
          <w:rFonts w:ascii="Bookman Old Style" w:hAnsi="Bookman Old Style" w:cs="Tahoma"/>
          <w:b/>
          <w:i/>
        </w:rPr>
        <w:t>Kalokoni</w:t>
      </w:r>
      <w:proofErr w:type="spellEnd"/>
      <w:r>
        <w:rPr>
          <w:rFonts w:ascii="Bookman Old Style" w:hAnsi="Bookman Old Style" w:cs="Tahoma"/>
          <w:b/>
          <w:i/>
        </w:rPr>
        <w:t xml:space="preserve"> &amp; Co.</w:t>
      </w:r>
      <w:r>
        <w:rPr>
          <w:rFonts w:ascii="Bookman Old Style" w:hAnsi="Bookman Old Style" w:cs="Tahoma"/>
          <w:b/>
          <w:i/>
        </w:rPr>
        <w:tab/>
      </w:r>
      <w:r w:rsidR="00695524">
        <w:rPr>
          <w:rFonts w:ascii="Bookman Old Style" w:hAnsi="Bookman Old Style" w:cs="Tahoma"/>
          <w:b/>
          <w:i/>
        </w:rPr>
        <w:t xml:space="preserve"> </w:t>
      </w:r>
      <w:r w:rsidR="00695524">
        <w:rPr>
          <w:rFonts w:ascii="Bookman Old Style" w:hAnsi="Bookman Old Style" w:cs="Tahoma"/>
          <w:b/>
          <w:i/>
        </w:rPr>
        <w:tab/>
      </w:r>
      <w:r w:rsidR="00695524">
        <w:rPr>
          <w:rFonts w:ascii="Bookman Old Style" w:hAnsi="Bookman Old Style" w:cs="Tahoma"/>
          <w:b/>
          <w:i/>
        </w:rPr>
        <w:tab/>
      </w:r>
      <w:r w:rsidR="00695524">
        <w:rPr>
          <w:rFonts w:ascii="Bookman Old Style" w:hAnsi="Bookman Old Style" w:cs="Tahoma"/>
          <w:b/>
          <w:i/>
        </w:rPr>
        <w:tab/>
      </w:r>
      <w:r w:rsidR="00695524">
        <w:rPr>
          <w:rFonts w:ascii="Bookman Old Style" w:hAnsi="Bookman Old Style" w:cs="Tahoma"/>
          <w:b/>
          <w:i/>
        </w:rPr>
        <w:tab/>
      </w:r>
    </w:p>
    <w:p w:rsidR="00695524" w:rsidRDefault="00695524" w:rsidP="00695524">
      <w:pPr>
        <w:pStyle w:val="NoSpacing"/>
        <w:ind w:left="0" w:firstLine="0"/>
        <w:rPr>
          <w:rFonts w:ascii="Bookman Old Style" w:hAnsi="Bookman Old Style" w:cs="Tahoma"/>
          <w:b/>
        </w:rPr>
      </w:pPr>
    </w:p>
    <w:p w:rsidR="00695524" w:rsidRDefault="00695524" w:rsidP="00695524">
      <w:pPr>
        <w:pStyle w:val="NoSpacing"/>
        <w:pBdr>
          <w:top w:val="single" w:sz="12" w:space="1" w:color="auto"/>
          <w:bottom w:val="single" w:sz="12" w:space="1" w:color="auto"/>
        </w:pBdr>
        <w:spacing w:line="360" w:lineRule="auto"/>
        <w:ind w:left="0" w:firstLine="0"/>
        <w:jc w:val="center"/>
        <w:rPr>
          <w:rFonts w:ascii="Bookman Old Style" w:hAnsi="Bookman Old Style" w:cs="Tahoma"/>
          <w:b/>
          <w:sz w:val="32"/>
          <w:szCs w:val="32"/>
        </w:rPr>
      </w:pPr>
      <w:r>
        <w:rPr>
          <w:rFonts w:ascii="Bookman Old Style" w:hAnsi="Bookman Old Style" w:cs="Tahoma"/>
          <w:b/>
          <w:sz w:val="32"/>
          <w:szCs w:val="32"/>
        </w:rPr>
        <w:t>RULING</w:t>
      </w:r>
    </w:p>
    <w:p w:rsidR="00695524" w:rsidRDefault="00695524" w:rsidP="00695524">
      <w:pPr>
        <w:pStyle w:val="NoSpacing"/>
        <w:spacing w:line="360" w:lineRule="auto"/>
        <w:ind w:left="0" w:firstLine="0"/>
        <w:rPr>
          <w:rFonts w:ascii="Bookman Old Style" w:hAnsi="Bookman Old Style" w:cs="Tahoma"/>
          <w:b/>
          <w:sz w:val="28"/>
          <w:szCs w:val="28"/>
        </w:rPr>
      </w:pPr>
    </w:p>
    <w:p w:rsidR="00695524" w:rsidRDefault="00695524" w:rsidP="00695524">
      <w:pPr>
        <w:pStyle w:val="NoSpacing"/>
        <w:spacing w:line="360" w:lineRule="auto"/>
        <w:ind w:left="0" w:firstLine="0"/>
        <w:rPr>
          <w:rFonts w:ascii="Bookman Old Style" w:hAnsi="Bookman Old Style" w:cs="Tahoma"/>
          <w:b/>
          <w:i/>
          <w:sz w:val="24"/>
          <w:szCs w:val="24"/>
          <w:u w:val="single"/>
        </w:rPr>
      </w:pPr>
      <w:r>
        <w:rPr>
          <w:rFonts w:ascii="Bookman Old Style" w:hAnsi="Bookman Old Style" w:cs="Tahoma"/>
          <w:b/>
          <w:i/>
          <w:sz w:val="24"/>
          <w:szCs w:val="24"/>
          <w:u w:val="single"/>
        </w:rPr>
        <w:t>Cases referred to:</w:t>
      </w:r>
    </w:p>
    <w:p w:rsidR="00695524" w:rsidRPr="00BD0E0C" w:rsidRDefault="00695524" w:rsidP="00695524">
      <w:pPr>
        <w:pStyle w:val="NoSpacing"/>
        <w:spacing w:line="360" w:lineRule="auto"/>
        <w:ind w:left="0" w:firstLine="0"/>
        <w:rPr>
          <w:rFonts w:ascii="Bookman Old Style" w:hAnsi="Bookman Old Style" w:cs="Tahoma"/>
          <w:i/>
        </w:rPr>
      </w:pPr>
      <w:r w:rsidRPr="00BD0E0C">
        <w:rPr>
          <w:rFonts w:ascii="Bookman Old Style" w:hAnsi="Bookman Old Style" w:cs="Tahoma"/>
          <w:i/>
        </w:rPr>
        <w:t xml:space="preserve">1. </w:t>
      </w:r>
      <w:r w:rsidR="00EB2A78">
        <w:rPr>
          <w:rFonts w:ascii="Bookman Old Style" w:hAnsi="Bookman Old Style" w:cs="Tahoma"/>
          <w:i/>
        </w:rPr>
        <w:t xml:space="preserve">  </w:t>
      </w:r>
      <w:r w:rsidR="00AB4EE5">
        <w:rPr>
          <w:rFonts w:ascii="Bookman Old Style" w:hAnsi="Bookman Old Style" w:cs="Tahoma"/>
          <w:i/>
        </w:rPr>
        <w:t xml:space="preserve">Lily Drake v MBL </w:t>
      </w:r>
      <w:proofErr w:type="spellStart"/>
      <w:r w:rsidR="00AB4EE5">
        <w:rPr>
          <w:rFonts w:ascii="Bookman Old Style" w:hAnsi="Bookman Old Style" w:cs="Tahoma"/>
          <w:i/>
        </w:rPr>
        <w:t>Mahtani</w:t>
      </w:r>
      <w:proofErr w:type="spellEnd"/>
      <w:r w:rsidR="00AB4EE5">
        <w:rPr>
          <w:rFonts w:ascii="Bookman Old Style" w:hAnsi="Bookman Old Style" w:cs="Tahoma"/>
          <w:i/>
        </w:rPr>
        <w:t xml:space="preserve"> and Professional Services Limited (</w:t>
      </w:r>
      <w:r w:rsidR="00EB2A78">
        <w:rPr>
          <w:rFonts w:ascii="Bookman Old Style" w:hAnsi="Bookman Old Style" w:cs="Tahoma"/>
          <w:i/>
        </w:rPr>
        <w:t>1985) ZR 236</w:t>
      </w:r>
    </w:p>
    <w:p w:rsidR="00EB2A78" w:rsidRDefault="00695524" w:rsidP="00695524">
      <w:pPr>
        <w:pStyle w:val="NoSpacing"/>
        <w:spacing w:line="360" w:lineRule="auto"/>
        <w:ind w:left="0" w:firstLine="0"/>
        <w:rPr>
          <w:rFonts w:ascii="Bookman Old Style" w:hAnsi="Bookman Old Style" w:cs="Tahoma"/>
          <w:i/>
        </w:rPr>
      </w:pPr>
      <w:r w:rsidRPr="00BD0E0C">
        <w:rPr>
          <w:rFonts w:ascii="Bookman Old Style" w:hAnsi="Bookman Old Style" w:cs="Tahoma"/>
          <w:i/>
        </w:rPr>
        <w:t xml:space="preserve">2.  </w:t>
      </w:r>
      <w:r w:rsidR="00EB2A78">
        <w:rPr>
          <w:rFonts w:ascii="Bookman Old Style" w:hAnsi="Bookman Old Style" w:cs="Tahoma"/>
          <w:i/>
        </w:rPr>
        <w:t xml:space="preserve">Turnkey Properties Limited v Lusaka West Development Company </w:t>
      </w:r>
      <w:proofErr w:type="gramStart"/>
      <w:r w:rsidR="00EB2A78">
        <w:rPr>
          <w:rFonts w:ascii="Bookman Old Style" w:hAnsi="Bookman Old Style" w:cs="Tahoma"/>
          <w:i/>
        </w:rPr>
        <w:t>Limited</w:t>
      </w:r>
      <w:proofErr w:type="gramEnd"/>
      <w:r w:rsidR="00EB2A78">
        <w:rPr>
          <w:rFonts w:ascii="Bookman Old Style" w:hAnsi="Bookman Old Style" w:cs="Tahoma"/>
          <w:i/>
        </w:rPr>
        <w:t xml:space="preserve"> (1984) ZR </w:t>
      </w:r>
    </w:p>
    <w:p w:rsidR="00695524" w:rsidRDefault="00EB2A78" w:rsidP="00695524">
      <w:pPr>
        <w:pStyle w:val="NoSpacing"/>
        <w:spacing w:line="360" w:lineRule="auto"/>
        <w:ind w:left="0" w:firstLine="0"/>
        <w:rPr>
          <w:rFonts w:ascii="Bookman Old Style" w:hAnsi="Bookman Old Style" w:cs="Tahoma"/>
          <w:i/>
        </w:rPr>
      </w:pPr>
      <w:r>
        <w:rPr>
          <w:rFonts w:ascii="Bookman Old Style" w:hAnsi="Bookman Old Style" w:cs="Tahoma"/>
          <w:i/>
        </w:rPr>
        <w:t xml:space="preserve">     85</w:t>
      </w:r>
    </w:p>
    <w:p w:rsidR="00EB2A78" w:rsidRDefault="00EB2A78" w:rsidP="00695524">
      <w:pPr>
        <w:pStyle w:val="NoSpacing"/>
        <w:spacing w:line="360" w:lineRule="auto"/>
        <w:ind w:left="0" w:firstLine="0"/>
        <w:rPr>
          <w:rFonts w:ascii="Bookman Old Style" w:hAnsi="Bookman Old Style" w:cs="Tahoma"/>
          <w:i/>
        </w:rPr>
      </w:pPr>
      <w:r>
        <w:rPr>
          <w:rFonts w:ascii="Bookman Old Style" w:hAnsi="Bookman Old Style" w:cs="Tahoma"/>
          <w:i/>
        </w:rPr>
        <w:t xml:space="preserve">3.  </w:t>
      </w:r>
      <w:proofErr w:type="spellStart"/>
      <w:r>
        <w:rPr>
          <w:rFonts w:ascii="Bookman Old Style" w:hAnsi="Bookman Old Style" w:cs="Tahoma"/>
          <w:i/>
        </w:rPr>
        <w:t>Zesco</w:t>
      </w:r>
      <w:proofErr w:type="spellEnd"/>
      <w:r>
        <w:rPr>
          <w:rFonts w:ascii="Bookman Old Style" w:hAnsi="Bookman Old Style" w:cs="Tahoma"/>
          <w:i/>
        </w:rPr>
        <w:t xml:space="preserve"> Limited v </w:t>
      </w:r>
      <w:proofErr w:type="spellStart"/>
      <w:r>
        <w:rPr>
          <w:rFonts w:ascii="Bookman Old Style" w:hAnsi="Bookman Old Style" w:cs="Tahoma"/>
          <w:i/>
        </w:rPr>
        <w:t>Bakewell</w:t>
      </w:r>
      <w:proofErr w:type="spellEnd"/>
      <w:r>
        <w:rPr>
          <w:rFonts w:ascii="Bookman Old Style" w:hAnsi="Bookman Old Style" w:cs="Tahoma"/>
          <w:i/>
        </w:rPr>
        <w:t xml:space="preserve"> Bakeries- Appeal No. 20 of 2005</w:t>
      </w:r>
    </w:p>
    <w:p w:rsidR="00EB2A78" w:rsidRDefault="00EB2A78" w:rsidP="00695524">
      <w:pPr>
        <w:pStyle w:val="NoSpacing"/>
        <w:spacing w:line="360" w:lineRule="auto"/>
        <w:ind w:left="0" w:firstLine="0"/>
        <w:rPr>
          <w:rFonts w:ascii="Bookman Old Style" w:hAnsi="Bookman Old Style" w:cs="Tahoma"/>
          <w:i/>
        </w:rPr>
      </w:pPr>
      <w:r>
        <w:rPr>
          <w:rFonts w:ascii="Bookman Old Style" w:hAnsi="Bookman Old Style" w:cs="Tahoma"/>
          <w:i/>
        </w:rPr>
        <w:t xml:space="preserve">4.  </w:t>
      </w:r>
      <w:proofErr w:type="spellStart"/>
      <w:r>
        <w:rPr>
          <w:rFonts w:ascii="Bookman Old Style" w:hAnsi="Bookman Old Style" w:cs="Tahoma"/>
          <w:i/>
        </w:rPr>
        <w:t>Fajema</w:t>
      </w:r>
      <w:proofErr w:type="spellEnd"/>
      <w:r>
        <w:rPr>
          <w:rFonts w:ascii="Bookman Old Style" w:hAnsi="Bookman Old Style" w:cs="Tahoma"/>
          <w:i/>
        </w:rPr>
        <w:t xml:space="preserve"> Catering Services v Evelyn Hone College of Applied Arts and Commerce </w:t>
      </w:r>
    </w:p>
    <w:p w:rsidR="00EB2A78" w:rsidRDefault="00EB2A78" w:rsidP="00695524">
      <w:pPr>
        <w:pStyle w:val="NoSpacing"/>
        <w:spacing w:line="360" w:lineRule="auto"/>
        <w:ind w:left="0" w:firstLine="0"/>
        <w:rPr>
          <w:rFonts w:ascii="Bookman Old Style" w:hAnsi="Bookman Old Style" w:cs="Tahoma"/>
          <w:i/>
        </w:rPr>
      </w:pPr>
      <w:r>
        <w:rPr>
          <w:rFonts w:ascii="Bookman Old Style" w:hAnsi="Bookman Old Style" w:cs="Tahoma"/>
          <w:i/>
        </w:rPr>
        <w:t xml:space="preserve">    Management Board – 2011/HP/904</w:t>
      </w:r>
    </w:p>
    <w:p w:rsidR="00EB2A78" w:rsidRDefault="00EB2A78" w:rsidP="00695524">
      <w:pPr>
        <w:pStyle w:val="NoSpacing"/>
        <w:spacing w:line="360" w:lineRule="auto"/>
        <w:ind w:left="0" w:firstLine="0"/>
        <w:rPr>
          <w:rFonts w:ascii="Bookman Old Style" w:hAnsi="Bookman Old Style" w:cs="Tahoma"/>
          <w:i/>
        </w:rPr>
      </w:pPr>
      <w:r>
        <w:rPr>
          <w:rFonts w:ascii="Bookman Old Style" w:hAnsi="Bookman Old Style" w:cs="Tahoma"/>
          <w:i/>
        </w:rPr>
        <w:t xml:space="preserve">5.  Shell and BP Zambia Limited v </w:t>
      </w:r>
      <w:proofErr w:type="spellStart"/>
      <w:r>
        <w:rPr>
          <w:rFonts w:ascii="Bookman Old Style" w:hAnsi="Bookman Old Style" w:cs="Tahoma"/>
          <w:i/>
        </w:rPr>
        <w:t>Conidaris</w:t>
      </w:r>
      <w:proofErr w:type="spellEnd"/>
      <w:r>
        <w:rPr>
          <w:rFonts w:ascii="Bookman Old Style" w:hAnsi="Bookman Old Style" w:cs="Tahoma"/>
          <w:i/>
        </w:rPr>
        <w:t xml:space="preserve"> and Others (1975) ZR</w:t>
      </w:r>
    </w:p>
    <w:p w:rsidR="00A4299B" w:rsidRDefault="00EB2A78" w:rsidP="00695524">
      <w:pPr>
        <w:pStyle w:val="NoSpacing"/>
        <w:spacing w:line="360" w:lineRule="auto"/>
        <w:ind w:left="0" w:firstLine="0"/>
        <w:rPr>
          <w:rFonts w:ascii="Bookman Old Style" w:hAnsi="Bookman Old Style" w:cs="Tahoma"/>
          <w:i/>
        </w:rPr>
      </w:pPr>
      <w:r>
        <w:rPr>
          <w:rFonts w:ascii="Bookman Old Style" w:hAnsi="Bookman Old Style" w:cs="Tahoma"/>
          <w:i/>
        </w:rPr>
        <w:t xml:space="preserve">6.  </w:t>
      </w:r>
      <w:proofErr w:type="spellStart"/>
      <w:r>
        <w:rPr>
          <w:rFonts w:ascii="Bookman Old Style" w:hAnsi="Bookman Old Style" w:cs="Tahoma"/>
          <w:i/>
        </w:rPr>
        <w:t>Chrispin</w:t>
      </w:r>
      <w:proofErr w:type="spellEnd"/>
      <w:r>
        <w:rPr>
          <w:rFonts w:ascii="Bookman Old Style" w:hAnsi="Bookman Old Style" w:cs="Tahoma"/>
          <w:i/>
        </w:rPr>
        <w:t xml:space="preserve"> </w:t>
      </w:r>
      <w:proofErr w:type="spellStart"/>
      <w:r>
        <w:rPr>
          <w:rFonts w:ascii="Bookman Old Style" w:hAnsi="Bookman Old Style" w:cs="Tahoma"/>
          <w:i/>
        </w:rPr>
        <w:t>Lwali</w:t>
      </w:r>
      <w:proofErr w:type="spellEnd"/>
      <w:r>
        <w:rPr>
          <w:rFonts w:ascii="Bookman Old Style" w:hAnsi="Bookman Old Style" w:cs="Tahoma"/>
          <w:i/>
        </w:rPr>
        <w:t xml:space="preserve">, </w:t>
      </w:r>
      <w:proofErr w:type="spellStart"/>
      <w:r>
        <w:rPr>
          <w:rFonts w:ascii="Bookman Old Style" w:hAnsi="Bookman Old Style" w:cs="Tahoma"/>
          <w:i/>
        </w:rPr>
        <w:t>Savour</w:t>
      </w:r>
      <w:proofErr w:type="spellEnd"/>
      <w:r>
        <w:rPr>
          <w:rFonts w:ascii="Bookman Old Style" w:hAnsi="Bookman Old Style" w:cs="Tahoma"/>
          <w:i/>
        </w:rPr>
        <w:t xml:space="preserve"> </w:t>
      </w:r>
      <w:proofErr w:type="spellStart"/>
      <w:r>
        <w:rPr>
          <w:rFonts w:ascii="Bookman Old Style" w:hAnsi="Bookman Old Style" w:cs="Tahoma"/>
          <w:i/>
        </w:rPr>
        <w:t>Chishimba</w:t>
      </w:r>
      <w:proofErr w:type="spellEnd"/>
      <w:r w:rsidR="00052877">
        <w:rPr>
          <w:rFonts w:ascii="Bookman Old Style" w:hAnsi="Bookman Old Style" w:cs="Tahoma"/>
          <w:i/>
        </w:rPr>
        <w:t>,</w:t>
      </w:r>
      <w:r>
        <w:rPr>
          <w:rFonts w:ascii="Bookman Old Style" w:hAnsi="Bookman Old Style" w:cs="Tahoma"/>
          <w:i/>
        </w:rPr>
        <w:t xml:space="preserve"> Stephen </w:t>
      </w:r>
      <w:proofErr w:type="spellStart"/>
      <w:r>
        <w:rPr>
          <w:rFonts w:ascii="Bookman Old Style" w:hAnsi="Bookman Old Style" w:cs="Tahoma"/>
          <w:i/>
        </w:rPr>
        <w:t>Mubanga</w:t>
      </w:r>
      <w:proofErr w:type="spellEnd"/>
      <w:r w:rsidR="00A4299B">
        <w:rPr>
          <w:rFonts w:ascii="Bookman Old Style" w:hAnsi="Bookman Old Style" w:cs="Tahoma"/>
          <w:i/>
        </w:rPr>
        <w:t xml:space="preserve"> </w:t>
      </w:r>
      <w:proofErr w:type="spellStart"/>
      <w:r w:rsidR="00A4299B">
        <w:rPr>
          <w:rFonts w:ascii="Bookman Old Style" w:hAnsi="Bookman Old Style" w:cs="Tahoma"/>
          <w:i/>
        </w:rPr>
        <w:t>Chitalu</w:t>
      </w:r>
      <w:proofErr w:type="spellEnd"/>
      <w:r w:rsidR="00A4299B">
        <w:rPr>
          <w:rFonts w:ascii="Bookman Old Style" w:hAnsi="Bookman Old Style" w:cs="Tahoma"/>
          <w:i/>
        </w:rPr>
        <w:t xml:space="preserve"> &amp; 26 Others v Edward</w:t>
      </w:r>
    </w:p>
    <w:p w:rsidR="00EB2A78" w:rsidRDefault="00A4299B" w:rsidP="00695524">
      <w:pPr>
        <w:pStyle w:val="NoSpacing"/>
        <w:spacing w:line="360" w:lineRule="auto"/>
        <w:ind w:left="0" w:firstLine="0"/>
        <w:rPr>
          <w:rFonts w:ascii="Bookman Old Style" w:hAnsi="Bookman Old Style" w:cs="Tahoma"/>
          <w:i/>
        </w:rPr>
      </w:pPr>
      <w:r>
        <w:rPr>
          <w:rFonts w:ascii="Bookman Old Style" w:hAnsi="Bookman Old Style" w:cs="Tahoma"/>
          <w:i/>
        </w:rPr>
        <w:t xml:space="preserve">      </w:t>
      </w:r>
      <w:proofErr w:type="spellStart"/>
      <w:r>
        <w:rPr>
          <w:rFonts w:ascii="Bookman Old Style" w:hAnsi="Bookman Old Style" w:cs="Tahoma"/>
          <w:i/>
        </w:rPr>
        <w:t>Mumbi</w:t>
      </w:r>
      <w:proofErr w:type="spellEnd"/>
      <w:r>
        <w:rPr>
          <w:rFonts w:ascii="Bookman Old Style" w:hAnsi="Bookman Old Style" w:cs="Tahoma"/>
          <w:i/>
        </w:rPr>
        <w:t xml:space="preserve">, Michael </w:t>
      </w:r>
      <w:proofErr w:type="spellStart"/>
      <w:r>
        <w:rPr>
          <w:rFonts w:ascii="Bookman Old Style" w:hAnsi="Bookman Old Style" w:cs="Tahoma"/>
          <w:i/>
        </w:rPr>
        <w:t>Chilufya</w:t>
      </w:r>
      <w:proofErr w:type="spellEnd"/>
      <w:r>
        <w:rPr>
          <w:rFonts w:ascii="Bookman Old Style" w:hAnsi="Bookman Old Style" w:cs="Tahoma"/>
          <w:i/>
        </w:rPr>
        <w:t xml:space="preserve"> </w:t>
      </w:r>
      <w:proofErr w:type="spellStart"/>
      <w:r>
        <w:rPr>
          <w:rFonts w:ascii="Bookman Old Style" w:hAnsi="Bookman Old Style" w:cs="Tahoma"/>
          <w:i/>
        </w:rPr>
        <w:t>Sata</w:t>
      </w:r>
      <w:proofErr w:type="spellEnd"/>
      <w:r>
        <w:rPr>
          <w:rFonts w:ascii="Bookman Old Style" w:hAnsi="Bookman Old Style" w:cs="Tahoma"/>
          <w:i/>
        </w:rPr>
        <w:t xml:space="preserve"> and </w:t>
      </w:r>
      <w:proofErr w:type="gramStart"/>
      <w:r>
        <w:rPr>
          <w:rFonts w:ascii="Bookman Old Style" w:hAnsi="Bookman Old Style" w:cs="Tahoma"/>
          <w:i/>
        </w:rPr>
        <w:t>The</w:t>
      </w:r>
      <w:proofErr w:type="gramEnd"/>
      <w:r>
        <w:rPr>
          <w:rFonts w:ascii="Bookman Old Style" w:hAnsi="Bookman Old Style" w:cs="Tahoma"/>
          <w:i/>
        </w:rPr>
        <w:t xml:space="preserve"> Attorney General-SCZ No. 07 of 2009.</w:t>
      </w:r>
    </w:p>
    <w:p w:rsidR="00EB2A78" w:rsidRPr="00BD0E0C" w:rsidRDefault="00EB2A78" w:rsidP="00695524">
      <w:pPr>
        <w:pStyle w:val="NoSpacing"/>
        <w:spacing w:line="360" w:lineRule="auto"/>
        <w:ind w:left="0" w:firstLine="0"/>
        <w:rPr>
          <w:rFonts w:ascii="Bookman Old Style" w:hAnsi="Bookman Old Style" w:cs="Tahoma"/>
          <w:i/>
        </w:rPr>
      </w:pPr>
    </w:p>
    <w:p w:rsidR="00695524" w:rsidRDefault="00695524" w:rsidP="00695524">
      <w:pPr>
        <w:pStyle w:val="NoSpacing"/>
        <w:spacing w:line="360" w:lineRule="auto"/>
        <w:ind w:left="0" w:firstLine="0"/>
        <w:rPr>
          <w:rFonts w:ascii="Bookman Old Style" w:hAnsi="Bookman Old Style" w:cs="Tahoma"/>
          <w:i/>
          <w:sz w:val="24"/>
          <w:szCs w:val="24"/>
        </w:rPr>
      </w:pPr>
    </w:p>
    <w:p w:rsidR="00695524" w:rsidRPr="00BD0E0C" w:rsidRDefault="00AC16E6" w:rsidP="00695524">
      <w:pPr>
        <w:pStyle w:val="NoSpacing"/>
        <w:spacing w:line="360" w:lineRule="auto"/>
        <w:ind w:left="0" w:firstLine="0"/>
        <w:rPr>
          <w:rFonts w:ascii="Bookman Old Style" w:hAnsi="Bookman Old Style" w:cs="Tahoma"/>
          <w:b/>
          <w:i/>
          <w:sz w:val="24"/>
          <w:szCs w:val="24"/>
          <w:u w:val="single"/>
        </w:rPr>
      </w:pPr>
      <w:r>
        <w:rPr>
          <w:rFonts w:ascii="Bookman Old Style" w:hAnsi="Bookman Old Style" w:cs="Tahoma"/>
          <w:b/>
          <w:i/>
          <w:sz w:val="24"/>
          <w:szCs w:val="24"/>
          <w:u w:val="single"/>
        </w:rPr>
        <w:lastRenderedPageBreak/>
        <w:t>Legislation</w:t>
      </w:r>
      <w:r w:rsidR="00695524" w:rsidRPr="00BD0E0C">
        <w:rPr>
          <w:rFonts w:ascii="Bookman Old Style" w:hAnsi="Bookman Old Style" w:cs="Tahoma"/>
          <w:b/>
          <w:i/>
          <w:sz w:val="24"/>
          <w:szCs w:val="24"/>
          <w:u w:val="single"/>
        </w:rPr>
        <w:t xml:space="preserve"> referred to:</w:t>
      </w:r>
    </w:p>
    <w:p w:rsidR="00743DC1" w:rsidRDefault="00AC16E6" w:rsidP="00743DC1">
      <w:pPr>
        <w:spacing w:after="0"/>
        <w:rPr>
          <w:rFonts w:ascii="Bookman Old Style" w:eastAsia="Calibri" w:hAnsi="Bookman Old Style" w:cs="Tahoma"/>
          <w:i/>
          <w:sz w:val="24"/>
          <w:szCs w:val="24"/>
        </w:rPr>
      </w:pPr>
      <w:r>
        <w:rPr>
          <w:rFonts w:ascii="Bookman Old Style" w:eastAsia="Calibri" w:hAnsi="Bookman Old Style" w:cs="Tahoma"/>
          <w:i/>
          <w:sz w:val="24"/>
          <w:szCs w:val="24"/>
        </w:rPr>
        <w:t>7</w:t>
      </w:r>
      <w:r w:rsidR="00695524">
        <w:rPr>
          <w:rFonts w:ascii="Bookman Old Style" w:eastAsia="Calibri" w:hAnsi="Bookman Old Style" w:cs="Tahoma"/>
          <w:i/>
          <w:sz w:val="24"/>
          <w:szCs w:val="24"/>
        </w:rPr>
        <w:t>. The Supreme Court Practice, 1999</w:t>
      </w:r>
    </w:p>
    <w:p w:rsidR="00743DC1" w:rsidRDefault="00743DC1" w:rsidP="00743DC1">
      <w:pPr>
        <w:spacing w:after="0"/>
        <w:rPr>
          <w:rFonts w:ascii="Bookman Old Style" w:eastAsia="Calibri" w:hAnsi="Bookman Old Style" w:cs="Tahoma"/>
          <w:i/>
          <w:sz w:val="24"/>
          <w:szCs w:val="24"/>
        </w:rPr>
      </w:pPr>
      <w:r>
        <w:rPr>
          <w:rFonts w:ascii="Bookman Old Style" w:eastAsia="Calibri" w:hAnsi="Bookman Old Style" w:cs="Tahoma"/>
          <w:i/>
          <w:sz w:val="24"/>
          <w:szCs w:val="24"/>
        </w:rPr>
        <w:t>8.  The Rent Act, Chapter 206 of the Laws of Zambia</w:t>
      </w:r>
    </w:p>
    <w:p w:rsidR="00743DC1" w:rsidRDefault="00743DC1" w:rsidP="00743DC1">
      <w:pPr>
        <w:spacing w:after="0"/>
        <w:rPr>
          <w:rFonts w:ascii="Bookman Old Style" w:eastAsia="Calibri" w:hAnsi="Bookman Old Style" w:cs="Tahoma"/>
          <w:i/>
          <w:sz w:val="24"/>
          <w:szCs w:val="24"/>
        </w:rPr>
      </w:pPr>
      <w:r>
        <w:rPr>
          <w:rFonts w:ascii="Bookman Old Style" w:eastAsia="Calibri" w:hAnsi="Bookman Old Style" w:cs="Tahoma"/>
          <w:i/>
          <w:sz w:val="24"/>
          <w:szCs w:val="24"/>
        </w:rPr>
        <w:t xml:space="preserve">9. </w:t>
      </w:r>
      <w:proofErr w:type="gramStart"/>
      <w:r>
        <w:rPr>
          <w:rFonts w:ascii="Bookman Old Style" w:eastAsia="Calibri" w:hAnsi="Bookman Old Style" w:cs="Tahoma"/>
          <w:i/>
          <w:sz w:val="24"/>
          <w:szCs w:val="24"/>
        </w:rPr>
        <w:t>The</w:t>
      </w:r>
      <w:proofErr w:type="gramEnd"/>
      <w:r>
        <w:rPr>
          <w:rFonts w:ascii="Bookman Old Style" w:eastAsia="Calibri" w:hAnsi="Bookman Old Style" w:cs="Tahoma"/>
          <w:i/>
          <w:sz w:val="24"/>
          <w:szCs w:val="24"/>
        </w:rPr>
        <w:t xml:space="preserve"> High court Act, Chapter 27 of the Laws of Zambia</w:t>
      </w:r>
    </w:p>
    <w:p w:rsidR="00743DC1" w:rsidRDefault="00743DC1" w:rsidP="00743DC1">
      <w:pPr>
        <w:rPr>
          <w:rFonts w:ascii="Bookman Old Style" w:eastAsia="Calibri" w:hAnsi="Bookman Old Style" w:cs="Tahoma"/>
          <w:i/>
          <w:sz w:val="24"/>
          <w:szCs w:val="24"/>
        </w:rPr>
      </w:pPr>
    </w:p>
    <w:p w:rsidR="00743DC1" w:rsidRPr="00743DC1" w:rsidRDefault="00743DC1" w:rsidP="00743DC1">
      <w:pPr>
        <w:spacing w:line="360" w:lineRule="auto"/>
        <w:rPr>
          <w:rFonts w:ascii="Bookman Old Style" w:eastAsia="Calibri" w:hAnsi="Bookman Old Style" w:cs="Tahoma"/>
          <w:b/>
          <w:i/>
          <w:sz w:val="24"/>
          <w:szCs w:val="24"/>
          <w:u w:val="single"/>
        </w:rPr>
      </w:pPr>
      <w:r w:rsidRPr="00743DC1">
        <w:rPr>
          <w:rFonts w:ascii="Bookman Old Style" w:eastAsia="Calibri" w:hAnsi="Bookman Old Style" w:cs="Tahoma"/>
          <w:b/>
          <w:i/>
          <w:sz w:val="24"/>
          <w:szCs w:val="24"/>
          <w:u w:val="single"/>
        </w:rPr>
        <w:t>Other authorities referred to:</w:t>
      </w:r>
    </w:p>
    <w:p w:rsidR="00743DC1" w:rsidRDefault="00110035" w:rsidP="00743DC1">
      <w:pPr>
        <w:spacing w:line="360" w:lineRule="auto"/>
        <w:rPr>
          <w:rFonts w:ascii="Bookman Old Style" w:eastAsia="Calibri" w:hAnsi="Bookman Old Style" w:cs="Tahoma"/>
          <w:i/>
          <w:sz w:val="24"/>
          <w:szCs w:val="24"/>
        </w:rPr>
      </w:pPr>
      <w:r>
        <w:rPr>
          <w:rFonts w:ascii="Bookman Old Style" w:eastAsia="Calibri" w:hAnsi="Bookman Old Style" w:cs="Tahoma"/>
          <w:i/>
          <w:sz w:val="24"/>
          <w:szCs w:val="24"/>
        </w:rPr>
        <w:t>10.  Black’s Law Dictionary-</w:t>
      </w:r>
      <w:r w:rsidR="00743DC1">
        <w:rPr>
          <w:rFonts w:ascii="Bookman Old Style" w:eastAsia="Calibri" w:hAnsi="Bookman Old Style" w:cs="Tahoma"/>
          <w:i/>
          <w:sz w:val="24"/>
          <w:szCs w:val="24"/>
        </w:rPr>
        <w:t>eight edition, Brian A. Garner-Thomson West.</w:t>
      </w:r>
    </w:p>
    <w:p w:rsidR="00C2759A" w:rsidRPr="00CA2ED2" w:rsidRDefault="00695524" w:rsidP="00743DC1">
      <w:pPr>
        <w:spacing w:line="360" w:lineRule="auto"/>
        <w:jc w:val="both"/>
        <w:rPr>
          <w:rFonts w:ascii="Bookman Old Style" w:eastAsia="Calibri" w:hAnsi="Bookman Old Style" w:cs="Tahoma"/>
          <w:b/>
          <w:sz w:val="28"/>
          <w:szCs w:val="28"/>
        </w:rPr>
      </w:pPr>
      <w:r>
        <w:rPr>
          <w:rFonts w:ascii="Bookman Old Style" w:eastAsia="Calibri" w:hAnsi="Bookman Old Style" w:cs="Tahoma"/>
          <w:i/>
          <w:sz w:val="24"/>
          <w:szCs w:val="24"/>
        </w:rPr>
        <w:tab/>
      </w:r>
      <w:r w:rsidRPr="00C2759A">
        <w:rPr>
          <w:rFonts w:ascii="Bookman Old Style" w:eastAsia="Calibri" w:hAnsi="Bookman Old Style" w:cs="Tahoma"/>
          <w:sz w:val="28"/>
          <w:szCs w:val="28"/>
        </w:rPr>
        <w:t>This is an application</w:t>
      </w:r>
      <w:r w:rsidR="00C2759A" w:rsidRPr="00C2759A">
        <w:rPr>
          <w:rFonts w:ascii="Bookman Old Style" w:eastAsia="Calibri" w:hAnsi="Bookman Old Style" w:cs="Tahoma"/>
          <w:sz w:val="28"/>
          <w:szCs w:val="28"/>
        </w:rPr>
        <w:t xml:space="preserve"> for an Order to restrain the Respondent from evicting the Applicants pursuant to Sections 13 (a) and Section 23 (1) of the </w:t>
      </w:r>
      <w:r w:rsidR="00C2759A" w:rsidRPr="00CA2ED2">
        <w:rPr>
          <w:rFonts w:ascii="Bookman Old Style" w:eastAsia="Calibri" w:hAnsi="Bookman Old Style" w:cs="Tahoma"/>
          <w:b/>
          <w:sz w:val="28"/>
          <w:szCs w:val="28"/>
        </w:rPr>
        <w:t>Rent Act</w:t>
      </w:r>
      <w:r w:rsidR="00743DC1" w:rsidRPr="00743DC1">
        <w:rPr>
          <w:rFonts w:ascii="Bookman Old Style" w:eastAsia="Calibri" w:hAnsi="Bookman Old Style" w:cs="Tahoma"/>
          <w:b/>
          <w:sz w:val="28"/>
          <w:szCs w:val="28"/>
          <w:vertAlign w:val="superscript"/>
        </w:rPr>
        <w:t>8</w:t>
      </w:r>
      <w:r w:rsidR="00C2759A" w:rsidRPr="00C2759A">
        <w:rPr>
          <w:rFonts w:ascii="Bookman Old Style" w:eastAsia="Calibri" w:hAnsi="Bookman Old Style" w:cs="Tahoma"/>
          <w:sz w:val="28"/>
          <w:szCs w:val="28"/>
        </w:rPr>
        <w:t xml:space="preserve"> and </w:t>
      </w:r>
      <w:r w:rsidR="00C2759A" w:rsidRPr="00CA2ED2">
        <w:rPr>
          <w:rFonts w:ascii="Bookman Old Style" w:eastAsia="Calibri" w:hAnsi="Bookman Old Style" w:cs="Tahoma"/>
          <w:b/>
          <w:sz w:val="28"/>
          <w:szCs w:val="28"/>
        </w:rPr>
        <w:t>Order 27 Rule 4 of the High Court Act</w:t>
      </w:r>
      <w:r w:rsidR="00743DC1" w:rsidRPr="00743DC1">
        <w:rPr>
          <w:rFonts w:ascii="Bookman Old Style" w:eastAsia="Calibri" w:hAnsi="Bookman Old Style" w:cs="Tahoma"/>
          <w:b/>
          <w:sz w:val="28"/>
          <w:szCs w:val="28"/>
          <w:vertAlign w:val="superscript"/>
        </w:rPr>
        <w:t>9</w:t>
      </w:r>
      <w:r w:rsidR="00C2759A" w:rsidRPr="00CA2ED2">
        <w:rPr>
          <w:rFonts w:ascii="Bookman Old Style" w:eastAsia="Calibri" w:hAnsi="Bookman Old Style" w:cs="Tahoma"/>
          <w:b/>
          <w:sz w:val="28"/>
          <w:szCs w:val="28"/>
        </w:rPr>
        <w:t>.</w:t>
      </w:r>
    </w:p>
    <w:p w:rsidR="00C2759A" w:rsidRPr="00C2759A" w:rsidRDefault="00C2759A" w:rsidP="00743DC1">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 xml:space="preserve">The application was commenced </w:t>
      </w:r>
      <w:r w:rsidRPr="00C2759A">
        <w:rPr>
          <w:rFonts w:ascii="Bookman Old Style" w:eastAsia="Calibri" w:hAnsi="Bookman Old Style" w:cs="Tahoma"/>
          <w:sz w:val="28"/>
          <w:szCs w:val="28"/>
        </w:rPr>
        <w:t>by Summons filed on the 11</w:t>
      </w:r>
      <w:r w:rsidRPr="00C2759A">
        <w:rPr>
          <w:rFonts w:ascii="Bookman Old Style" w:eastAsia="Calibri" w:hAnsi="Bookman Old Style" w:cs="Tahoma"/>
          <w:sz w:val="28"/>
          <w:szCs w:val="28"/>
          <w:vertAlign w:val="superscript"/>
        </w:rPr>
        <w:t>th</w:t>
      </w:r>
      <w:r w:rsidRPr="00C2759A">
        <w:rPr>
          <w:rFonts w:ascii="Bookman Old Style" w:eastAsia="Calibri" w:hAnsi="Bookman Old Style" w:cs="Tahoma"/>
          <w:sz w:val="28"/>
          <w:szCs w:val="28"/>
        </w:rPr>
        <w:t xml:space="preserve"> day of April, 2012 supported by a combined affidavit deposed to by Jones </w:t>
      </w:r>
      <w:proofErr w:type="spellStart"/>
      <w:r w:rsidRPr="00C2759A">
        <w:rPr>
          <w:rFonts w:ascii="Bookman Old Style" w:eastAsia="Calibri" w:hAnsi="Bookman Old Style" w:cs="Tahoma"/>
          <w:sz w:val="28"/>
          <w:szCs w:val="28"/>
        </w:rPr>
        <w:t>Siasamba</w:t>
      </w:r>
      <w:proofErr w:type="spellEnd"/>
      <w:r w:rsidRPr="00C2759A">
        <w:rPr>
          <w:rFonts w:ascii="Bookman Old Style" w:eastAsia="Calibri" w:hAnsi="Bookman Old Style" w:cs="Tahoma"/>
          <w:sz w:val="28"/>
          <w:szCs w:val="28"/>
        </w:rPr>
        <w:t>, one of the Applicants, who also filed an affidavit in reply on the 24</w:t>
      </w:r>
      <w:r w:rsidRPr="00C2759A">
        <w:rPr>
          <w:rFonts w:ascii="Bookman Old Style" w:eastAsia="Calibri" w:hAnsi="Bookman Old Style" w:cs="Tahoma"/>
          <w:sz w:val="28"/>
          <w:szCs w:val="28"/>
          <w:vertAlign w:val="superscript"/>
        </w:rPr>
        <w:t>th</w:t>
      </w:r>
      <w:r w:rsidRPr="00C2759A">
        <w:rPr>
          <w:rFonts w:ascii="Bookman Old Style" w:eastAsia="Calibri" w:hAnsi="Bookman Old Style" w:cs="Tahoma"/>
          <w:sz w:val="28"/>
          <w:szCs w:val="28"/>
        </w:rPr>
        <w:t xml:space="preserve"> day of May, 2012.</w:t>
      </w:r>
    </w:p>
    <w:p w:rsidR="00695524" w:rsidRDefault="00C2759A" w:rsidP="00695524">
      <w:pPr>
        <w:spacing w:line="360" w:lineRule="auto"/>
        <w:jc w:val="both"/>
        <w:rPr>
          <w:rFonts w:ascii="Bookman Old Style" w:eastAsia="Calibri" w:hAnsi="Bookman Old Style" w:cs="Tahoma"/>
          <w:sz w:val="28"/>
          <w:szCs w:val="28"/>
        </w:rPr>
      </w:pPr>
      <w:r>
        <w:rPr>
          <w:rFonts w:ascii="Bookman Old Style" w:eastAsia="Calibri" w:hAnsi="Bookman Old Style" w:cs="Tahoma"/>
          <w:i/>
          <w:sz w:val="28"/>
          <w:szCs w:val="28"/>
        </w:rPr>
        <w:tab/>
      </w:r>
      <w:r w:rsidRPr="00C2759A">
        <w:rPr>
          <w:rFonts w:ascii="Bookman Old Style" w:eastAsia="Calibri" w:hAnsi="Bookman Old Style" w:cs="Tahoma"/>
          <w:sz w:val="28"/>
          <w:szCs w:val="28"/>
        </w:rPr>
        <w:t>T</w:t>
      </w:r>
      <w:r>
        <w:rPr>
          <w:rFonts w:ascii="Bookman Old Style" w:eastAsia="Calibri" w:hAnsi="Bookman Old Style" w:cs="Tahoma"/>
          <w:sz w:val="28"/>
          <w:szCs w:val="28"/>
        </w:rPr>
        <w:t xml:space="preserve">he Respondent </w:t>
      </w:r>
      <w:r w:rsidR="00FC39BA">
        <w:rPr>
          <w:rFonts w:ascii="Bookman Old Style" w:eastAsia="Calibri" w:hAnsi="Bookman Old Style" w:cs="Tahoma"/>
          <w:sz w:val="28"/>
          <w:szCs w:val="28"/>
        </w:rPr>
        <w:t xml:space="preserve">Robinson </w:t>
      </w:r>
      <w:proofErr w:type="spellStart"/>
      <w:r w:rsidR="00FC39BA">
        <w:rPr>
          <w:rFonts w:ascii="Bookman Old Style" w:eastAsia="Calibri" w:hAnsi="Bookman Old Style" w:cs="Tahoma"/>
          <w:sz w:val="28"/>
          <w:szCs w:val="28"/>
        </w:rPr>
        <w:t>Kaleb</w:t>
      </w:r>
      <w:proofErr w:type="spellEnd"/>
      <w:r w:rsidR="00FC39BA">
        <w:rPr>
          <w:rFonts w:ascii="Bookman Old Style" w:eastAsia="Calibri" w:hAnsi="Bookman Old Style" w:cs="Tahoma"/>
          <w:sz w:val="28"/>
          <w:szCs w:val="28"/>
        </w:rPr>
        <w:t xml:space="preserve"> Zulu equally </w:t>
      </w:r>
      <w:r>
        <w:rPr>
          <w:rFonts w:ascii="Bookman Old Style" w:eastAsia="Calibri" w:hAnsi="Bookman Old Style" w:cs="Tahoma"/>
          <w:sz w:val="28"/>
          <w:szCs w:val="28"/>
        </w:rPr>
        <w:t>responded by way of a combined affidavit in opposition filed on the 11</w:t>
      </w:r>
      <w:r w:rsidRPr="00C2759A">
        <w:rPr>
          <w:rFonts w:ascii="Bookman Old Style" w:eastAsia="Calibri" w:hAnsi="Bookman Old Style" w:cs="Tahoma"/>
          <w:sz w:val="28"/>
          <w:szCs w:val="28"/>
          <w:vertAlign w:val="superscript"/>
        </w:rPr>
        <w:t>th</w:t>
      </w:r>
      <w:r>
        <w:rPr>
          <w:rFonts w:ascii="Bookman Old Style" w:eastAsia="Calibri" w:hAnsi="Bookman Old Style" w:cs="Tahoma"/>
          <w:sz w:val="28"/>
          <w:szCs w:val="28"/>
        </w:rPr>
        <w:t xml:space="preserve"> day of May, 2012 which was filed together with the Skeleton Arguments.</w:t>
      </w:r>
      <w:r w:rsidR="00695524" w:rsidRPr="00C2759A">
        <w:rPr>
          <w:rFonts w:ascii="Bookman Old Style" w:eastAsia="Calibri" w:hAnsi="Bookman Old Style" w:cs="Tahoma"/>
          <w:sz w:val="28"/>
          <w:szCs w:val="28"/>
        </w:rPr>
        <w:t xml:space="preserve"> </w:t>
      </w:r>
    </w:p>
    <w:p w:rsidR="00C56C4E" w:rsidRDefault="00C56C4E" w:rsidP="0069552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At the hearing of the application on 30</w:t>
      </w:r>
      <w:r w:rsidRPr="00C56C4E">
        <w:rPr>
          <w:rFonts w:ascii="Bookman Old Style" w:eastAsia="Calibri" w:hAnsi="Bookman Old Style" w:cs="Tahoma"/>
          <w:sz w:val="28"/>
          <w:szCs w:val="28"/>
          <w:vertAlign w:val="superscript"/>
        </w:rPr>
        <w:t>th</w:t>
      </w:r>
      <w:r>
        <w:rPr>
          <w:rFonts w:ascii="Bookman Old Style" w:eastAsia="Calibri" w:hAnsi="Bookman Old Style" w:cs="Tahoma"/>
          <w:sz w:val="28"/>
          <w:szCs w:val="28"/>
        </w:rPr>
        <w:t xml:space="preserve"> day of May, 2012, the parties au</w:t>
      </w:r>
      <w:r w:rsidR="00BE1770">
        <w:rPr>
          <w:rFonts w:ascii="Bookman Old Style" w:eastAsia="Calibri" w:hAnsi="Bookman Old Style" w:cs="Tahoma"/>
          <w:sz w:val="28"/>
          <w:szCs w:val="28"/>
        </w:rPr>
        <w:t xml:space="preserve">gmented their affidavits and the Skeleton arguments with oral submissions which were for the most part </w:t>
      </w:r>
      <w:r w:rsidR="00354500">
        <w:rPr>
          <w:rFonts w:ascii="Bookman Old Style" w:eastAsia="Calibri" w:hAnsi="Bookman Old Style" w:cs="Tahoma"/>
          <w:sz w:val="28"/>
          <w:szCs w:val="28"/>
        </w:rPr>
        <w:t xml:space="preserve">in </w:t>
      </w:r>
      <w:r w:rsidR="00BE1770">
        <w:rPr>
          <w:rFonts w:ascii="Bookman Old Style" w:eastAsia="Calibri" w:hAnsi="Bookman Old Style" w:cs="Tahoma"/>
          <w:sz w:val="28"/>
          <w:szCs w:val="28"/>
        </w:rPr>
        <w:t xml:space="preserve">tandem with the </w:t>
      </w:r>
      <w:proofErr w:type="spellStart"/>
      <w:r w:rsidR="00BE1770">
        <w:rPr>
          <w:rFonts w:ascii="Bookman Old Style" w:eastAsia="Calibri" w:hAnsi="Bookman Old Style" w:cs="Tahoma"/>
          <w:sz w:val="28"/>
          <w:szCs w:val="28"/>
        </w:rPr>
        <w:t>aforestated</w:t>
      </w:r>
      <w:proofErr w:type="spellEnd"/>
      <w:r w:rsidR="00BE1770">
        <w:rPr>
          <w:rFonts w:ascii="Bookman Old Style" w:eastAsia="Calibri" w:hAnsi="Bookman Old Style" w:cs="Tahoma"/>
          <w:sz w:val="28"/>
          <w:szCs w:val="28"/>
        </w:rPr>
        <w:t xml:space="preserve"> respective affidavits and Skeleton arguments.</w:t>
      </w:r>
    </w:p>
    <w:p w:rsidR="00BE1770" w:rsidRDefault="00BE1770" w:rsidP="0069552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 xml:space="preserve">In the combined affidavit in support of </w:t>
      </w:r>
      <w:r w:rsidR="00354500">
        <w:rPr>
          <w:rFonts w:ascii="Bookman Old Style" w:eastAsia="Calibri" w:hAnsi="Bookman Old Style" w:cs="Tahoma"/>
          <w:sz w:val="28"/>
          <w:szCs w:val="28"/>
        </w:rPr>
        <w:t xml:space="preserve">the application the Applicants </w:t>
      </w:r>
      <w:proofErr w:type="spellStart"/>
      <w:r w:rsidR="00354500">
        <w:rPr>
          <w:rFonts w:ascii="Bookman Old Style" w:eastAsia="Calibri" w:hAnsi="Bookman Old Style" w:cs="Tahoma"/>
          <w:sz w:val="28"/>
          <w:szCs w:val="28"/>
        </w:rPr>
        <w:t>a</w:t>
      </w:r>
      <w:r>
        <w:rPr>
          <w:rFonts w:ascii="Bookman Old Style" w:eastAsia="Calibri" w:hAnsi="Bookman Old Style" w:cs="Tahoma"/>
          <w:sz w:val="28"/>
          <w:szCs w:val="28"/>
        </w:rPr>
        <w:t>ver</w:t>
      </w:r>
      <w:r w:rsidR="00354500">
        <w:rPr>
          <w:rFonts w:ascii="Bookman Old Style" w:eastAsia="Calibri" w:hAnsi="Bookman Old Style" w:cs="Tahoma"/>
          <w:sz w:val="28"/>
          <w:szCs w:val="28"/>
        </w:rPr>
        <w:t>ed</w:t>
      </w:r>
      <w:proofErr w:type="spellEnd"/>
      <w:r>
        <w:rPr>
          <w:rFonts w:ascii="Bookman Old Style" w:eastAsia="Calibri" w:hAnsi="Bookman Old Style" w:cs="Tahoma"/>
          <w:sz w:val="28"/>
          <w:szCs w:val="28"/>
        </w:rPr>
        <w:t xml:space="preserve"> that they are seventeen in number and they are Tenants at S/D1 of S/D2 of Farm 397 a Lusaka (hereinafter called </w:t>
      </w:r>
      <w:r w:rsidR="00354500">
        <w:rPr>
          <w:rFonts w:ascii="Bookman Old Style" w:eastAsia="Calibri" w:hAnsi="Bookman Old Style" w:cs="Tahoma"/>
          <w:sz w:val="28"/>
          <w:szCs w:val="28"/>
        </w:rPr>
        <w:lastRenderedPageBreak/>
        <w:t>“</w:t>
      </w:r>
      <w:proofErr w:type="spellStart"/>
      <w:r w:rsidR="00354500">
        <w:rPr>
          <w:rFonts w:ascii="Bookman Old Style" w:eastAsia="Calibri" w:hAnsi="Bookman Old Style" w:cs="Tahoma"/>
          <w:sz w:val="28"/>
          <w:szCs w:val="28"/>
        </w:rPr>
        <w:t>Makeni</w:t>
      </w:r>
      <w:proofErr w:type="spellEnd"/>
      <w:r w:rsidR="00354500">
        <w:rPr>
          <w:rFonts w:ascii="Bookman Old Style" w:eastAsia="Calibri" w:hAnsi="Bookman Old Style" w:cs="Tahoma"/>
          <w:sz w:val="28"/>
          <w:szCs w:val="28"/>
        </w:rPr>
        <w:t xml:space="preserve"> Villas</w:t>
      </w:r>
      <w:r>
        <w:rPr>
          <w:rFonts w:ascii="Bookman Old Style" w:eastAsia="Calibri" w:hAnsi="Bookman Old Style" w:cs="Tahoma"/>
          <w:sz w:val="28"/>
          <w:szCs w:val="28"/>
        </w:rPr>
        <w:t>”)</w:t>
      </w:r>
      <w:r w:rsidR="00354500">
        <w:rPr>
          <w:rFonts w:ascii="Bookman Old Style" w:eastAsia="Calibri" w:hAnsi="Bookman Old Style" w:cs="Tahoma"/>
          <w:sz w:val="28"/>
          <w:szCs w:val="28"/>
        </w:rPr>
        <w:t>.</w:t>
      </w:r>
      <w:r>
        <w:rPr>
          <w:rFonts w:ascii="Bookman Old Style" w:eastAsia="Calibri" w:hAnsi="Bookman Old Style" w:cs="Tahoma"/>
          <w:sz w:val="28"/>
          <w:szCs w:val="28"/>
        </w:rPr>
        <w:t xml:space="preserve"> Previously, on the 8</w:t>
      </w:r>
      <w:r w:rsidRPr="00BE1770">
        <w:rPr>
          <w:rFonts w:ascii="Bookman Old Style" w:eastAsia="Calibri" w:hAnsi="Bookman Old Style" w:cs="Tahoma"/>
          <w:sz w:val="28"/>
          <w:szCs w:val="28"/>
          <w:vertAlign w:val="superscript"/>
        </w:rPr>
        <w:t>th</w:t>
      </w:r>
      <w:r>
        <w:rPr>
          <w:rFonts w:ascii="Bookman Old Style" w:eastAsia="Calibri" w:hAnsi="Bookman Old Style" w:cs="Tahoma"/>
          <w:sz w:val="28"/>
          <w:szCs w:val="28"/>
        </w:rPr>
        <w:t xml:space="preserve"> day of May 2008, the Applicants had entered</w:t>
      </w:r>
      <w:r w:rsidR="00A60ACD">
        <w:rPr>
          <w:rFonts w:ascii="Bookman Old Style" w:eastAsia="Calibri" w:hAnsi="Bookman Old Style" w:cs="Tahoma"/>
          <w:sz w:val="28"/>
          <w:szCs w:val="28"/>
        </w:rPr>
        <w:t xml:space="preserve"> into a lease agreement with the previous Landlord, </w:t>
      </w:r>
      <w:proofErr w:type="spellStart"/>
      <w:r w:rsidR="00A60ACD">
        <w:rPr>
          <w:rFonts w:ascii="Bookman Old Style" w:eastAsia="Calibri" w:hAnsi="Bookman Old Style" w:cs="Tahoma"/>
          <w:sz w:val="28"/>
          <w:szCs w:val="28"/>
        </w:rPr>
        <w:t>Workcom</w:t>
      </w:r>
      <w:proofErr w:type="spellEnd"/>
      <w:r w:rsidR="00A60ACD">
        <w:rPr>
          <w:rFonts w:ascii="Bookman Old Style" w:eastAsia="Calibri" w:hAnsi="Bookman Old Style" w:cs="Tahoma"/>
          <w:sz w:val="28"/>
          <w:szCs w:val="28"/>
        </w:rPr>
        <w:t xml:space="preserve"> Pension Registered Trustees.</w:t>
      </w:r>
    </w:p>
    <w:p w:rsidR="00A60ACD" w:rsidRDefault="00A60ACD" w:rsidP="0069552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That on the 11</w:t>
      </w:r>
      <w:r w:rsidRPr="00A60ACD">
        <w:rPr>
          <w:rFonts w:ascii="Bookman Old Style" w:eastAsia="Calibri" w:hAnsi="Bookman Old Style" w:cs="Tahoma"/>
          <w:sz w:val="28"/>
          <w:szCs w:val="28"/>
          <w:vertAlign w:val="superscript"/>
        </w:rPr>
        <w:t>th</w:t>
      </w:r>
      <w:r>
        <w:rPr>
          <w:rFonts w:ascii="Bookman Old Style" w:eastAsia="Calibri" w:hAnsi="Bookman Old Style" w:cs="Tahoma"/>
          <w:sz w:val="28"/>
          <w:szCs w:val="28"/>
        </w:rPr>
        <w:t xml:space="preserve"> day of August 2011, the App</w:t>
      </w:r>
      <w:r w:rsidR="00DD6683">
        <w:rPr>
          <w:rFonts w:ascii="Bookman Old Style" w:eastAsia="Calibri" w:hAnsi="Bookman Old Style" w:cs="Tahoma"/>
          <w:sz w:val="28"/>
          <w:szCs w:val="28"/>
        </w:rPr>
        <w:t>licants received an introductory letter stating the</w:t>
      </w:r>
      <w:r w:rsidR="00110035">
        <w:rPr>
          <w:rFonts w:ascii="Bookman Old Style" w:eastAsia="Calibri" w:hAnsi="Bookman Old Style" w:cs="Tahoma"/>
          <w:sz w:val="28"/>
          <w:szCs w:val="28"/>
        </w:rPr>
        <w:t xml:space="preserve"> Respondent as the new Landlord, </w:t>
      </w:r>
      <w:r w:rsidR="00DD6683">
        <w:rPr>
          <w:rFonts w:ascii="Bookman Old Style" w:eastAsia="Calibri" w:hAnsi="Bookman Old Style" w:cs="Tahoma"/>
          <w:sz w:val="28"/>
          <w:szCs w:val="28"/>
        </w:rPr>
        <w:t xml:space="preserve">having purchased </w:t>
      </w:r>
      <w:proofErr w:type="spellStart"/>
      <w:r w:rsidR="00DD6683">
        <w:rPr>
          <w:rFonts w:ascii="Bookman Old Style" w:eastAsia="Calibri" w:hAnsi="Bookman Old Style" w:cs="Tahoma"/>
          <w:sz w:val="28"/>
          <w:szCs w:val="28"/>
        </w:rPr>
        <w:t>Makeni</w:t>
      </w:r>
      <w:proofErr w:type="spellEnd"/>
      <w:r w:rsidR="00DD6683">
        <w:rPr>
          <w:rFonts w:ascii="Bookman Old Style" w:eastAsia="Calibri" w:hAnsi="Bookman Old Style" w:cs="Tahoma"/>
          <w:sz w:val="28"/>
          <w:szCs w:val="28"/>
        </w:rPr>
        <w:t xml:space="preserve"> Villas with effect from the 1</w:t>
      </w:r>
      <w:r w:rsidR="00DD6683" w:rsidRPr="00DD6683">
        <w:rPr>
          <w:rFonts w:ascii="Bookman Old Style" w:eastAsia="Calibri" w:hAnsi="Bookman Old Style" w:cs="Tahoma"/>
          <w:sz w:val="28"/>
          <w:szCs w:val="28"/>
          <w:vertAlign w:val="superscript"/>
        </w:rPr>
        <w:t>st</w:t>
      </w:r>
      <w:r w:rsidR="00DD6683">
        <w:rPr>
          <w:rFonts w:ascii="Bookman Old Style" w:eastAsia="Calibri" w:hAnsi="Bookman Old Style" w:cs="Tahoma"/>
          <w:sz w:val="28"/>
          <w:szCs w:val="28"/>
        </w:rPr>
        <w:t xml:space="preserve"> day of August, 2011 and that all rental payments were with effect from the 11</w:t>
      </w:r>
      <w:r w:rsidR="00DD6683" w:rsidRPr="00DD6683">
        <w:rPr>
          <w:rFonts w:ascii="Bookman Old Style" w:eastAsia="Calibri" w:hAnsi="Bookman Old Style" w:cs="Tahoma"/>
          <w:sz w:val="28"/>
          <w:szCs w:val="28"/>
          <w:vertAlign w:val="superscript"/>
        </w:rPr>
        <w:t>th</w:t>
      </w:r>
      <w:r w:rsidR="00DD6683">
        <w:rPr>
          <w:rFonts w:ascii="Bookman Old Style" w:eastAsia="Calibri" w:hAnsi="Bookman Old Style" w:cs="Tahoma"/>
          <w:sz w:val="28"/>
          <w:szCs w:val="28"/>
        </w:rPr>
        <w:t xml:space="preserve"> day of August, 2011 to be made to the Respondent.</w:t>
      </w:r>
    </w:p>
    <w:p w:rsidR="00876870" w:rsidRDefault="00DD6683" w:rsidP="0069552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 xml:space="preserve">The Respondent’s agent, the Senior Legal Officer Mr. Max </w:t>
      </w:r>
      <w:proofErr w:type="spellStart"/>
      <w:r>
        <w:rPr>
          <w:rFonts w:ascii="Bookman Old Style" w:eastAsia="Calibri" w:hAnsi="Bookman Old Style" w:cs="Tahoma"/>
          <w:sz w:val="28"/>
          <w:szCs w:val="28"/>
        </w:rPr>
        <w:t>Chilinda</w:t>
      </w:r>
      <w:proofErr w:type="spellEnd"/>
      <w:r>
        <w:rPr>
          <w:rFonts w:ascii="Bookman Old Style" w:eastAsia="Calibri" w:hAnsi="Bookman Old Style" w:cs="Tahoma"/>
          <w:sz w:val="28"/>
          <w:szCs w:val="28"/>
        </w:rPr>
        <w:t xml:space="preserve"> vide letter dated 14</w:t>
      </w:r>
      <w:r w:rsidRPr="00DD6683">
        <w:rPr>
          <w:rFonts w:ascii="Bookman Old Style" w:eastAsia="Calibri" w:hAnsi="Bookman Old Style" w:cs="Tahoma"/>
          <w:sz w:val="28"/>
          <w:szCs w:val="28"/>
          <w:vertAlign w:val="superscript"/>
        </w:rPr>
        <w:t>th</w:t>
      </w:r>
      <w:r>
        <w:rPr>
          <w:rFonts w:ascii="Bookman Old Style" w:eastAsia="Calibri" w:hAnsi="Bookman Old Style" w:cs="Tahoma"/>
          <w:sz w:val="28"/>
          <w:szCs w:val="28"/>
        </w:rPr>
        <w:t xml:space="preserve"> day of November, 2011 wrote to all the Applicants giving notice of the improvements to be undertaken on the property and notice of new tenancy agreements reflecting a 90% rental increment effective 14</w:t>
      </w:r>
      <w:r w:rsidRPr="00DD6683">
        <w:rPr>
          <w:rFonts w:ascii="Bookman Old Style" w:eastAsia="Calibri" w:hAnsi="Bookman Old Style" w:cs="Tahoma"/>
          <w:sz w:val="28"/>
          <w:szCs w:val="28"/>
          <w:vertAlign w:val="superscript"/>
        </w:rPr>
        <w:t>th</w:t>
      </w:r>
      <w:r>
        <w:rPr>
          <w:rFonts w:ascii="Bookman Old Style" w:eastAsia="Calibri" w:hAnsi="Bookman Old Style" w:cs="Tahoma"/>
          <w:sz w:val="28"/>
          <w:szCs w:val="28"/>
        </w:rPr>
        <w:t xml:space="preserve"> February, 2012.  That subsequently on the 15</w:t>
      </w:r>
      <w:r w:rsidRPr="00DD6683">
        <w:rPr>
          <w:rFonts w:ascii="Bookman Old Style" w:eastAsia="Calibri" w:hAnsi="Bookman Old Style" w:cs="Tahoma"/>
          <w:sz w:val="28"/>
          <w:szCs w:val="28"/>
          <w:vertAlign w:val="superscript"/>
        </w:rPr>
        <w:t>th</w:t>
      </w:r>
      <w:r>
        <w:rPr>
          <w:rFonts w:ascii="Bookman Old Style" w:eastAsia="Calibri" w:hAnsi="Bookman Old Style" w:cs="Tahoma"/>
          <w:sz w:val="28"/>
          <w:szCs w:val="28"/>
        </w:rPr>
        <w:t xml:space="preserve"> day of February, 2012 the Respondent sent new tenancy agreements reflecting a 90% increment to the rentals, which led to the Applicants requesting the Landlord and Tenant Information and Referral Centre (LTIRC) to write to the Respondent to</w:t>
      </w:r>
      <w:r w:rsidR="00876870">
        <w:rPr>
          <w:rFonts w:ascii="Bookman Old Style" w:eastAsia="Calibri" w:hAnsi="Bookman Old Style" w:cs="Tahoma"/>
          <w:sz w:val="28"/>
          <w:szCs w:val="28"/>
        </w:rPr>
        <w:t xml:space="preserve"> request for a meeting with the Respondent in order to address the issue</w:t>
      </w:r>
      <w:r w:rsidR="00354500">
        <w:rPr>
          <w:rFonts w:ascii="Bookman Old Style" w:eastAsia="Calibri" w:hAnsi="Bookman Old Style" w:cs="Tahoma"/>
          <w:sz w:val="28"/>
          <w:szCs w:val="28"/>
        </w:rPr>
        <w:t>s</w:t>
      </w:r>
      <w:r w:rsidR="00876870">
        <w:rPr>
          <w:rFonts w:ascii="Bookman Old Style" w:eastAsia="Calibri" w:hAnsi="Bookman Old Style" w:cs="Tahoma"/>
          <w:sz w:val="28"/>
          <w:szCs w:val="28"/>
        </w:rPr>
        <w:t xml:space="preserve"> of the rental increment and general maintenance of the </w:t>
      </w:r>
      <w:proofErr w:type="spellStart"/>
      <w:r w:rsidR="00876870">
        <w:rPr>
          <w:rFonts w:ascii="Bookman Old Style" w:eastAsia="Calibri" w:hAnsi="Bookman Old Style" w:cs="Tahoma"/>
          <w:sz w:val="28"/>
          <w:szCs w:val="28"/>
        </w:rPr>
        <w:t>Makeni</w:t>
      </w:r>
      <w:proofErr w:type="spellEnd"/>
      <w:r w:rsidR="00876870">
        <w:rPr>
          <w:rFonts w:ascii="Bookman Old Style" w:eastAsia="Calibri" w:hAnsi="Bookman Old Style" w:cs="Tahoma"/>
          <w:sz w:val="28"/>
          <w:szCs w:val="28"/>
        </w:rPr>
        <w:t xml:space="preserve"> Villas.</w:t>
      </w:r>
    </w:p>
    <w:p w:rsidR="00876870" w:rsidRDefault="00876870" w:rsidP="0069552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According to the Applicants, they refused to sign the new leases and opted to meet the Respondent to discuss the way forward.</w:t>
      </w:r>
    </w:p>
    <w:p w:rsidR="00876870" w:rsidRDefault="00876870" w:rsidP="0069552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lastRenderedPageBreak/>
        <w:tab/>
        <w:t>However, the Respondent was adamant and made it clear that failure to sign the new lease agreements would lead to evictions.</w:t>
      </w:r>
    </w:p>
    <w:p w:rsidR="00CB6794" w:rsidRDefault="00876870" w:rsidP="0069552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The Applicants have averred that</w:t>
      </w:r>
      <w:r w:rsidR="00DD6683">
        <w:rPr>
          <w:rFonts w:ascii="Bookman Old Style" w:eastAsia="Calibri" w:hAnsi="Bookman Old Style" w:cs="Tahoma"/>
          <w:sz w:val="28"/>
          <w:szCs w:val="28"/>
        </w:rPr>
        <w:t xml:space="preserve"> </w:t>
      </w:r>
      <w:r>
        <w:rPr>
          <w:rFonts w:ascii="Bookman Old Style" w:eastAsia="Calibri" w:hAnsi="Bookman Old Style" w:cs="Tahoma"/>
          <w:sz w:val="28"/>
          <w:szCs w:val="28"/>
        </w:rPr>
        <w:t>the Respondent has not carried out any of the promised structural improvements and therefore the purported rental increments are unreasonable, unwarranted and illegal.  That the Respondent has consistently threatened the Applicants with evictio</w:t>
      </w:r>
      <w:r w:rsidR="00110035">
        <w:rPr>
          <w:rFonts w:ascii="Bookman Old Style" w:eastAsia="Calibri" w:hAnsi="Bookman Old Style" w:cs="Tahoma"/>
          <w:sz w:val="28"/>
          <w:szCs w:val="28"/>
        </w:rPr>
        <w:t>n for refusing to sign the new t</w:t>
      </w:r>
      <w:r>
        <w:rPr>
          <w:rFonts w:ascii="Bookman Old Style" w:eastAsia="Calibri" w:hAnsi="Bookman Old Style" w:cs="Tahoma"/>
          <w:sz w:val="28"/>
          <w:szCs w:val="28"/>
        </w:rPr>
        <w:t>enancy agreements which the Applicants are contesting as they feel the rental increment is unconscionable and unreasonable as it is without any corre</w:t>
      </w:r>
      <w:r w:rsidR="00CB6794">
        <w:rPr>
          <w:rFonts w:ascii="Bookman Old Style" w:eastAsia="Calibri" w:hAnsi="Bookman Old Style" w:cs="Tahoma"/>
          <w:sz w:val="28"/>
          <w:szCs w:val="28"/>
        </w:rPr>
        <w:t>sponding improvement to the property.</w:t>
      </w:r>
    </w:p>
    <w:p w:rsidR="00CB6794" w:rsidRDefault="00CB6794" w:rsidP="0069552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 xml:space="preserve">Counsel for the Applicants submitted that this is a unique and peculiar application as it is made pursuant to the </w:t>
      </w:r>
      <w:r w:rsidRPr="00354500">
        <w:rPr>
          <w:rFonts w:ascii="Bookman Old Style" w:eastAsia="Calibri" w:hAnsi="Bookman Old Style" w:cs="Tahoma"/>
          <w:b/>
          <w:sz w:val="28"/>
          <w:szCs w:val="28"/>
        </w:rPr>
        <w:t>Rent Act</w:t>
      </w:r>
      <w:r w:rsidR="00354500" w:rsidRPr="00354500">
        <w:rPr>
          <w:rFonts w:ascii="Bookman Old Style" w:eastAsia="Calibri" w:hAnsi="Bookman Old Style" w:cs="Tahoma"/>
          <w:b/>
          <w:sz w:val="28"/>
          <w:szCs w:val="28"/>
          <w:vertAlign w:val="superscript"/>
        </w:rPr>
        <w:t>8</w:t>
      </w:r>
      <w:r w:rsidR="00354500">
        <w:rPr>
          <w:rFonts w:ascii="Bookman Old Style" w:eastAsia="Calibri" w:hAnsi="Bookman Old Style" w:cs="Tahoma"/>
          <w:sz w:val="28"/>
          <w:szCs w:val="28"/>
        </w:rPr>
        <w:t>, an Act of P</w:t>
      </w:r>
      <w:r>
        <w:rPr>
          <w:rFonts w:ascii="Bookman Old Style" w:eastAsia="Calibri" w:hAnsi="Bookman Old Style" w:cs="Tahoma"/>
          <w:sz w:val="28"/>
          <w:szCs w:val="28"/>
        </w:rPr>
        <w:t>arliament</w:t>
      </w:r>
      <w:proofErr w:type="gramStart"/>
      <w:r>
        <w:rPr>
          <w:rFonts w:ascii="Bookman Old Style" w:eastAsia="Calibri" w:hAnsi="Bookman Old Style" w:cs="Tahoma"/>
          <w:sz w:val="28"/>
          <w:szCs w:val="28"/>
        </w:rPr>
        <w:t xml:space="preserve">, </w:t>
      </w:r>
      <w:r w:rsidR="00354500">
        <w:rPr>
          <w:rFonts w:ascii="Bookman Old Style" w:eastAsia="Calibri" w:hAnsi="Bookman Old Style" w:cs="Tahoma"/>
          <w:sz w:val="28"/>
          <w:szCs w:val="28"/>
        </w:rPr>
        <w:t xml:space="preserve"> </w:t>
      </w:r>
      <w:r>
        <w:rPr>
          <w:rFonts w:ascii="Bookman Old Style" w:eastAsia="Calibri" w:hAnsi="Bookman Old Style" w:cs="Tahoma"/>
          <w:sz w:val="28"/>
          <w:szCs w:val="28"/>
        </w:rPr>
        <w:t>that</w:t>
      </w:r>
      <w:proofErr w:type="gramEnd"/>
      <w:r>
        <w:rPr>
          <w:rFonts w:ascii="Bookman Old Style" w:eastAsia="Calibri" w:hAnsi="Bookman Old Style" w:cs="Tahoma"/>
          <w:sz w:val="28"/>
          <w:szCs w:val="28"/>
        </w:rPr>
        <w:t xml:space="preserve"> is set to protect Tenants.</w:t>
      </w:r>
    </w:p>
    <w:p w:rsidR="00CB6794" w:rsidRDefault="00CB6794" w:rsidP="0069552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 xml:space="preserve">Counsel relied on the case of </w:t>
      </w:r>
      <w:r w:rsidRPr="00CB6794">
        <w:rPr>
          <w:rFonts w:ascii="Bookman Old Style" w:eastAsia="Calibri" w:hAnsi="Bookman Old Style" w:cs="Tahoma"/>
          <w:b/>
          <w:u w:val="single"/>
        </w:rPr>
        <w:t xml:space="preserve">Lily Drake v. MBL </w:t>
      </w:r>
      <w:proofErr w:type="spellStart"/>
      <w:r w:rsidRPr="00CB6794">
        <w:rPr>
          <w:rFonts w:ascii="Bookman Old Style" w:eastAsia="Calibri" w:hAnsi="Bookman Old Style" w:cs="Tahoma"/>
          <w:b/>
          <w:u w:val="single"/>
        </w:rPr>
        <w:t>Mahtani</w:t>
      </w:r>
      <w:proofErr w:type="spellEnd"/>
      <w:r w:rsidRPr="00CB6794">
        <w:rPr>
          <w:rFonts w:ascii="Bookman Old Style" w:eastAsia="Calibri" w:hAnsi="Bookman Old Style" w:cs="Tahoma"/>
          <w:b/>
          <w:u w:val="single"/>
        </w:rPr>
        <w:t xml:space="preserve">, and Professional Services </w:t>
      </w:r>
      <w:proofErr w:type="gramStart"/>
      <w:r w:rsidRPr="00CB6794">
        <w:rPr>
          <w:rFonts w:ascii="Bookman Old Style" w:eastAsia="Calibri" w:hAnsi="Bookman Old Style" w:cs="Tahoma"/>
          <w:b/>
          <w:u w:val="single"/>
        </w:rPr>
        <w:t>Limited</w:t>
      </w:r>
      <w:r w:rsidRPr="00CB6794">
        <w:rPr>
          <w:rFonts w:ascii="Bookman Old Style" w:eastAsia="Calibri" w:hAnsi="Bookman Old Style" w:cs="Tahoma"/>
          <w:b/>
          <w:u w:val="single"/>
          <w:vertAlign w:val="superscript"/>
        </w:rPr>
        <w:t>1</w:t>
      </w:r>
      <w:r>
        <w:rPr>
          <w:rFonts w:ascii="Bookman Old Style" w:eastAsia="Calibri" w:hAnsi="Bookman Old Style" w:cs="Tahoma"/>
          <w:b/>
          <w:u w:val="single"/>
        </w:rPr>
        <w:t xml:space="preserve">  </w:t>
      </w:r>
      <w:r w:rsidRPr="00CB6794">
        <w:rPr>
          <w:rFonts w:ascii="Bookman Old Style" w:eastAsia="Calibri" w:hAnsi="Bookman Old Style" w:cs="Tahoma"/>
          <w:sz w:val="28"/>
          <w:szCs w:val="28"/>
        </w:rPr>
        <w:t>where</w:t>
      </w:r>
      <w:proofErr w:type="gramEnd"/>
      <w:r>
        <w:rPr>
          <w:rFonts w:ascii="Bookman Old Style" w:eastAsia="Calibri" w:hAnsi="Bookman Old Style" w:cs="Tahoma"/>
          <w:sz w:val="28"/>
          <w:szCs w:val="28"/>
        </w:rPr>
        <w:t xml:space="preserve"> the Supreme Co</w:t>
      </w:r>
      <w:r w:rsidR="007663A0">
        <w:rPr>
          <w:rFonts w:ascii="Bookman Old Style" w:eastAsia="Calibri" w:hAnsi="Bookman Old Style" w:cs="Tahoma"/>
          <w:sz w:val="28"/>
          <w:szCs w:val="28"/>
        </w:rPr>
        <w:t>urt held inter alia that the tru</w:t>
      </w:r>
      <w:r>
        <w:rPr>
          <w:rFonts w:ascii="Bookman Old Style" w:eastAsia="Calibri" w:hAnsi="Bookman Old Style" w:cs="Tahoma"/>
          <w:sz w:val="28"/>
          <w:szCs w:val="28"/>
        </w:rPr>
        <w:t xml:space="preserve">e purpose of the </w:t>
      </w:r>
      <w:r w:rsidRPr="007663A0">
        <w:rPr>
          <w:rFonts w:ascii="Bookman Old Style" w:eastAsia="Calibri" w:hAnsi="Bookman Old Style" w:cs="Tahoma"/>
          <w:b/>
          <w:sz w:val="28"/>
          <w:szCs w:val="28"/>
        </w:rPr>
        <w:t>Rent Act</w:t>
      </w:r>
      <w:r w:rsidR="007663A0" w:rsidRPr="007663A0">
        <w:rPr>
          <w:rFonts w:ascii="Bookman Old Style" w:eastAsia="Calibri" w:hAnsi="Bookman Old Style" w:cs="Tahoma"/>
          <w:b/>
          <w:sz w:val="28"/>
          <w:szCs w:val="28"/>
          <w:vertAlign w:val="superscript"/>
        </w:rPr>
        <w:t>8</w:t>
      </w:r>
      <w:r>
        <w:rPr>
          <w:rFonts w:ascii="Bookman Old Style" w:eastAsia="Calibri" w:hAnsi="Bookman Old Style" w:cs="Tahoma"/>
          <w:sz w:val="28"/>
          <w:szCs w:val="28"/>
        </w:rPr>
        <w:t xml:space="preserve"> is to protect Tenants.</w:t>
      </w:r>
    </w:p>
    <w:p w:rsidR="00CB6794" w:rsidRDefault="00CB6794" w:rsidP="0069552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Counsel for the Applicants submitted that most of the Applicants are up to date with rental payments and there is a firm undertaking that payments from those who have not paid will be made.</w:t>
      </w:r>
    </w:p>
    <w:p w:rsidR="00CB6794" w:rsidRDefault="00CB6794" w:rsidP="0069552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 xml:space="preserve">That the applicants therefore qualify to have their status as Statutory Tenants pursuant to Section 23 of the </w:t>
      </w:r>
      <w:r w:rsidRPr="007663A0">
        <w:rPr>
          <w:rFonts w:ascii="Bookman Old Style" w:eastAsia="Calibri" w:hAnsi="Bookman Old Style" w:cs="Tahoma"/>
          <w:b/>
          <w:sz w:val="28"/>
          <w:szCs w:val="28"/>
        </w:rPr>
        <w:t>Rent Act</w:t>
      </w:r>
      <w:r w:rsidR="007663A0" w:rsidRPr="007663A0">
        <w:rPr>
          <w:rFonts w:ascii="Bookman Old Style" w:eastAsia="Calibri" w:hAnsi="Bookman Old Style" w:cs="Tahoma"/>
          <w:b/>
          <w:sz w:val="28"/>
          <w:szCs w:val="28"/>
          <w:vertAlign w:val="superscript"/>
        </w:rPr>
        <w:t>8</w:t>
      </w:r>
      <w:r>
        <w:rPr>
          <w:rFonts w:ascii="Bookman Old Style" w:eastAsia="Calibri" w:hAnsi="Bookman Old Style" w:cs="Tahoma"/>
          <w:sz w:val="28"/>
          <w:szCs w:val="28"/>
        </w:rPr>
        <w:t xml:space="preserve"> and should therefore be protected by an order restraining the </w:t>
      </w:r>
      <w:r>
        <w:rPr>
          <w:rFonts w:ascii="Bookman Old Style" w:eastAsia="Calibri" w:hAnsi="Bookman Old Style" w:cs="Tahoma"/>
          <w:sz w:val="28"/>
          <w:szCs w:val="28"/>
        </w:rPr>
        <w:lastRenderedPageBreak/>
        <w:t>Respondent from evicting them before the substantive matter is resolved.</w:t>
      </w:r>
    </w:p>
    <w:p w:rsidR="00CB6794" w:rsidRDefault="00CB6794" w:rsidP="0069552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It is Counsel’s contention that the breach of a statutory matter in itself will spell irreparable injury to the Applicants</w:t>
      </w:r>
      <w:r w:rsidRPr="00DA220A">
        <w:rPr>
          <w:rFonts w:ascii="Bookman Old Style" w:eastAsia="Calibri" w:hAnsi="Bookman Old Style" w:cs="Tahoma"/>
          <w:sz w:val="28"/>
          <w:szCs w:val="28"/>
        </w:rPr>
        <w:t>.  He urged</w:t>
      </w:r>
      <w:r w:rsidR="00DA220A" w:rsidRPr="00DA220A">
        <w:rPr>
          <w:rFonts w:ascii="Bookman Old Style" w:eastAsia="Calibri" w:hAnsi="Bookman Old Style" w:cs="Tahoma"/>
          <w:sz w:val="28"/>
          <w:szCs w:val="28"/>
        </w:rPr>
        <w:t xml:space="preserve"> this Court to grant the application</w:t>
      </w:r>
      <w:r w:rsidR="00DA220A">
        <w:rPr>
          <w:rFonts w:ascii="Bookman Old Style" w:eastAsia="Calibri" w:hAnsi="Bookman Old Style" w:cs="Tahoma"/>
          <w:sz w:val="28"/>
          <w:szCs w:val="28"/>
        </w:rPr>
        <w:t>.</w:t>
      </w:r>
    </w:p>
    <w:p w:rsidR="00DA220A" w:rsidRDefault="00DA220A" w:rsidP="0069552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In response, Counsel for the Respondent in the Skeleton arguments began by giving a brief background which gave rise to issues herein.</w:t>
      </w:r>
    </w:p>
    <w:p w:rsidR="00DA220A" w:rsidRDefault="00DA220A" w:rsidP="0069552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 xml:space="preserve">According to Counsel, the Respondent purchased </w:t>
      </w:r>
      <w:proofErr w:type="spellStart"/>
      <w:r>
        <w:rPr>
          <w:rFonts w:ascii="Bookman Old Style" w:eastAsia="Calibri" w:hAnsi="Bookman Old Style" w:cs="Tahoma"/>
          <w:sz w:val="28"/>
          <w:szCs w:val="28"/>
        </w:rPr>
        <w:t>Makeni</w:t>
      </w:r>
      <w:proofErr w:type="spellEnd"/>
      <w:r>
        <w:rPr>
          <w:rFonts w:ascii="Bookman Old Style" w:eastAsia="Calibri" w:hAnsi="Bookman Old Style" w:cs="Tahoma"/>
          <w:sz w:val="28"/>
          <w:szCs w:val="28"/>
        </w:rPr>
        <w:t xml:space="preserve"> Villas from </w:t>
      </w:r>
      <w:proofErr w:type="spellStart"/>
      <w:r>
        <w:rPr>
          <w:rFonts w:ascii="Bookman Old Style" w:eastAsia="Calibri" w:hAnsi="Bookman Old Style" w:cs="Tahoma"/>
          <w:sz w:val="28"/>
          <w:szCs w:val="28"/>
        </w:rPr>
        <w:t>Workcom</w:t>
      </w:r>
      <w:proofErr w:type="spellEnd"/>
      <w:r>
        <w:rPr>
          <w:rFonts w:ascii="Bookman Old Style" w:eastAsia="Calibri" w:hAnsi="Bookman Old Style" w:cs="Tahoma"/>
          <w:sz w:val="28"/>
          <w:szCs w:val="28"/>
        </w:rPr>
        <w:t xml:space="preserve"> Pension Registered Trustees in August, 2011 and as such the Applicants Tenancy Agreements with the previous owner expired on July, 2011.</w:t>
      </w:r>
    </w:p>
    <w:p w:rsidR="00DA220A" w:rsidRDefault="00DA220A" w:rsidP="0069552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In November 2011, the Respondent informed the Applicants of the changes that were to take place and emphasized on the need for all the Tenants to be up to date with the rental payments and also proposed that the parties do enter into new lease agreements which agreements among other thing</w:t>
      </w:r>
      <w:r w:rsidR="00110035">
        <w:rPr>
          <w:rFonts w:ascii="Bookman Old Style" w:eastAsia="Calibri" w:hAnsi="Bookman Old Style" w:cs="Tahoma"/>
          <w:sz w:val="28"/>
          <w:szCs w:val="28"/>
        </w:rPr>
        <w:t>s</w:t>
      </w:r>
      <w:r>
        <w:rPr>
          <w:rFonts w:ascii="Bookman Old Style" w:eastAsia="Calibri" w:hAnsi="Bookman Old Style" w:cs="Tahoma"/>
          <w:sz w:val="28"/>
          <w:szCs w:val="28"/>
        </w:rPr>
        <w:t>, proposed an increase in rentals.  That despite being given up to the 30</w:t>
      </w:r>
      <w:r w:rsidRPr="00DA220A">
        <w:rPr>
          <w:rFonts w:ascii="Bookman Old Style" w:eastAsia="Calibri" w:hAnsi="Bookman Old Style" w:cs="Tahoma"/>
          <w:sz w:val="28"/>
          <w:szCs w:val="28"/>
          <w:vertAlign w:val="superscript"/>
        </w:rPr>
        <w:t>th</w:t>
      </w:r>
      <w:r>
        <w:rPr>
          <w:rFonts w:ascii="Bookman Old Style" w:eastAsia="Calibri" w:hAnsi="Bookman Old Style" w:cs="Tahoma"/>
          <w:sz w:val="28"/>
          <w:szCs w:val="28"/>
        </w:rPr>
        <w:t xml:space="preserve"> day of December</w:t>
      </w:r>
      <w:r w:rsidR="007663A0">
        <w:rPr>
          <w:rFonts w:ascii="Bookman Old Style" w:eastAsia="Calibri" w:hAnsi="Bookman Old Style" w:cs="Tahoma"/>
          <w:sz w:val="28"/>
          <w:szCs w:val="28"/>
        </w:rPr>
        <w:t>, 2011</w:t>
      </w:r>
      <w:r>
        <w:rPr>
          <w:rFonts w:ascii="Bookman Old Style" w:eastAsia="Calibri" w:hAnsi="Bookman Old Style" w:cs="Tahoma"/>
          <w:sz w:val="28"/>
          <w:szCs w:val="28"/>
        </w:rPr>
        <w:t xml:space="preserve"> to indicate in writing whether or not they wished to enter into new leases, most of</w:t>
      </w:r>
      <w:r w:rsidR="007663A0">
        <w:rPr>
          <w:rFonts w:ascii="Bookman Old Style" w:eastAsia="Calibri" w:hAnsi="Bookman Old Style" w:cs="Tahoma"/>
          <w:sz w:val="28"/>
          <w:szCs w:val="28"/>
        </w:rPr>
        <w:t xml:space="preserve"> the Applicants never </w:t>
      </w:r>
      <w:proofErr w:type="spellStart"/>
      <w:r w:rsidR="007663A0">
        <w:rPr>
          <w:rFonts w:ascii="Bookman Old Style" w:eastAsia="Calibri" w:hAnsi="Bookman Old Style" w:cs="Tahoma"/>
          <w:sz w:val="28"/>
          <w:szCs w:val="28"/>
        </w:rPr>
        <w:t>respondend</w:t>
      </w:r>
      <w:proofErr w:type="spellEnd"/>
      <w:r>
        <w:rPr>
          <w:rFonts w:ascii="Bookman Old Style" w:eastAsia="Calibri" w:hAnsi="Bookman Old Style" w:cs="Tahoma"/>
          <w:sz w:val="28"/>
          <w:szCs w:val="28"/>
        </w:rPr>
        <w:t xml:space="preserve"> and consequently refused to sign the new lease agreements.</w:t>
      </w:r>
    </w:p>
    <w:p w:rsidR="00DA220A" w:rsidRDefault="00DA220A" w:rsidP="0069552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According to Counsel, most of the Applicants only paid outstanding rentals after commencement of the Court proceedings herein whilst others still remain in rental arrears.</w:t>
      </w:r>
    </w:p>
    <w:p w:rsidR="00E6771C" w:rsidRDefault="00DA220A" w:rsidP="0069552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lastRenderedPageBreak/>
        <w:tab/>
        <w:t xml:space="preserve">It is Counsels’ argument that it is clear from exhibits “RKZ1” and “RKZ2” in the Respondents </w:t>
      </w:r>
      <w:r w:rsidR="007663A0">
        <w:rPr>
          <w:rFonts w:ascii="Bookman Old Style" w:eastAsia="Calibri" w:hAnsi="Bookman Old Style" w:cs="Tahoma"/>
          <w:sz w:val="28"/>
          <w:szCs w:val="28"/>
        </w:rPr>
        <w:t xml:space="preserve">Combined </w:t>
      </w:r>
      <w:r>
        <w:rPr>
          <w:rFonts w:ascii="Bookman Old Style" w:eastAsia="Calibri" w:hAnsi="Bookman Old Style" w:cs="Tahoma"/>
          <w:sz w:val="28"/>
          <w:szCs w:val="28"/>
        </w:rPr>
        <w:t>Affidavit in Opposition that the Applicants have not been up to date on rental payments, as a large number of them still remain owing up to date.</w:t>
      </w:r>
    </w:p>
    <w:p w:rsidR="00E6771C" w:rsidRDefault="00E6771C" w:rsidP="0069552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Counsel submits that an Injunction is an equitable remedy and he who comes to equity must come with cl</w:t>
      </w:r>
      <w:r w:rsidR="004E3A19">
        <w:rPr>
          <w:rFonts w:ascii="Bookman Old Style" w:eastAsia="Calibri" w:hAnsi="Bookman Old Style" w:cs="Tahoma"/>
          <w:sz w:val="28"/>
          <w:szCs w:val="28"/>
        </w:rPr>
        <w:t xml:space="preserve">ean hands.  That as defaulting </w:t>
      </w:r>
      <w:r>
        <w:rPr>
          <w:rFonts w:ascii="Bookman Old Style" w:eastAsia="Calibri" w:hAnsi="Bookman Old Style" w:cs="Tahoma"/>
          <w:sz w:val="28"/>
          <w:szCs w:val="28"/>
        </w:rPr>
        <w:t>Tenants, the Applicants have not come to Court with clean hands.</w:t>
      </w:r>
    </w:p>
    <w:p w:rsidR="00E6771C" w:rsidRDefault="00E6771C" w:rsidP="0069552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Further, that the Applicants cannot insist on quite enjoyment when the lease agreements under which they are holding over have expired and that they have in fact abrogated the terms of the monthly tenancy agreement by failing to pay rent.</w:t>
      </w:r>
    </w:p>
    <w:p w:rsidR="00E6771C" w:rsidRDefault="00E6771C" w:rsidP="0069552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 xml:space="preserve">Counsel, in that respect relied on the case of </w:t>
      </w:r>
      <w:r w:rsidRPr="00E6771C">
        <w:rPr>
          <w:rFonts w:ascii="Bookman Old Style" w:eastAsia="Calibri" w:hAnsi="Bookman Old Style" w:cs="Tahoma"/>
          <w:b/>
          <w:sz w:val="24"/>
          <w:szCs w:val="24"/>
          <w:u w:val="single"/>
        </w:rPr>
        <w:t>Turnkey Properties Limited v Lusaka West Development Company Limited</w:t>
      </w:r>
      <w:r w:rsidRPr="00E6771C">
        <w:rPr>
          <w:rFonts w:ascii="Bookman Old Style" w:eastAsia="Calibri" w:hAnsi="Bookman Old Style" w:cs="Tahoma"/>
          <w:b/>
          <w:sz w:val="24"/>
          <w:szCs w:val="24"/>
          <w:u w:val="single"/>
          <w:vertAlign w:val="superscript"/>
        </w:rPr>
        <w:t>2</w:t>
      </w:r>
      <w:r>
        <w:rPr>
          <w:rFonts w:ascii="Bookman Old Style" w:eastAsia="Calibri" w:hAnsi="Bookman Old Style" w:cs="Tahoma"/>
          <w:sz w:val="28"/>
          <w:szCs w:val="28"/>
        </w:rPr>
        <w:t xml:space="preserve"> where the Supreme Court stated that an Injunction should not be used as a device by which an Applicant can attain or create new conditions </w:t>
      </w:r>
      <w:proofErr w:type="spellStart"/>
      <w:r>
        <w:rPr>
          <w:rFonts w:ascii="Bookman Old Style" w:eastAsia="Calibri" w:hAnsi="Bookman Old Style" w:cs="Tahoma"/>
          <w:sz w:val="28"/>
          <w:szCs w:val="28"/>
        </w:rPr>
        <w:t>favourable</w:t>
      </w:r>
      <w:proofErr w:type="spellEnd"/>
      <w:r>
        <w:rPr>
          <w:rFonts w:ascii="Bookman Old Style" w:eastAsia="Calibri" w:hAnsi="Bookman Old Style" w:cs="Tahoma"/>
          <w:sz w:val="28"/>
          <w:szCs w:val="28"/>
        </w:rPr>
        <w:t xml:space="preserve"> only to </w:t>
      </w:r>
      <w:proofErr w:type="gramStart"/>
      <w:r>
        <w:rPr>
          <w:rFonts w:ascii="Bookman Old Style" w:eastAsia="Calibri" w:hAnsi="Bookman Old Style" w:cs="Tahoma"/>
          <w:sz w:val="28"/>
          <w:szCs w:val="28"/>
        </w:rPr>
        <w:t>himself</w:t>
      </w:r>
      <w:proofErr w:type="gramEnd"/>
      <w:r>
        <w:rPr>
          <w:rFonts w:ascii="Bookman Old Style" w:eastAsia="Calibri" w:hAnsi="Bookman Old Style" w:cs="Tahoma"/>
          <w:sz w:val="28"/>
          <w:szCs w:val="28"/>
        </w:rPr>
        <w:t>.</w:t>
      </w:r>
    </w:p>
    <w:p w:rsidR="00E6771C" w:rsidRDefault="00E6771C" w:rsidP="0069552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 xml:space="preserve">It is Counsels’ contention that the Applicants want to obtain an Injunction to stop the Respondent </w:t>
      </w:r>
      <w:r w:rsidR="004E3A19">
        <w:rPr>
          <w:rFonts w:ascii="Bookman Old Style" w:eastAsia="Calibri" w:hAnsi="Bookman Old Style" w:cs="Tahoma"/>
          <w:sz w:val="28"/>
          <w:szCs w:val="28"/>
        </w:rPr>
        <w:t>from evicting them when the intervening event leading to the threatened eviction of one of the applicants was consistent failure to pay rentals on time.</w:t>
      </w:r>
    </w:p>
    <w:p w:rsidR="00FB3644" w:rsidRDefault="004E3A19" w:rsidP="0069552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In furtherance on this point</w:t>
      </w:r>
      <w:r w:rsidR="007663A0">
        <w:rPr>
          <w:rFonts w:ascii="Bookman Old Style" w:eastAsia="Calibri" w:hAnsi="Bookman Old Style" w:cs="Tahoma"/>
          <w:sz w:val="28"/>
          <w:szCs w:val="28"/>
        </w:rPr>
        <w:t>,</w:t>
      </w:r>
      <w:r>
        <w:rPr>
          <w:rFonts w:ascii="Bookman Old Style" w:eastAsia="Calibri" w:hAnsi="Bookman Old Style" w:cs="Tahoma"/>
          <w:sz w:val="28"/>
          <w:szCs w:val="28"/>
        </w:rPr>
        <w:t xml:space="preserve"> Counsel relied </w:t>
      </w:r>
      <w:r w:rsidR="00FB3644">
        <w:rPr>
          <w:rFonts w:ascii="Bookman Old Style" w:eastAsia="Calibri" w:hAnsi="Bookman Old Style" w:cs="Tahoma"/>
          <w:sz w:val="28"/>
          <w:szCs w:val="28"/>
        </w:rPr>
        <w:t xml:space="preserve">on the Supreme Court case of </w:t>
      </w:r>
      <w:proofErr w:type="spellStart"/>
      <w:r w:rsidR="00FB3644" w:rsidRPr="00FB3644">
        <w:rPr>
          <w:rFonts w:ascii="Bookman Old Style" w:eastAsia="Calibri" w:hAnsi="Bookman Old Style" w:cs="Tahoma"/>
          <w:b/>
          <w:sz w:val="28"/>
          <w:szCs w:val="28"/>
          <w:u w:val="single"/>
        </w:rPr>
        <w:t>Zesco</w:t>
      </w:r>
      <w:proofErr w:type="spellEnd"/>
      <w:r w:rsidR="00FB3644" w:rsidRPr="00FB3644">
        <w:rPr>
          <w:rFonts w:ascii="Bookman Old Style" w:eastAsia="Calibri" w:hAnsi="Bookman Old Style" w:cs="Tahoma"/>
          <w:b/>
          <w:sz w:val="28"/>
          <w:szCs w:val="28"/>
          <w:u w:val="single"/>
        </w:rPr>
        <w:t xml:space="preserve"> Limited v. </w:t>
      </w:r>
      <w:proofErr w:type="spellStart"/>
      <w:r w:rsidR="00FB3644" w:rsidRPr="00FB3644">
        <w:rPr>
          <w:rFonts w:ascii="Bookman Old Style" w:eastAsia="Calibri" w:hAnsi="Bookman Old Style" w:cs="Tahoma"/>
          <w:b/>
          <w:sz w:val="28"/>
          <w:szCs w:val="28"/>
          <w:u w:val="single"/>
        </w:rPr>
        <w:t>Bakewell</w:t>
      </w:r>
      <w:proofErr w:type="spellEnd"/>
      <w:r w:rsidR="00FB3644" w:rsidRPr="00FB3644">
        <w:rPr>
          <w:rFonts w:ascii="Bookman Old Style" w:eastAsia="Calibri" w:hAnsi="Bookman Old Style" w:cs="Tahoma"/>
          <w:b/>
          <w:sz w:val="28"/>
          <w:szCs w:val="28"/>
          <w:u w:val="single"/>
        </w:rPr>
        <w:t xml:space="preserve"> Bakeries</w:t>
      </w:r>
      <w:r w:rsidR="00FB3644" w:rsidRPr="00FB3644">
        <w:rPr>
          <w:rFonts w:ascii="Bookman Old Style" w:eastAsia="Calibri" w:hAnsi="Bookman Old Style" w:cs="Tahoma"/>
          <w:b/>
          <w:sz w:val="28"/>
          <w:szCs w:val="28"/>
          <w:u w:val="single"/>
          <w:vertAlign w:val="superscript"/>
        </w:rPr>
        <w:t>3</w:t>
      </w:r>
      <w:r w:rsidR="00FB3644">
        <w:rPr>
          <w:rFonts w:ascii="Bookman Old Style" w:eastAsia="Calibri" w:hAnsi="Bookman Old Style" w:cs="Tahoma"/>
          <w:sz w:val="28"/>
          <w:szCs w:val="28"/>
        </w:rPr>
        <w:t>.</w:t>
      </w:r>
    </w:p>
    <w:p w:rsidR="004E3A19" w:rsidRPr="00FB3644" w:rsidRDefault="00FB3644" w:rsidP="00FB3644">
      <w:pPr>
        <w:spacing w:line="360" w:lineRule="auto"/>
        <w:ind w:firstLine="720"/>
        <w:jc w:val="both"/>
        <w:rPr>
          <w:rFonts w:ascii="Bookman Old Style" w:eastAsia="Calibri" w:hAnsi="Bookman Old Style" w:cs="Tahoma"/>
          <w:b/>
          <w:sz w:val="24"/>
          <w:szCs w:val="24"/>
          <w:u w:val="single"/>
        </w:rPr>
      </w:pPr>
      <w:r w:rsidRPr="00FB3644">
        <w:rPr>
          <w:rFonts w:ascii="Bookman Old Style" w:eastAsia="Calibri" w:hAnsi="Bookman Old Style" w:cs="Tahoma"/>
          <w:sz w:val="28"/>
          <w:szCs w:val="28"/>
        </w:rPr>
        <w:lastRenderedPageBreak/>
        <w:t>It is</w:t>
      </w:r>
      <w:r>
        <w:rPr>
          <w:rFonts w:ascii="Bookman Old Style" w:eastAsia="Calibri" w:hAnsi="Bookman Old Style" w:cs="Tahoma"/>
          <w:sz w:val="28"/>
          <w:szCs w:val="28"/>
        </w:rPr>
        <w:t xml:space="preserve"> Counsels’ further submission that the Applicants as defaulting parties do not have a clear right to the relief being sought to warrant the protec</w:t>
      </w:r>
      <w:r w:rsidR="00110035">
        <w:rPr>
          <w:rFonts w:ascii="Bookman Old Style" w:eastAsia="Calibri" w:hAnsi="Bookman Old Style" w:cs="Tahoma"/>
          <w:sz w:val="28"/>
          <w:szCs w:val="28"/>
        </w:rPr>
        <w:t>tion of the Court by way of an I</w:t>
      </w:r>
      <w:r>
        <w:rPr>
          <w:rFonts w:ascii="Bookman Old Style" w:eastAsia="Calibri" w:hAnsi="Bookman Old Style" w:cs="Tahoma"/>
          <w:sz w:val="28"/>
          <w:szCs w:val="28"/>
        </w:rPr>
        <w:t xml:space="preserve">njunction.  They have not also exhibited a current lease agreement to show the basis on which the action is premised.  In that respect Counsel relied on the High Court authority </w:t>
      </w:r>
      <w:r w:rsidRPr="00FB3644">
        <w:rPr>
          <w:rFonts w:ascii="Bookman Old Style" w:eastAsia="Calibri" w:hAnsi="Bookman Old Style" w:cs="Tahoma"/>
          <w:b/>
          <w:sz w:val="24"/>
          <w:szCs w:val="24"/>
          <w:u w:val="single"/>
        </w:rPr>
        <w:t xml:space="preserve">of </w:t>
      </w:r>
      <w:proofErr w:type="spellStart"/>
      <w:r w:rsidRPr="00FB3644">
        <w:rPr>
          <w:rFonts w:ascii="Bookman Old Style" w:eastAsia="Calibri" w:hAnsi="Bookman Old Style" w:cs="Tahoma"/>
          <w:b/>
          <w:sz w:val="24"/>
          <w:szCs w:val="24"/>
          <w:u w:val="single"/>
        </w:rPr>
        <w:t>Fajema</w:t>
      </w:r>
      <w:proofErr w:type="spellEnd"/>
      <w:r w:rsidRPr="00FB3644">
        <w:rPr>
          <w:rFonts w:ascii="Bookman Old Style" w:eastAsia="Calibri" w:hAnsi="Bookman Old Style" w:cs="Tahoma"/>
          <w:b/>
          <w:sz w:val="24"/>
          <w:szCs w:val="24"/>
          <w:u w:val="single"/>
        </w:rPr>
        <w:t xml:space="preserve"> Catering Services and Evelyn Hone College of Applied Arts and Science Management Board</w:t>
      </w:r>
      <w:r w:rsidRPr="00FB3644">
        <w:rPr>
          <w:rFonts w:ascii="Bookman Old Style" w:eastAsia="Calibri" w:hAnsi="Bookman Old Style" w:cs="Tahoma"/>
          <w:b/>
          <w:sz w:val="24"/>
          <w:szCs w:val="24"/>
          <w:u w:val="single"/>
          <w:vertAlign w:val="superscript"/>
        </w:rPr>
        <w:t>4</w:t>
      </w:r>
      <w:r w:rsidRPr="00FB3644">
        <w:rPr>
          <w:rFonts w:ascii="Bookman Old Style" w:eastAsia="Calibri" w:hAnsi="Bookman Old Style" w:cs="Tahoma"/>
          <w:b/>
          <w:sz w:val="24"/>
          <w:szCs w:val="24"/>
          <w:u w:val="single"/>
        </w:rPr>
        <w:t xml:space="preserve">. </w:t>
      </w:r>
    </w:p>
    <w:p w:rsidR="00E6771C" w:rsidRDefault="00FB3644" w:rsidP="00695524">
      <w:pPr>
        <w:spacing w:line="360" w:lineRule="auto"/>
        <w:jc w:val="both"/>
        <w:rPr>
          <w:rFonts w:ascii="Bookman Old Style" w:eastAsia="Calibri" w:hAnsi="Bookman Old Style" w:cs="Tahoma"/>
          <w:sz w:val="28"/>
          <w:szCs w:val="28"/>
        </w:rPr>
      </w:pPr>
      <w:r w:rsidRPr="00FB3644">
        <w:rPr>
          <w:rFonts w:ascii="Bookman Old Style" w:eastAsia="Calibri" w:hAnsi="Bookman Old Style" w:cs="Tahoma"/>
          <w:sz w:val="28"/>
          <w:szCs w:val="28"/>
        </w:rPr>
        <w:tab/>
      </w:r>
      <w:r>
        <w:rPr>
          <w:rFonts w:ascii="Bookman Old Style" w:eastAsia="Calibri" w:hAnsi="Bookman Old Style" w:cs="Tahoma"/>
          <w:sz w:val="28"/>
          <w:szCs w:val="28"/>
        </w:rPr>
        <w:t xml:space="preserve">Counsel for the Respondent further argues that the Applicants have not disclosed what irreparable injury if any they are likely to suffer if the interim injunction is not granted in accordance with the principles laid out in the Supreme Court case of </w:t>
      </w:r>
      <w:r w:rsidRPr="00FB3644">
        <w:rPr>
          <w:rFonts w:ascii="Bookman Old Style" w:eastAsia="Calibri" w:hAnsi="Bookman Old Style" w:cs="Tahoma"/>
          <w:b/>
          <w:sz w:val="24"/>
          <w:szCs w:val="24"/>
          <w:u w:val="single"/>
        </w:rPr>
        <w:t>Shell and BP Zambia Limited v. Conidaris</w:t>
      </w:r>
      <w:r w:rsidRPr="00FB3644">
        <w:rPr>
          <w:rFonts w:ascii="Bookman Old Style" w:eastAsia="Calibri" w:hAnsi="Bookman Old Style" w:cs="Tahoma"/>
          <w:b/>
          <w:sz w:val="24"/>
          <w:szCs w:val="24"/>
          <w:u w:val="single"/>
          <w:vertAlign w:val="superscript"/>
        </w:rPr>
        <w:t>5</w:t>
      </w:r>
      <w:r>
        <w:rPr>
          <w:rFonts w:ascii="Bookman Old Style" w:eastAsia="Calibri" w:hAnsi="Bookman Old Style" w:cs="Tahoma"/>
          <w:b/>
          <w:sz w:val="24"/>
          <w:szCs w:val="24"/>
          <w:u w:val="single"/>
        </w:rPr>
        <w:t xml:space="preserve"> </w:t>
      </w:r>
      <w:r>
        <w:rPr>
          <w:rFonts w:ascii="Bookman Old Style" w:eastAsia="Calibri" w:hAnsi="Bookman Old Style" w:cs="Tahoma"/>
          <w:sz w:val="28"/>
          <w:szCs w:val="28"/>
        </w:rPr>
        <w:t>on the granting of injunctions.</w:t>
      </w:r>
    </w:p>
    <w:p w:rsidR="00FB3644" w:rsidRDefault="00FB3644" w:rsidP="0069552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Counsel for the Respondent also drew the attention of the Court to Order 29 Rule 1A, Sub rul</w:t>
      </w:r>
      <w:r w:rsidR="00F045DF">
        <w:rPr>
          <w:rFonts w:ascii="Bookman Old Style" w:eastAsia="Calibri" w:hAnsi="Bookman Old Style" w:cs="Tahoma"/>
          <w:sz w:val="28"/>
          <w:szCs w:val="28"/>
        </w:rPr>
        <w:t xml:space="preserve">e 24 of the </w:t>
      </w:r>
      <w:r w:rsidR="00F045DF">
        <w:rPr>
          <w:rFonts w:ascii="Bookman Old Style" w:eastAsia="Calibri" w:hAnsi="Bookman Old Style" w:cs="Tahoma"/>
          <w:b/>
          <w:sz w:val="24"/>
          <w:szCs w:val="24"/>
          <w:u w:val="single"/>
        </w:rPr>
        <w:t xml:space="preserve">Supreme </w:t>
      </w:r>
      <w:r w:rsidR="00F045DF" w:rsidRPr="00F045DF">
        <w:rPr>
          <w:rFonts w:ascii="Bookman Old Style" w:eastAsia="Calibri" w:hAnsi="Bookman Old Style" w:cs="Tahoma"/>
          <w:b/>
          <w:sz w:val="24"/>
          <w:szCs w:val="24"/>
          <w:u w:val="single"/>
        </w:rPr>
        <w:t>Court Practice</w:t>
      </w:r>
      <w:r w:rsidR="00DA1413">
        <w:rPr>
          <w:rFonts w:ascii="Bookman Old Style" w:eastAsia="Calibri" w:hAnsi="Bookman Old Style" w:cs="Tahoma"/>
          <w:b/>
          <w:sz w:val="24"/>
          <w:szCs w:val="24"/>
          <w:u w:val="single"/>
          <w:vertAlign w:val="superscript"/>
        </w:rPr>
        <w:t>7</w:t>
      </w:r>
      <w:r w:rsidR="00F045DF" w:rsidRPr="00474CC4">
        <w:rPr>
          <w:rFonts w:ascii="Bookman Old Style" w:eastAsia="Calibri" w:hAnsi="Bookman Old Style" w:cs="Tahoma"/>
          <w:sz w:val="24"/>
          <w:szCs w:val="24"/>
        </w:rPr>
        <w:t xml:space="preserve"> </w:t>
      </w:r>
      <w:r w:rsidR="00F045DF" w:rsidRPr="00F045DF">
        <w:rPr>
          <w:rFonts w:ascii="Bookman Old Style" w:eastAsia="Calibri" w:hAnsi="Bookman Old Style" w:cs="Tahoma"/>
          <w:sz w:val="28"/>
          <w:szCs w:val="28"/>
        </w:rPr>
        <w:t>which</w:t>
      </w:r>
      <w:r w:rsidR="00F045DF">
        <w:rPr>
          <w:rFonts w:ascii="Bookman Old Style" w:eastAsia="Calibri" w:hAnsi="Bookman Old Style" w:cs="Tahoma"/>
          <w:sz w:val="28"/>
          <w:szCs w:val="28"/>
        </w:rPr>
        <w:t xml:space="preserve"> states as follows:</w:t>
      </w:r>
    </w:p>
    <w:p w:rsidR="00474CC4" w:rsidRPr="00474CC4" w:rsidRDefault="00474CC4" w:rsidP="00474CC4">
      <w:pPr>
        <w:spacing w:line="360" w:lineRule="auto"/>
        <w:ind w:left="720"/>
        <w:jc w:val="both"/>
        <w:rPr>
          <w:rFonts w:ascii="Bookman Old Style" w:eastAsia="Calibri" w:hAnsi="Bookman Old Style" w:cs="Tahoma"/>
          <w:b/>
          <w:i/>
          <w:sz w:val="24"/>
          <w:szCs w:val="24"/>
        </w:rPr>
      </w:pPr>
      <w:proofErr w:type="gramStart"/>
      <w:r w:rsidRPr="00474CC4">
        <w:rPr>
          <w:rFonts w:ascii="Bookman Old Style" w:eastAsia="Calibri" w:hAnsi="Bookman Old Style" w:cs="Tahoma"/>
          <w:b/>
          <w:i/>
          <w:sz w:val="24"/>
          <w:szCs w:val="24"/>
        </w:rPr>
        <w:t>“On any ex parte application the applicant must proceed “with the highest good faith” (</w:t>
      </w:r>
      <w:proofErr w:type="spellStart"/>
      <w:r w:rsidRPr="00474CC4">
        <w:rPr>
          <w:rFonts w:ascii="Bookman Old Style" w:eastAsia="Calibri" w:hAnsi="Bookman Old Style" w:cs="Tahoma"/>
          <w:b/>
          <w:i/>
          <w:sz w:val="24"/>
          <w:szCs w:val="24"/>
        </w:rPr>
        <w:t>Schmitten</w:t>
      </w:r>
      <w:proofErr w:type="spellEnd"/>
      <w:r w:rsidRPr="00474CC4">
        <w:rPr>
          <w:rFonts w:ascii="Bookman Old Style" w:eastAsia="Calibri" w:hAnsi="Bookman Old Style" w:cs="Tahoma"/>
          <w:b/>
          <w:i/>
          <w:sz w:val="24"/>
          <w:szCs w:val="24"/>
        </w:rPr>
        <w:t xml:space="preserve"> v </w:t>
      </w:r>
      <w:proofErr w:type="spellStart"/>
      <w:r w:rsidRPr="00474CC4">
        <w:rPr>
          <w:rFonts w:ascii="Bookman Old Style" w:eastAsia="Calibri" w:hAnsi="Bookman Old Style" w:cs="Tahoma"/>
          <w:b/>
          <w:i/>
          <w:sz w:val="24"/>
          <w:szCs w:val="24"/>
        </w:rPr>
        <w:t>Faulkes</w:t>
      </w:r>
      <w:proofErr w:type="spellEnd"/>
      <w:r w:rsidRPr="00474CC4">
        <w:rPr>
          <w:rFonts w:ascii="Bookman Old Style" w:eastAsia="Calibri" w:hAnsi="Bookman Old Style" w:cs="Tahoma"/>
          <w:b/>
          <w:i/>
          <w:sz w:val="24"/>
          <w:szCs w:val="24"/>
        </w:rPr>
        <w:t xml:space="preserve"> (1893) WN 64 per Chitty </w:t>
      </w:r>
      <w:r w:rsidRPr="00474CC4">
        <w:rPr>
          <w:rFonts w:ascii="Bookman Old Style" w:eastAsia="Calibri" w:hAnsi="Bookman Old Style" w:cs="Tahoma"/>
          <w:b/>
          <w:i/>
          <w:sz w:val="24"/>
          <w:szCs w:val="24"/>
          <w:vertAlign w:val="superscript"/>
        </w:rPr>
        <w:t>3</w:t>
      </w:r>
      <w:r w:rsidRPr="00474CC4">
        <w:rPr>
          <w:rFonts w:ascii="Bookman Old Style" w:eastAsia="Calibri" w:hAnsi="Bookman Old Style" w:cs="Tahoma"/>
          <w:b/>
          <w:i/>
          <w:sz w:val="24"/>
          <w:szCs w:val="24"/>
        </w:rPr>
        <w:t>).</w:t>
      </w:r>
      <w:proofErr w:type="gramEnd"/>
      <w:r w:rsidRPr="00474CC4">
        <w:rPr>
          <w:rFonts w:ascii="Bookman Old Style" w:eastAsia="Calibri" w:hAnsi="Bookman Old Style" w:cs="Tahoma"/>
          <w:b/>
          <w:i/>
          <w:sz w:val="24"/>
          <w:szCs w:val="24"/>
        </w:rPr>
        <w:t xml:space="preserve">  The fact that the Court is asked to grant relief without the person against who</w:t>
      </w:r>
      <w:r w:rsidR="00DA1413">
        <w:rPr>
          <w:rFonts w:ascii="Bookman Old Style" w:eastAsia="Calibri" w:hAnsi="Bookman Old Style" w:cs="Tahoma"/>
          <w:b/>
          <w:i/>
          <w:sz w:val="24"/>
          <w:szCs w:val="24"/>
        </w:rPr>
        <w:t>m</w:t>
      </w:r>
      <w:r w:rsidRPr="00474CC4">
        <w:rPr>
          <w:rFonts w:ascii="Bookman Old Style" w:eastAsia="Calibri" w:hAnsi="Bookman Old Style" w:cs="Tahoma"/>
          <w:b/>
          <w:i/>
          <w:sz w:val="24"/>
          <w:szCs w:val="24"/>
        </w:rPr>
        <w:t xml:space="preserve"> the relief is sought having an opportunity to be heard makes it imperative that the applicant should make full and frank disclosure of all material facts…………otherwise the order may be set aside without regard to the merits.”</w:t>
      </w:r>
    </w:p>
    <w:p w:rsidR="006136C7" w:rsidRDefault="00CB6794" w:rsidP="00474CC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r>
      <w:r w:rsidR="00DD6683">
        <w:rPr>
          <w:rFonts w:ascii="Bookman Old Style" w:eastAsia="Calibri" w:hAnsi="Bookman Old Style" w:cs="Tahoma"/>
          <w:sz w:val="28"/>
          <w:szCs w:val="28"/>
        </w:rPr>
        <w:t xml:space="preserve"> </w:t>
      </w:r>
      <w:r w:rsidR="00474CC4">
        <w:rPr>
          <w:rFonts w:ascii="Bookman Old Style" w:eastAsia="Calibri" w:hAnsi="Bookman Old Style" w:cs="Tahoma"/>
          <w:sz w:val="28"/>
          <w:szCs w:val="28"/>
        </w:rPr>
        <w:t xml:space="preserve">According to Counsel, the Applicants did not make a full and frank disclosure on the real reason why the Respondent threatened one of the Applicants with eviction.  </w:t>
      </w:r>
      <w:proofErr w:type="gramStart"/>
      <w:r w:rsidR="00474CC4">
        <w:rPr>
          <w:rFonts w:ascii="Bookman Old Style" w:eastAsia="Calibri" w:hAnsi="Bookman Old Style" w:cs="Tahoma"/>
          <w:sz w:val="28"/>
          <w:szCs w:val="28"/>
        </w:rPr>
        <w:t>That the threatened eviction had nothing to do with the failure to sign the new</w:t>
      </w:r>
      <w:r w:rsidR="00CE59D7">
        <w:rPr>
          <w:rFonts w:ascii="Bookman Old Style" w:eastAsia="Calibri" w:hAnsi="Bookman Old Style" w:cs="Tahoma"/>
          <w:sz w:val="28"/>
          <w:szCs w:val="28"/>
        </w:rPr>
        <w:t xml:space="preserve"> agreement but </w:t>
      </w:r>
      <w:r w:rsidR="00CE59D7">
        <w:rPr>
          <w:rFonts w:ascii="Bookman Old Style" w:eastAsia="Calibri" w:hAnsi="Bookman Old Style" w:cs="Tahoma"/>
          <w:sz w:val="28"/>
          <w:szCs w:val="28"/>
        </w:rPr>
        <w:lastRenderedPageBreak/>
        <w:t>was due to the failure by one of the Applicants to pay outstanding rentals.</w:t>
      </w:r>
      <w:proofErr w:type="gramEnd"/>
    </w:p>
    <w:p w:rsidR="00CE59D7" w:rsidRDefault="00CE59D7" w:rsidP="00474CC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In conclusion, Counsel stated that it is also the Respondent’s position that he has applied for change of use of the subject property and shall in any event require vacant possession.</w:t>
      </w:r>
    </w:p>
    <w:p w:rsidR="00CE59D7" w:rsidRDefault="00110035" w:rsidP="00474CC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Counsel urged</w:t>
      </w:r>
      <w:r w:rsidR="00CE59D7">
        <w:rPr>
          <w:rFonts w:ascii="Bookman Old Style" w:eastAsia="Calibri" w:hAnsi="Bookman Old Style" w:cs="Tahoma"/>
          <w:sz w:val="28"/>
          <w:szCs w:val="28"/>
        </w:rPr>
        <w:t xml:space="preserve"> this Court not to grant the Interim Injunction as the Applicants have not satisfied the requirements for granting of an Injunction.</w:t>
      </w:r>
    </w:p>
    <w:p w:rsidR="00CE59D7" w:rsidRDefault="00CE59D7" w:rsidP="00474CC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 xml:space="preserve">I have carefully taken into consideration the respective affidavits by the Applicants and the Respondent, Skeleton arguments by Counsel for the Respondent and the oral submissions by both Counsel. </w:t>
      </w:r>
    </w:p>
    <w:p w:rsidR="00D7688E" w:rsidRDefault="00D7688E" w:rsidP="00474CC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r>
      <w:r w:rsidR="00561D9D">
        <w:rPr>
          <w:rFonts w:ascii="Bookman Old Style" w:eastAsia="Calibri" w:hAnsi="Bookman Old Style" w:cs="Tahoma"/>
          <w:sz w:val="28"/>
          <w:szCs w:val="28"/>
        </w:rPr>
        <w:t xml:space="preserve">A recapitulation of the affidavit evidence and the submissions by both </w:t>
      </w:r>
      <w:proofErr w:type="gramStart"/>
      <w:r w:rsidR="00561D9D">
        <w:rPr>
          <w:rFonts w:ascii="Bookman Old Style" w:eastAsia="Calibri" w:hAnsi="Bookman Old Style" w:cs="Tahoma"/>
          <w:sz w:val="28"/>
          <w:szCs w:val="28"/>
        </w:rPr>
        <w:t>Counsel</w:t>
      </w:r>
      <w:proofErr w:type="gramEnd"/>
      <w:r w:rsidR="00561D9D">
        <w:rPr>
          <w:rFonts w:ascii="Bookman Old Style" w:eastAsia="Calibri" w:hAnsi="Bookman Old Style" w:cs="Tahoma"/>
          <w:sz w:val="28"/>
          <w:szCs w:val="28"/>
        </w:rPr>
        <w:t xml:space="preserve"> indeed shows that the Respondent having bought </w:t>
      </w:r>
      <w:proofErr w:type="spellStart"/>
      <w:r w:rsidR="00561D9D">
        <w:rPr>
          <w:rFonts w:ascii="Bookman Old Style" w:eastAsia="Calibri" w:hAnsi="Bookman Old Style" w:cs="Tahoma"/>
          <w:sz w:val="28"/>
          <w:szCs w:val="28"/>
        </w:rPr>
        <w:t>Makeni</w:t>
      </w:r>
      <w:proofErr w:type="spellEnd"/>
      <w:r w:rsidR="00561D9D">
        <w:rPr>
          <w:rFonts w:ascii="Bookman Old Style" w:eastAsia="Calibri" w:hAnsi="Bookman Old Style" w:cs="Tahoma"/>
          <w:sz w:val="28"/>
          <w:szCs w:val="28"/>
        </w:rPr>
        <w:t xml:space="preserve"> Villa, did not ente</w:t>
      </w:r>
      <w:r w:rsidR="00110035">
        <w:rPr>
          <w:rFonts w:ascii="Bookman Old Style" w:eastAsia="Calibri" w:hAnsi="Bookman Old Style" w:cs="Tahoma"/>
          <w:sz w:val="28"/>
          <w:szCs w:val="28"/>
        </w:rPr>
        <w:t>r into fresh tenancy agreements with the Applicants.</w:t>
      </w:r>
      <w:r w:rsidR="00561D9D">
        <w:rPr>
          <w:rFonts w:ascii="Bookman Old Style" w:eastAsia="Calibri" w:hAnsi="Bookman Old Style" w:cs="Tahoma"/>
          <w:sz w:val="28"/>
          <w:szCs w:val="28"/>
        </w:rPr>
        <w:t xml:space="preserve">  He therefore carried over the te</w:t>
      </w:r>
      <w:r w:rsidR="00110035">
        <w:rPr>
          <w:rFonts w:ascii="Bookman Old Style" w:eastAsia="Calibri" w:hAnsi="Bookman Old Style" w:cs="Tahoma"/>
          <w:sz w:val="28"/>
          <w:szCs w:val="28"/>
        </w:rPr>
        <w:t>nancy agreements the Applicant</w:t>
      </w:r>
      <w:r w:rsidR="00561D9D">
        <w:rPr>
          <w:rFonts w:ascii="Bookman Old Style" w:eastAsia="Calibri" w:hAnsi="Bookman Old Style" w:cs="Tahoma"/>
          <w:sz w:val="28"/>
          <w:szCs w:val="28"/>
        </w:rPr>
        <w:t xml:space="preserve">s had with the previous Landlord.  The Tenants therefore fell under Section 23 (1) of the </w:t>
      </w:r>
      <w:r w:rsidR="00561D9D" w:rsidRPr="00561D9D">
        <w:rPr>
          <w:rFonts w:ascii="Bookman Old Style" w:eastAsia="Calibri" w:hAnsi="Bookman Old Style" w:cs="Tahoma"/>
          <w:b/>
          <w:sz w:val="28"/>
          <w:szCs w:val="28"/>
        </w:rPr>
        <w:t>Rent Act</w:t>
      </w:r>
      <w:r w:rsidR="00561D9D" w:rsidRPr="00561D9D">
        <w:rPr>
          <w:rFonts w:ascii="Bookman Old Style" w:eastAsia="Calibri" w:hAnsi="Bookman Old Style" w:cs="Tahoma"/>
          <w:b/>
          <w:sz w:val="28"/>
          <w:szCs w:val="28"/>
          <w:vertAlign w:val="superscript"/>
        </w:rPr>
        <w:t>8</w:t>
      </w:r>
      <w:r w:rsidR="00561D9D">
        <w:rPr>
          <w:rFonts w:ascii="Bookman Old Style" w:eastAsia="Calibri" w:hAnsi="Bookman Old Style" w:cs="Tahoma"/>
          <w:b/>
          <w:sz w:val="28"/>
          <w:szCs w:val="28"/>
        </w:rPr>
        <w:t xml:space="preserve"> </w:t>
      </w:r>
      <w:r w:rsidR="00110035">
        <w:rPr>
          <w:rFonts w:ascii="Bookman Old Style" w:eastAsia="Calibri" w:hAnsi="Bookman Old Style" w:cs="Tahoma"/>
          <w:sz w:val="28"/>
          <w:szCs w:val="28"/>
        </w:rPr>
        <w:t>as Statutory T</w:t>
      </w:r>
      <w:r w:rsidR="00561D9D">
        <w:rPr>
          <w:rFonts w:ascii="Bookman Old Style" w:eastAsia="Calibri" w:hAnsi="Bookman Old Style" w:cs="Tahoma"/>
          <w:sz w:val="28"/>
          <w:szCs w:val="28"/>
        </w:rPr>
        <w:t>enants.</w:t>
      </w:r>
    </w:p>
    <w:p w:rsidR="00561D9D" w:rsidRDefault="00561D9D" w:rsidP="00474CC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Further, it was the intention of the Respondent as could be seen from the letter</w:t>
      </w:r>
      <w:r w:rsidR="00270C71">
        <w:rPr>
          <w:rFonts w:ascii="Bookman Old Style" w:eastAsia="Calibri" w:hAnsi="Bookman Old Style" w:cs="Tahoma"/>
          <w:sz w:val="28"/>
          <w:szCs w:val="28"/>
        </w:rPr>
        <w:t xml:space="preserve"> dated 14</w:t>
      </w:r>
      <w:r w:rsidR="00270C71" w:rsidRPr="00270C71">
        <w:rPr>
          <w:rFonts w:ascii="Bookman Old Style" w:eastAsia="Calibri" w:hAnsi="Bookman Old Style" w:cs="Tahoma"/>
          <w:sz w:val="28"/>
          <w:szCs w:val="28"/>
          <w:vertAlign w:val="superscript"/>
        </w:rPr>
        <w:t>th</w:t>
      </w:r>
      <w:r w:rsidR="00270C71">
        <w:rPr>
          <w:rFonts w:ascii="Bookman Old Style" w:eastAsia="Calibri" w:hAnsi="Bookman Old Style" w:cs="Tahoma"/>
          <w:sz w:val="28"/>
          <w:szCs w:val="28"/>
        </w:rPr>
        <w:t xml:space="preserve"> November, 2011 exhibited as “JS5” in the Applicants combined affidavit in support of the Originating Summons to carry out major structural improvements with effect from December, 2011 and thereafter enter into new tenancy agreements with revised</w:t>
      </w:r>
      <w:r w:rsidR="00110035">
        <w:rPr>
          <w:rFonts w:ascii="Bookman Old Style" w:eastAsia="Calibri" w:hAnsi="Bookman Old Style" w:cs="Tahoma"/>
          <w:sz w:val="28"/>
          <w:szCs w:val="28"/>
        </w:rPr>
        <w:t xml:space="preserve"> rentals</w:t>
      </w:r>
      <w:r w:rsidR="00270C71">
        <w:rPr>
          <w:rFonts w:ascii="Bookman Old Style" w:eastAsia="Calibri" w:hAnsi="Bookman Old Style" w:cs="Tahoma"/>
          <w:sz w:val="28"/>
          <w:szCs w:val="28"/>
        </w:rPr>
        <w:t>.</w:t>
      </w:r>
    </w:p>
    <w:p w:rsidR="00270C71" w:rsidRDefault="00270C71" w:rsidP="00474CC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lastRenderedPageBreak/>
        <w:tab/>
        <w:t xml:space="preserve">The relevant portion of the </w:t>
      </w:r>
      <w:proofErr w:type="spellStart"/>
      <w:r>
        <w:rPr>
          <w:rFonts w:ascii="Bookman Old Style" w:eastAsia="Calibri" w:hAnsi="Bookman Old Style" w:cs="Tahoma"/>
          <w:sz w:val="28"/>
          <w:szCs w:val="28"/>
        </w:rPr>
        <w:t>aforestated</w:t>
      </w:r>
      <w:proofErr w:type="spellEnd"/>
      <w:r>
        <w:rPr>
          <w:rFonts w:ascii="Bookman Old Style" w:eastAsia="Calibri" w:hAnsi="Bookman Old Style" w:cs="Tahoma"/>
          <w:sz w:val="28"/>
          <w:szCs w:val="28"/>
        </w:rPr>
        <w:t xml:space="preserve"> letter reads as follows:</w:t>
      </w:r>
    </w:p>
    <w:p w:rsidR="00270C71" w:rsidRDefault="00270C71" w:rsidP="00474CC4">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ab/>
        <w:t>“</w:t>
      </w:r>
      <w:r w:rsidRPr="00613B92">
        <w:rPr>
          <w:rFonts w:ascii="Bookman Old Style" w:eastAsia="Calibri" w:hAnsi="Bookman Old Style" w:cs="Tahoma"/>
          <w:b/>
          <w:sz w:val="28"/>
          <w:szCs w:val="28"/>
          <w:u w:val="single"/>
        </w:rPr>
        <w:t>Improvements to rented premises</w:t>
      </w:r>
    </w:p>
    <w:p w:rsidR="00270C71" w:rsidRPr="00D459AE" w:rsidRDefault="00270C71" w:rsidP="00270C71">
      <w:pPr>
        <w:spacing w:line="360" w:lineRule="auto"/>
        <w:ind w:left="720"/>
        <w:jc w:val="both"/>
        <w:rPr>
          <w:rFonts w:ascii="Bookman Old Style" w:eastAsia="Calibri" w:hAnsi="Bookman Old Style" w:cs="Tahoma"/>
          <w:b/>
          <w:i/>
          <w:sz w:val="24"/>
          <w:szCs w:val="24"/>
        </w:rPr>
      </w:pPr>
      <w:r w:rsidRPr="00D459AE">
        <w:rPr>
          <w:rFonts w:ascii="Bookman Old Style" w:eastAsia="Calibri" w:hAnsi="Bookman Old Style" w:cs="Tahoma"/>
          <w:b/>
          <w:i/>
          <w:sz w:val="24"/>
          <w:szCs w:val="24"/>
        </w:rPr>
        <w:t>It is inevitable that a substantial investment has to be made to the property in view of the deplorable condition in which the property is at the moment.  In this regard, it is envisaged that refurbishment of the premises shall commence during the month of December, 2011.  The improvements to be undertaken shall involve:</w:t>
      </w:r>
    </w:p>
    <w:p w:rsidR="00270C71" w:rsidRPr="00D459AE" w:rsidRDefault="00270C71" w:rsidP="00270C71">
      <w:pPr>
        <w:pStyle w:val="ListParagraph"/>
        <w:numPr>
          <w:ilvl w:val="0"/>
          <w:numId w:val="1"/>
        </w:numPr>
        <w:spacing w:line="360" w:lineRule="auto"/>
        <w:jc w:val="both"/>
        <w:rPr>
          <w:rFonts w:ascii="Bookman Old Style" w:eastAsia="Calibri" w:hAnsi="Bookman Old Style" w:cs="Tahoma"/>
          <w:b/>
          <w:i/>
          <w:sz w:val="24"/>
          <w:szCs w:val="24"/>
        </w:rPr>
      </w:pPr>
      <w:r w:rsidRPr="00D459AE">
        <w:rPr>
          <w:rFonts w:ascii="Bookman Old Style" w:eastAsia="Calibri" w:hAnsi="Bookman Old Style" w:cs="Tahoma"/>
          <w:b/>
          <w:i/>
          <w:sz w:val="24"/>
          <w:szCs w:val="24"/>
        </w:rPr>
        <w:t xml:space="preserve"> Rehabilitation of the water and sewer system</w:t>
      </w:r>
    </w:p>
    <w:p w:rsidR="00270C71" w:rsidRPr="00D459AE" w:rsidRDefault="00270C71" w:rsidP="00270C71">
      <w:pPr>
        <w:pStyle w:val="ListParagraph"/>
        <w:numPr>
          <w:ilvl w:val="0"/>
          <w:numId w:val="1"/>
        </w:numPr>
        <w:spacing w:line="360" w:lineRule="auto"/>
        <w:jc w:val="both"/>
        <w:rPr>
          <w:rFonts w:ascii="Bookman Old Style" w:eastAsia="Calibri" w:hAnsi="Bookman Old Style" w:cs="Tahoma"/>
          <w:b/>
          <w:i/>
          <w:sz w:val="24"/>
          <w:szCs w:val="24"/>
        </w:rPr>
      </w:pPr>
      <w:r w:rsidRPr="00D459AE">
        <w:rPr>
          <w:rFonts w:ascii="Bookman Old Style" w:eastAsia="Calibri" w:hAnsi="Bookman Old Style" w:cs="Tahoma"/>
          <w:b/>
          <w:i/>
          <w:sz w:val="24"/>
          <w:szCs w:val="24"/>
        </w:rPr>
        <w:t>Electricals</w:t>
      </w:r>
    </w:p>
    <w:p w:rsidR="00270C71" w:rsidRPr="00D459AE" w:rsidRDefault="00270C71" w:rsidP="00270C71">
      <w:pPr>
        <w:pStyle w:val="ListParagraph"/>
        <w:numPr>
          <w:ilvl w:val="0"/>
          <w:numId w:val="1"/>
        </w:numPr>
        <w:spacing w:line="360" w:lineRule="auto"/>
        <w:jc w:val="both"/>
        <w:rPr>
          <w:rFonts w:ascii="Bookman Old Style" w:eastAsia="Calibri" w:hAnsi="Bookman Old Style" w:cs="Tahoma"/>
          <w:b/>
          <w:i/>
          <w:sz w:val="24"/>
          <w:szCs w:val="24"/>
        </w:rPr>
      </w:pPr>
      <w:r w:rsidRPr="00D459AE">
        <w:rPr>
          <w:rFonts w:ascii="Bookman Old Style" w:eastAsia="Calibri" w:hAnsi="Bookman Old Style" w:cs="Tahoma"/>
          <w:b/>
          <w:i/>
          <w:sz w:val="24"/>
          <w:szCs w:val="24"/>
        </w:rPr>
        <w:t>Painting</w:t>
      </w:r>
    </w:p>
    <w:p w:rsidR="00270C71" w:rsidRPr="00D459AE" w:rsidRDefault="00270C71" w:rsidP="00270C71">
      <w:pPr>
        <w:pStyle w:val="ListParagraph"/>
        <w:numPr>
          <w:ilvl w:val="0"/>
          <w:numId w:val="1"/>
        </w:numPr>
        <w:spacing w:line="360" w:lineRule="auto"/>
        <w:jc w:val="both"/>
        <w:rPr>
          <w:rFonts w:ascii="Bookman Old Style" w:eastAsia="Calibri" w:hAnsi="Bookman Old Style" w:cs="Tahoma"/>
          <w:b/>
          <w:i/>
          <w:sz w:val="24"/>
          <w:szCs w:val="24"/>
        </w:rPr>
      </w:pPr>
      <w:r w:rsidRPr="00D459AE">
        <w:rPr>
          <w:rFonts w:ascii="Bookman Old Style" w:eastAsia="Calibri" w:hAnsi="Bookman Old Style" w:cs="Tahoma"/>
          <w:b/>
          <w:i/>
          <w:sz w:val="24"/>
          <w:szCs w:val="24"/>
        </w:rPr>
        <w:t>Replacement of some fixtures and fittings</w:t>
      </w:r>
    </w:p>
    <w:p w:rsidR="00270C71" w:rsidRPr="00D459AE" w:rsidRDefault="00270C71" w:rsidP="00270C71">
      <w:pPr>
        <w:pStyle w:val="ListParagraph"/>
        <w:numPr>
          <w:ilvl w:val="0"/>
          <w:numId w:val="1"/>
        </w:numPr>
        <w:spacing w:line="360" w:lineRule="auto"/>
        <w:jc w:val="both"/>
        <w:rPr>
          <w:rFonts w:ascii="Bookman Old Style" w:eastAsia="Calibri" w:hAnsi="Bookman Old Style" w:cs="Tahoma"/>
          <w:b/>
          <w:i/>
          <w:sz w:val="24"/>
          <w:szCs w:val="24"/>
        </w:rPr>
      </w:pPr>
      <w:r w:rsidRPr="00D459AE">
        <w:rPr>
          <w:rFonts w:ascii="Bookman Old Style" w:eastAsia="Calibri" w:hAnsi="Bookman Old Style" w:cs="Tahoma"/>
          <w:b/>
          <w:i/>
          <w:sz w:val="24"/>
          <w:szCs w:val="24"/>
        </w:rPr>
        <w:t>Works on roofing</w:t>
      </w:r>
    </w:p>
    <w:p w:rsidR="00270C71" w:rsidRPr="00D459AE" w:rsidRDefault="00270C71" w:rsidP="00270C71">
      <w:pPr>
        <w:pStyle w:val="ListParagraph"/>
        <w:numPr>
          <w:ilvl w:val="0"/>
          <w:numId w:val="1"/>
        </w:numPr>
        <w:spacing w:line="360" w:lineRule="auto"/>
        <w:jc w:val="both"/>
        <w:rPr>
          <w:rFonts w:ascii="Bookman Old Style" w:eastAsia="Calibri" w:hAnsi="Bookman Old Style" w:cs="Tahoma"/>
          <w:b/>
          <w:i/>
          <w:sz w:val="24"/>
          <w:szCs w:val="24"/>
        </w:rPr>
      </w:pPr>
      <w:r w:rsidRPr="00D459AE">
        <w:rPr>
          <w:rFonts w:ascii="Bookman Old Style" w:eastAsia="Calibri" w:hAnsi="Bookman Old Style" w:cs="Tahoma"/>
          <w:b/>
          <w:i/>
          <w:sz w:val="24"/>
          <w:szCs w:val="24"/>
        </w:rPr>
        <w:t>Construction of additional bedrooms to some units and</w:t>
      </w:r>
    </w:p>
    <w:p w:rsidR="00270C71" w:rsidRPr="00D459AE" w:rsidRDefault="00270C71" w:rsidP="00270C71">
      <w:pPr>
        <w:pStyle w:val="ListParagraph"/>
        <w:numPr>
          <w:ilvl w:val="0"/>
          <w:numId w:val="1"/>
        </w:numPr>
        <w:spacing w:line="360" w:lineRule="auto"/>
        <w:jc w:val="both"/>
        <w:rPr>
          <w:rFonts w:ascii="Bookman Old Style" w:eastAsia="Calibri" w:hAnsi="Bookman Old Style" w:cs="Tahoma"/>
          <w:b/>
          <w:i/>
          <w:sz w:val="24"/>
          <w:szCs w:val="24"/>
        </w:rPr>
      </w:pPr>
      <w:r w:rsidRPr="00D459AE">
        <w:rPr>
          <w:rFonts w:ascii="Bookman Old Style" w:eastAsia="Calibri" w:hAnsi="Bookman Old Style" w:cs="Tahoma"/>
          <w:b/>
          <w:i/>
          <w:sz w:val="24"/>
          <w:szCs w:val="24"/>
        </w:rPr>
        <w:t>General external wor</w:t>
      </w:r>
      <w:r w:rsidR="004E1BF7" w:rsidRPr="00D459AE">
        <w:rPr>
          <w:rFonts w:ascii="Bookman Old Style" w:eastAsia="Calibri" w:hAnsi="Bookman Old Style" w:cs="Tahoma"/>
          <w:b/>
          <w:i/>
          <w:sz w:val="24"/>
          <w:szCs w:val="24"/>
        </w:rPr>
        <w:t>ks on drive way, parking garden</w:t>
      </w:r>
      <w:r w:rsidRPr="00D459AE">
        <w:rPr>
          <w:rFonts w:ascii="Bookman Old Style" w:eastAsia="Calibri" w:hAnsi="Bookman Old Style" w:cs="Tahoma"/>
          <w:b/>
          <w:i/>
          <w:sz w:val="24"/>
          <w:szCs w:val="24"/>
        </w:rPr>
        <w:t>s etc.</w:t>
      </w:r>
    </w:p>
    <w:p w:rsidR="004E1BF7" w:rsidRPr="00D459AE" w:rsidRDefault="004E1BF7" w:rsidP="004E1BF7">
      <w:pPr>
        <w:spacing w:line="360" w:lineRule="auto"/>
        <w:ind w:left="720"/>
        <w:jc w:val="both"/>
        <w:rPr>
          <w:rFonts w:ascii="Bookman Old Style" w:eastAsia="Calibri" w:hAnsi="Bookman Old Style" w:cs="Tahoma"/>
          <w:b/>
          <w:i/>
          <w:sz w:val="24"/>
          <w:szCs w:val="24"/>
        </w:rPr>
      </w:pPr>
      <w:r w:rsidRPr="00D459AE">
        <w:rPr>
          <w:rFonts w:ascii="Bookman Old Style" w:eastAsia="Calibri" w:hAnsi="Bookman Old Style" w:cs="Tahoma"/>
          <w:b/>
          <w:i/>
          <w:sz w:val="24"/>
          <w:szCs w:val="24"/>
        </w:rPr>
        <w:t>The Landlord wishes to upgrade the dilapidated property to a prime property particularly that it is in a prime location.</w:t>
      </w:r>
    </w:p>
    <w:p w:rsidR="004E1BF7" w:rsidRPr="00D459AE" w:rsidRDefault="004E1BF7" w:rsidP="004E1BF7">
      <w:pPr>
        <w:spacing w:line="360" w:lineRule="auto"/>
        <w:ind w:left="720"/>
        <w:jc w:val="both"/>
        <w:rPr>
          <w:rFonts w:ascii="Bookman Old Style" w:eastAsia="Calibri" w:hAnsi="Bookman Old Style" w:cs="Tahoma"/>
          <w:b/>
          <w:i/>
          <w:sz w:val="24"/>
          <w:szCs w:val="24"/>
          <w:u w:val="single"/>
        </w:rPr>
      </w:pPr>
      <w:r w:rsidRPr="00D459AE">
        <w:rPr>
          <w:rFonts w:ascii="Bookman Old Style" w:eastAsia="Calibri" w:hAnsi="Bookman Old Style" w:cs="Tahoma"/>
          <w:b/>
          <w:i/>
          <w:sz w:val="24"/>
          <w:szCs w:val="24"/>
          <w:u w:val="single"/>
        </w:rPr>
        <w:t>New Tenancy Agreements</w:t>
      </w:r>
    </w:p>
    <w:p w:rsidR="004E1BF7" w:rsidRPr="00D459AE" w:rsidRDefault="004E1BF7" w:rsidP="004E1BF7">
      <w:pPr>
        <w:spacing w:line="360" w:lineRule="auto"/>
        <w:ind w:left="720"/>
        <w:jc w:val="both"/>
        <w:rPr>
          <w:rFonts w:ascii="Bookman Old Style" w:eastAsia="Calibri" w:hAnsi="Bookman Old Style" w:cs="Tahoma"/>
          <w:b/>
          <w:i/>
          <w:sz w:val="24"/>
          <w:szCs w:val="24"/>
        </w:rPr>
      </w:pPr>
      <w:r w:rsidRPr="00D459AE">
        <w:rPr>
          <w:rFonts w:ascii="Bookman Old Style" w:eastAsia="Calibri" w:hAnsi="Bookman Old Style" w:cs="Tahoma"/>
          <w:b/>
          <w:i/>
          <w:sz w:val="24"/>
          <w:szCs w:val="24"/>
        </w:rPr>
        <w:t>The Landlord wishes to formally inform the Tenants that all existing leases shall terminate on 14</w:t>
      </w:r>
      <w:r w:rsidRPr="00D459AE">
        <w:rPr>
          <w:rFonts w:ascii="Bookman Old Style" w:eastAsia="Calibri" w:hAnsi="Bookman Old Style" w:cs="Tahoma"/>
          <w:b/>
          <w:i/>
          <w:sz w:val="24"/>
          <w:szCs w:val="24"/>
          <w:vertAlign w:val="superscript"/>
        </w:rPr>
        <w:t>th</w:t>
      </w:r>
      <w:r w:rsidRPr="00D459AE">
        <w:rPr>
          <w:rFonts w:ascii="Bookman Old Style" w:eastAsia="Calibri" w:hAnsi="Bookman Old Style" w:cs="Tahoma"/>
          <w:b/>
          <w:i/>
          <w:sz w:val="24"/>
          <w:szCs w:val="24"/>
        </w:rPr>
        <w:t xml:space="preserve"> February, 2012 representing a Notice period of ninety (90) days from the date of this notice.</w:t>
      </w:r>
    </w:p>
    <w:p w:rsidR="004E1BF7" w:rsidRDefault="004E1BF7" w:rsidP="004E1BF7">
      <w:pPr>
        <w:spacing w:line="360" w:lineRule="auto"/>
        <w:ind w:left="720"/>
        <w:jc w:val="both"/>
        <w:rPr>
          <w:rFonts w:ascii="Bookman Old Style" w:eastAsia="Calibri" w:hAnsi="Bookman Old Style" w:cs="Tahoma"/>
          <w:b/>
          <w:i/>
          <w:sz w:val="24"/>
          <w:szCs w:val="24"/>
        </w:rPr>
      </w:pPr>
      <w:r w:rsidRPr="00D459AE">
        <w:rPr>
          <w:rFonts w:ascii="Bookman Old Style" w:eastAsia="Calibri" w:hAnsi="Bookman Old Style" w:cs="Tahoma"/>
          <w:b/>
          <w:i/>
          <w:sz w:val="24"/>
          <w:szCs w:val="24"/>
        </w:rPr>
        <w:t>The new tenancy agreements will reflect a revised rental adjustment of ninety percent (90) above the current rentals.  Tenants have up to the 30</w:t>
      </w:r>
      <w:r w:rsidRPr="00D459AE">
        <w:rPr>
          <w:rFonts w:ascii="Bookman Old Style" w:eastAsia="Calibri" w:hAnsi="Bookman Old Style" w:cs="Tahoma"/>
          <w:b/>
          <w:i/>
          <w:sz w:val="24"/>
          <w:szCs w:val="24"/>
          <w:vertAlign w:val="superscript"/>
        </w:rPr>
        <w:t>th</w:t>
      </w:r>
      <w:r w:rsidRPr="00D459AE">
        <w:rPr>
          <w:rFonts w:ascii="Bookman Old Style" w:eastAsia="Calibri" w:hAnsi="Bookman Old Style" w:cs="Tahoma"/>
          <w:b/>
          <w:i/>
          <w:sz w:val="24"/>
          <w:szCs w:val="24"/>
        </w:rPr>
        <w:t xml:space="preserve"> December, 2011 to indicate in writing whether or not they wish to enter new leases effective 12</w:t>
      </w:r>
      <w:r w:rsidRPr="00D459AE">
        <w:rPr>
          <w:rFonts w:ascii="Bookman Old Style" w:eastAsia="Calibri" w:hAnsi="Bookman Old Style" w:cs="Tahoma"/>
          <w:b/>
          <w:i/>
          <w:sz w:val="24"/>
          <w:szCs w:val="24"/>
          <w:vertAlign w:val="superscript"/>
        </w:rPr>
        <w:t>th</w:t>
      </w:r>
      <w:r w:rsidRPr="00D459AE">
        <w:rPr>
          <w:rFonts w:ascii="Bookman Old Style" w:eastAsia="Calibri" w:hAnsi="Bookman Old Style" w:cs="Tahoma"/>
          <w:b/>
          <w:i/>
          <w:sz w:val="24"/>
          <w:szCs w:val="24"/>
        </w:rPr>
        <w:t xml:space="preserve"> February, 2012.”</w:t>
      </w:r>
    </w:p>
    <w:p w:rsidR="00D459AE" w:rsidRDefault="00D459AE" w:rsidP="00D459AE">
      <w:pPr>
        <w:spacing w:line="360" w:lineRule="auto"/>
        <w:ind w:left="180" w:firstLine="540"/>
        <w:jc w:val="both"/>
        <w:rPr>
          <w:rFonts w:ascii="Bookman Old Style" w:eastAsia="Calibri" w:hAnsi="Bookman Old Style" w:cs="Tahoma"/>
          <w:sz w:val="28"/>
          <w:szCs w:val="28"/>
        </w:rPr>
      </w:pPr>
      <w:r>
        <w:rPr>
          <w:rFonts w:ascii="Bookman Old Style" w:eastAsia="Calibri" w:hAnsi="Bookman Old Style" w:cs="Tahoma"/>
          <w:sz w:val="28"/>
          <w:szCs w:val="28"/>
        </w:rPr>
        <w:lastRenderedPageBreak/>
        <w:t>The</w:t>
      </w:r>
      <w:r w:rsidR="00DB2133">
        <w:rPr>
          <w:rFonts w:ascii="Bookman Old Style" w:eastAsia="Calibri" w:hAnsi="Bookman Old Style" w:cs="Tahoma"/>
          <w:sz w:val="28"/>
          <w:szCs w:val="28"/>
        </w:rPr>
        <w:t>re</w:t>
      </w:r>
      <w:r>
        <w:rPr>
          <w:rFonts w:ascii="Bookman Old Style" w:eastAsia="Calibri" w:hAnsi="Bookman Old Style" w:cs="Tahoma"/>
          <w:sz w:val="28"/>
          <w:szCs w:val="28"/>
        </w:rPr>
        <w:t xml:space="preserve"> is no evidence that any of the Applicants reverted to the Respondent by the 30</w:t>
      </w:r>
      <w:r w:rsidRPr="00D459AE">
        <w:rPr>
          <w:rFonts w:ascii="Bookman Old Style" w:eastAsia="Calibri" w:hAnsi="Bookman Old Style" w:cs="Tahoma"/>
          <w:sz w:val="28"/>
          <w:szCs w:val="28"/>
          <w:vertAlign w:val="superscript"/>
        </w:rPr>
        <w:t>th</w:t>
      </w:r>
      <w:r>
        <w:rPr>
          <w:rFonts w:ascii="Bookman Old Style" w:eastAsia="Calibri" w:hAnsi="Bookman Old Style" w:cs="Tahoma"/>
          <w:sz w:val="28"/>
          <w:szCs w:val="28"/>
        </w:rPr>
        <w:t xml:space="preserve"> </w:t>
      </w:r>
      <w:r w:rsidR="00BB45DA">
        <w:rPr>
          <w:rFonts w:ascii="Bookman Old Style" w:eastAsia="Calibri" w:hAnsi="Bookman Old Style" w:cs="Tahoma"/>
          <w:sz w:val="28"/>
          <w:szCs w:val="28"/>
        </w:rPr>
        <w:t xml:space="preserve">day </w:t>
      </w:r>
      <w:r>
        <w:rPr>
          <w:rFonts w:ascii="Bookman Old Style" w:eastAsia="Calibri" w:hAnsi="Bookman Old Style" w:cs="Tahoma"/>
          <w:sz w:val="28"/>
          <w:szCs w:val="28"/>
        </w:rPr>
        <w:t>of December, 2011 to indicate in writing whether or not they wished to enter into new leases.  However, the Applicants</w:t>
      </w:r>
      <w:r w:rsidR="0062706F">
        <w:rPr>
          <w:rFonts w:ascii="Bookman Old Style" w:eastAsia="Calibri" w:hAnsi="Bookman Old Style" w:cs="Tahoma"/>
          <w:sz w:val="28"/>
          <w:szCs w:val="28"/>
        </w:rPr>
        <w:t xml:space="preserve"> did later through LTIRC vide letters dated 24</w:t>
      </w:r>
      <w:r w:rsidR="0062706F" w:rsidRPr="0062706F">
        <w:rPr>
          <w:rFonts w:ascii="Bookman Old Style" w:eastAsia="Calibri" w:hAnsi="Bookman Old Style" w:cs="Tahoma"/>
          <w:sz w:val="28"/>
          <w:szCs w:val="28"/>
          <w:vertAlign w:val="superscript"/>
        </w:rPr>
        <w:t>th</w:t>
      </w:r>
      <w:r w:rsidR="0062706F">
        <w:rPr>
          <w:rFonts w:ascii="Bookman Old Style" w:eastAsia="Calibri" w:hAnsi="Bookman Old Style" w:cs="Tahoma"/>
          <w:sz w:val="28"/>
          <w:szCs w:val="28"/>
        </w:rPr>
        <w:t xml:space="preserve"> February and 28</w:t>
      </w:r>
      <w:r w:rsidR="0062706F" w:rsidRPr="0062706F">
        <w:rPr>
          <w:rFonts w:ascii="Bookman Old Style" w:eastAsia="Calibri" w:hAnsi="Bookman Old Style" w:cs="Tahoma"/>
          <w:sz w:val="28"/>
          <w:szCs w:val="28"/>
          <w:vertAlign w:val="superscript"/>
        </w:rPr>
        <w:t>th</w:t>
      </w:r>
      <w:r w:rsidR="0062706F">
        <w:rPr>
          <w:rFonts w:ascii="Bookman Old Style" w:eastAsia="Calibri" w:hAnsi="Bookman Old Style" w:cs="Tahoma"/>
          <w:sz w:val="28"/>
          <w:szCs w:val="28"/>
        </w:rPr>
        <w:t xml:space="preserve"> March, 2012 </w:t>
      </w:r>
      <w:r w:rsidR="00BB45DA">
        <w:rPr>
          <w:rFonts w:ascii="Bookman Old Style" w:eastAsia="Calibri" w:hAnsi="Bookman Old Style" w:cs="Tahoma"/>
          <w:sz w:val="28"/>
          <w:szCs w:val="28"/>
        </w:rPr>
        <w:t xml:space="preserve">try </w:t>
      </w:r>
      <w:r w:rsidR="0062706F">
        <w:rPr>
          <w:rFonts w:ascii="Bookman Old Style" w:eastAsia="Calibri" w:hAnsi="Bookman Old Style" w:cs="Tahoma"/>
          <w:sz w:val="28"/>
          <w:szCs w:val="28"/>
        </w:rPr>
        <w:t>to seek audience with the Respondent over the issues of property maintenance, the tenancy agreements and the proposed rental increments, which audience was never granted.  There is also no documentary evidence that the Respondent threatened to evict the Applicants herein.  However, the Applicants apprehension can be justified and in fact can be inferred from the tone of the Respondents letter of 20</w:t>
      </w:r>
      <w:r w:rsidR="0062706F" w:rsidRPr="0062706F">
        <w:rPr>
          <w:rFonts w:ascii="Bookman Old Style" w:eastAsia="Calibri" w:hAnsi="Bookman Old Style" w:cs="Tahoma"/>
          <w:sz w:val="28"/>
          <w:szCs w:val="28"/>
          <w:vertAlign w:val="superscript"/>
        </w:rPr>
        <w:t>th</w:t>
      </w:r>
      <w:r w:rsidR="0062706F">
        <w:rPr>
          <w:rFonts w:ascii="Bookman Old Style" w:eastAsia="Calibri" w:hAnsi="Bookman Old Style" w:cs="Tahoma"/>
          <w:sz w:val="28"/>
          <w:szCs w:val="28"/>
        </w:rPr>
        <w:t xml:space="preserve"> April, 2012 in which the Respondent unilaterally wants to have possession of the </w:t>
      </w:r>
      <w:proofErr w:type="spellStart"/>
      <w:r w:rsidR="0062706F">
        <w:rPr>
          <w:rFonts w:ascii="Bookman Old Style" w:eastAsia="Calibri" w:hAnsi="Bookman Old Style" w:cs="Tahoma"/>
          <w:sz w:val="28"/>
          <w:szCs w:val="28"/>
        </w:rPr>
        <w:t>Makeni</w:t>
      </w:r>
      <w:proofErr w:type="spellEnd"/>
      <w:r w:rsidR="0062706F">
        <w:rPr>
          <w:rFonts w:ascii="Bookman Old Style" w:eastAsia="Calibri" w:hAnsi="Bookman Old Style" w:cs="Tahoma"/>
          <w:sz w:val="28"/>
          <w:szCs w:val="28"/>
        </w:rPr>
        <w:t xml:space="preserve"> Villas without leave of the Court and in fact in total disregard of these court proceedings which action is in fact contemptuous.</w:t>
      </w:r>
    </w:p>
    <w:p w:rsidR="0062706F" w:rsidRDefault="0062706F" w:rsidP="00D459AE">
      <w:pPr>
        <w:spacing w:line="360" w:lineRule="auto"/>
        <w:ind w:left="180" w:firstLine="540"/>
        <w:jc w:val="both"/>
        <w:rPr>
          <w:rFonts w:ascii="Bookman Old Style" w:eastAsia="Calibri" w:hAnsi="Bookman Old Style" w:cs="Tahoma"/>
          <w:sz w:val="28"/>
          <w:szCs w:val="28"/>
        </w:rPr>
      </w:pPr>
      <w:r>
        <w:rPr>
          <w:rFonts w:ascii="Bookman Old Style" w:eastAsia="Calibri" w:hAnsi="Bookman Old Style" w:cs="Tahoma"/>
          <w:sz w:val="28"/>
          <w:szCs w:val="28"/>
        </w:rPr>
        <w:t>As earlier alluded to the Applicants are Statutory Tenants, who are seeking the Court</w:t>
      </w:r>
      <w:r w:rsidR="00404CCF">
        <w:rPr>
          <w:rFonts w:ascii="Bookman Old Style" w:eastAsia="Calibri" w:hAnsi="Bookman Old Style" w:cs="Tahoma"/>
          <w:sz w:val="28"/>
          <w:szCs w:val="28"/>
        </w:rPr>
        <w:t xml:space="preserve">s determination of a standard rent after structural improvements and/or repairs are carried out on </w:t>
      </w:r>
      <w:proofErr w:type="spellStart"/>
      <w:r w:rsidR="00404CCF">
        <w:rPr>
          <w:rFonts w:ascii="Bookman Old Style" w:eastAsia="Calibri" w:hAnsi="Bookman Old Style" w:cs="Tahoma"/>
          <w:sz w:val="28"/>
          <w:szCs w:val="28"/>
        </w:rPr>
        <w:t>Makeni</w:t>
      </w:r>
      <w:proofErr w:type="spellEnd"/>
      <w:r w:rsidR="00404CCF">
        <w:rPr>
          <w:rFonts w:ascii="Bookman Old Style" w:eastAsia="Calibri" w:hAnsi="Bookman Old Style" w:cs="Tahoma"/>
          <w:sz w:val="28"/>
          <w:szCs w:val="28"/>
        </w:rPr>
        <w:t xml:space="preserve"> Villas.</w:t>
      </w:r>
    </w:p>
    <w:p w:rsidR="00404CCF" w:rsidRDefault="00404CCF" w:rsidP="00D459AE">
      <w:pPr>
        <w:spacing w:line="360" w:lineRule="auto"/>
        <w:ind w:left="180" w:firstLine="540"/>
        <w:jc w:val="both"/>
        <w:rPr>
          <w:rFonts w:ascii="Bookman Old Style" w:eastAsia="Calibri" w:hAnsi="Bookman Old Style" w:cs="Tahoma"/>
          <w:sz w:val="28"/>
          <w:szCs w:val="28"/>
        </w:rPr>
      </w:pPr>
      <w:r>
        <w:rPr>
          <w:rFonts w:ascii="Bookman Old Style" w:eastAsia="Calibri" w:hAnsi="Bookman Old Style" w:cs="Tahoma"/>
          <w:sz w:val="28"/>
          <w:szCs w:val="28"/>
        </w:rPr>
        <w:t>It is in that view that they now seek this injunction to protect them from eviction until the determination of the main cause herein.</w:t>
      </w:r>
    </w:p>
    <w:p w:rsidR="00404CCF" w:rsidRDefault="00404CCF" w:rsidP="00D459AE">
      <w:pPr>
        <w:spacing w:line="360" w:lineRule="auto"/>
        <w:ind w:left="180" w:firstLine="540"/>
        <w:jc w:val="both"/>
        <w:rPr>
          <w:rFonts w:ascii="Bookman Old Style" w:eastAsia="Calibri" w:hAnsi="Bookman Old Style" w:cs="Tahoma"/>
          <w:sz w:val="28"/>
          <w:szCs w:val="28"/>
        </w:rPr>
      </w:pPr>
      <w:r>
        <w:rPr>
          <w:rFonts w:ascii="Bookman Old Style" w:eastAsia="Calibri" w:hAnsi="Bookman Old Style" w:cs="Tahoma"/>
          <w:sz w:val="28"/>
          <w:szCs w:val="28"/>
        </w:rPr>
        <w:t>In the view that I take, there is no doubt</w:t>
      </w:r>
      <w:r w:rsidR="00BB45DA">
        <w:rPr>
          <w:rFonts w:ascii="Bookman Old Style" w:eastAsia="Calibri" w:hAnsi="Bookman Old Style" w:cs="Tahoma"/>
          <w:sz w:val="28"/>
          <w:szCs w:val="28"/>
        </w:rPr>
        <w:t>,</w:t>
      </w:r>
      <w:r>
        <w:rPr>
          <w:rFonts w:ascii="Bookman Old Style" w:eastAsia="Calibri" w:hAnsi="Bookman Old Style" w:cs="Tahoma"/>
          <w:sz w:val="28"/>
          <w:szCs w:val="28"/>
        </w:rPr>
        <w:t xml:space="preserve"> all things being equal that the Applicants have established a clear right to the </w:t>
      </w:r>
      <w:r>
        <w:rPr>
          <w:rFonts w:ascii="Bookman Old Style" w:eastAsia="Calibri" w:hAnsi="Bookman Old Style" w:cs="Tahoma"/>
          <w:sz w:val="28"/>
          <w:szCs w:val="28"/>
        </w:rPr>
        <w:lastRenderedPageBreak/>
        <w:t xml:space="preserve">relief they are seeking and meets one of the requisites of an </w:t>
      </w:r>
      <w:r w:rsidR="00BB45DA">
        <w:rPr>
          <w:rFonts w:ascii="Bookman Old Style" w:eastAsia="Calibri" w:hAnsi="Bookman Old Style" w:cs="Tahoma"/>
          <w:sz w:val="28"/>
          <w:szCs w:val="28"/>
        </w:rPr>
        <w:t>I</w:t>
      </w:r>
      <w:r>
        <w:rPr>
          <w:rFonts w:ascii="Bookman Old Style" w:eastAsia="Calibri" w:hAnsi="Bookman Old Style" w:cs="Tahoma"/>
          <w:sz w:val="28"/>
          <w:szCs w:val="28"/>
        </w:rPr>
        <w:t>njunction</w:t>
      </w:r>
      <w:r w:rsidR="00BB45DA">
        <w:rPr>
          <w:rFonts w:ascii="Bookman Old Style" w:eastAsia="Calibri" w:hAnsi="Bookman Old Style" w:cs="Tahoma"/>
          <w:sz w:val="28"/>
          <w:szCs w:val="28"/>
        </w:rPr>
        <w:t xml:space="preserve"> being granted</w:t>
      </w:r>
      <w:r>
        <w:rPr>
          <w:rFonts w:ascii="Bookman Old Style" w:eastAsia="Calibri" w:hAnsi="Bookman Old Style" w:cs="Tahoma"/>
          <w:sz w:val="28"/>
          <w:szCs w:val="28"/>
        </w:rPr>
        <w:t>.</w:t>
      </w:r>
    </w:p>
    <w:p w:rsidR="00404CCF" w:rsidRDefault="00404CCF" w:rsidP="00D459AE">
      <w:pPr>
        <w:spacing w:line="360" w:lineRule="auto"/>
        <w:ind w:left="180" w:firstLine="540"/>
        <w:jc w:val="both"/>
        <w:rPr>
          <w:rFonts w:ascii="Bookman Old Style" w:eastAsia="Calibri" w:hAnsi="Bookman Old Style" w:cs="Tahoma"/>
          <w:sz w:val="28"/>
          <w:szCs w:val="28"/>
        </w:rPr>
      </w:pPr>
      <w:r>
        <w:rPr>
          <w:rFonts w:ascii="Bookman Old Style" w:eastAsia="Calibri" w:hAnsi="Bookman Old Style" w:cs="Tahoma"/>
          <w:sz w:val="28"/>
          <w:szCs w:val="28"/>
        </w:rPr>
        <w:t xml:space="preserve">As regards the issue of irreparable </w:t>
      </w:r>
      <w:r w:rsidR="007F0509">
        <w:rPr>
          <w:rFonts w:ascii="Bookman Old Style" w:eastAsia="Calibri" w:hAnsi="Bookman Old Style" w:cs="Tahoma"/>
          <w:sz w:val="28"/>
          <w:szCs w:val="28"/>
        </w:rPr>
        <w:t>of irreparable lo</w:t>
      </w:r>
      <w:r>
        <w:rPr>
          <w:rFonts w:ascii="Bookman Old Style" w:eastAsia="Calibri" w:hAnsi="Bookman Old Style" w:cs="Tahoma"/>
          <w:sz w:val="28"/>
          <w:szCs w:val="28"/>
        </w:rPr>
        <w:t>ss and damage, I have noted and taken into consideration the arguments by Counsel for the Respondent and the authority cited.</w:t>
      </w:r>
    </w:p>
    <w:p w:rsidR="00B33165" w:rsidRDefault="00404CCF" w:rsidP="007F0509">
      <w:pPr>
        <w:spacing w:line="360" w:lineRule="auto"/>
        <w:ind w:left="180" w:firstLine="540"/>
        <w:jc w:val="both"/>
        <w:rPr>
          <w:rFonts w:ascii="Bookman Old Style" w:eastAsia="Calibri" w:hAnsi="Bookman Old Style" w:cs="Tahoma"/>
          <w:sz w:val="28"/>
          <w:szCs w:val="28"/>
        </w:rPr>
      </w:pPr>
      <w:r>
        <w:rPr>
          <w:rFonts w:ascii="Bookman Old Style" w:eastAsia="Calibri" w:hAnsi="Bookman Old Style" w:cs="Tahoma"/>
          <w:sz w:val="28"/>
          <w:szCs w:val="28"/>
        </w:rPr>
        <w:t xml:space="preserve">However, I agree with Counsel for the Applicants that this </w:t>
      </w:r>
      <w:r w:rsidR="007F0509">
        <w:rPr>
          <w:rFonts w:ascii="Bookman Old Style" w:eastAsia="Calibri" w:hAnsi="Bookman Old Style" w:cs="Tahoma"/>
          <w:sz w:val="28"/>
          <w:szCs w:val="28"/>
        </w:rPr>
        <w:t>is a unique application for an I</w:t>
      </w:r>
      <w:r>
        <w:rPr>
          <w:rFonts w:ascii="Bookman Old Style" w:eastAsia="Calibri" w:hAnsi="Bookman Old Style" w:cs="Tahoma"/>
          <w:sz w:val="28"/>
          <w:szCs w:val="28"/>
        </w:rPr>
        <w:t xml:space="preserve">njunction as it has been brought under the </w:t>
      </w:r>
      <w:r w:rsidRPr="00404CCF">
        <w:rPr>
          <w:rFonts w:ascii="Bookman Old Style" w:eastAsia="Calibri" w:hAnsi="Bookman Old Style" w:cs="Tahoma"/>
          <w:b/>
          <w:sz w:val="28"/>
          <w:szCs w:val="28"/>
        </w:rPr>
        <w:t>Rent Act</w:t>
      </w:r>
      <w:r w:rsidRPr="00404CCF">
        <w:rPr>
          <w:rFonts w:ascii="Bookman Old Style" w:eastAsia="Calibri" w:hAnsi="Bookman Old Style" w:cs="Tahoma"/>
          <w:b/>
          <w:sz w:val="28"/>
          <w:szCs w:val="28"/>
          <w:vertAlign w:val="superscript"/>
        </w:rPr>
        <w:t>8</w:t>
      </w:r>
      <w:r>
        <w:rPr>
          <w:rFonts w:ascii="Bookman Old Style" w:eastAsia="Calibri" w:hAnsi="Bookman Old Style" w:cs="Tahoma"/>
          <w:sz w:val="28"/>
          <w:szCs w:val="28"/>
        </w:rPr>
        <w:t>, an Act of Parliament which provides for restrictions in the increase of rentals, determination of Standard rents, prohibition of payment</w:t>
      </w:r>
      <w:r w:rsidR="00B33165">
        <w:rPr>
          <w:rFonts w:ascii="Bookman Old Style" w:eastAsia="Calibri" w:hAnsi="Bookman Old Style" w:cs="Tahoma"/>
          <w:sz w:val="28"/>
          <w:szCs w:val="28"/>
        </w:rPr>
        <w:t xml:space="preserve"> of premiums and restricting the right to possession of dwelling houses and for other purposes</w:t>
      </w:r>
      <w:r w:rsidR="007F0509">
        <w:rPr>
          <w:rFonts w:ascii="Bookman Old Style" w:eastAsia="Calibri" w:hAnsi="Bookman Old Style" w:cs="Tahoma"/>
          <w:sz w:val="28"/>
          <w:szCs w:val="28"/>
        </w:rPr>
        <w:t xml:space="preserve"> i</w:t>
      </w:r>
      <w:r w:rsidR="00B33165">
        <w:rPr>
          <w:rFonts w:ascii="Bookman Old Style" w:eastAsia="Calibri" w:hAnsi="Bookman Old Style" w:cs="Tahoma"/>
          <w:sz w:val="28"/>
          <w:szCs w:val="28"/>
        </w:rPr>
        <w:t>ncidental to and connected with the relationship of Landlord and tenant of a dwelling house.</w:t>
      </w:r>
    </w:p>
    <w:p w:rsidR="00B33165" w:rsidRDefault="00B33165" w:rsidP="00D459AE">
      <w:pPr>
        <w:spacing w:line="360" w:lineRule="auto"/>
        <w:ind w:left="180" w:firstLine="540"/>
        <w:jc w:val="both"/>
        <w:rPr>
          <w:rFonts w:ascii="Bookman Old Style" w:eastAsia="Calibri" w:hAnsi="Bookman Old Style" w:cs="Tahoma"/>
          <w:sz w:val="28"/>
          <w:szCs w:val="28"/>
        </w:rPr>
      </w:pPr>
      <w:r>
        <w:rPr>
          <w:rFonts w:ascii="Bookman Old Style" w:eastAsia="Calibri" w:hAnsi="Bookman Old Style" w:cs="Tahoma"/>
          <w:sz w:val="28"/>
          <w:szCs w:val="28"/>
        </w:rPr>
        <w:t>Therefore, this</w:t>
      </w:r>
      <w:r w:rsidR="00DB2133">
        <w:rPr>
          <w:rFonts w:ascii="Bookman Old Style" w:eastAsia="Calibri" w:hAnsi="Bookman Old Style" w:cs="Tahoma"/>
          <w:sz w:val="28"/>
          <w:szCs w:val="28"/>
        </w:rPr>
        <w:t xml:space="preserve"> being an action governed by a s</w:t>
      </w:r>
      <w:r>
        <w:rPr>
          <w:rFonts w:ascii="Bookman Old Style" w:eastAsia="Calibri" w:hAnsi="Bookman Old Style" w:cs="Tahoma"/>
          <w:sz w:val="28"/>
          <w:szCs w:val="28"/>
        </w:rPr>
        <w:t>tatutory law, rather than equitable</w:t>
      </w:r>
      <w:r w:rsidR="007F0509">
        <w:rPr>
          <w:rFonts w:ascii="Bookman Old Style" w:eastAsia="Calibri" w:hAnsi="Bookman Old Style" w:cs="Tahoma"/>
          <w:sz w:val="28"/>
          <w:szCs w:val="28"/>
        </w:rPr>
        <w:t>,</w:t>
      </w:r>
      <w:r>
        <w:rPr>
          <w:rFonts w:ascii="Bookman Old Style" w:eastAsia="Calibri" w:hAnsi="Bookman Old Style" w:cs="Tahoma"/>
          <w:sz w:val="28"/>
          <w:szCs w:val="28"/>
        </w:rPr>
        <w:t xml:space="preserve"> civil or common law, it moves away from being a purely contractual action and becomes a matter of public interest and therefore the consideration of irreparable injury or loss becomes irrelevant.</w:t>
      </w:r>
    </w:p>
    <w:p w:rsidR="00B33165" w:rsidRDefault="00B33165" w:rsidP="00D459AE">
      <w:pPr>
        <w:spacing w:line="360" w:lineRule="auto"/>
        <w:ind w:left="180" w:firstLine="540"/>
        <w:jc w:val="both"/>
        <w:rPr>
          <w:rFonts w:ascii="Bookman Old Style" w:eastAsia="Calibri" w:hAnsi="Bookman Old Style" w:cs="Tahoma"/>
          <w:sz w:val="28"/>
          <w:szCs w:val="28"/>
        </w:rPr>
      </w:pPr>
      <w:r w:rsidRPr="007F0509">
        <w:rPr>
          <w:rFonts w:ascii="Bookman Old Style" w:eastAsia="Calibri" w:hAnsi="Bookman Old Style" w:cs="Tahoma"/>
          <w:b/>
          <w:sz w:val="28"/>
          <w:szCs w:val="28"/>
        </w:rPr>
        <w:t>Blacks Law Dictionary</w:t>
      </w:r>
      <w:r w:rsidR="007F0509" w:rsidRPr="007F0509">
        <w:rPr>
          <w:rFonts w:ascii="Bookman Old Style" w:eastAsia="Calibri" w:hAnsi="Bookman Old Style" w:cs="Tahoma"/>
          <w:b/>
          <w:sz w:val="28"/>
          <w:szCs w:val="28"/>
          <w:vertAlign w:val="superscript"/>
        </w:rPr>
        <w:t>10</w:t>
      </w:r>
      <w:r>
        <w:rPr>
          <w:rFonts w:ascii="Bookman Old Style" w:eastAsia="Calibri" w:hAnsi="Bookman Old Style" w:cs="Tahoma"/>
          <w:sz w:val="28"/>
          <w:szCs w:val="28"/>
        </w:rPr>
        <w:t xml:space="preserve"> defines Public interest as:</w:t>
      </w:r>
    </w:p>
    <w:p w:rsidR="00B33165" w:rsidRPr="00B33165" w:rsidRDefault="00B33165" w:rsidP="00B33165">
      <w:pPr>
        <w:ind w:left="1440"/>
        <w:jc w:val="both"/>
        <w:rPr>
          <w:rFonts w:ascii="Bookman Old Style" w:eastAsia="Calibri" w:hAnsi="Bookman Old Style" w:cs="Tahoma"/>
          <w:b/>
          <w:sz w:val="24"/>
          <w:szCs w:val="24"/>
        </w:rPr>
      </w:pPr>
      <w:r w:rsidRPr="00B33165">
        <w:rPr>
          <w:rFonts w:ascii="Bookman Old Style" w:eastAsia="Calibri" w:hAnsi="Bookman Old Style" w:cs="Tahoma"/>
          <w:b/>
          <w:sz w:val="24"/>
          <w:szCs w:val="24"/>
        </w:rPr>
        <w:t xml:space="preserve">“1. The general welfare of the public that warrants </w:t>
      </w:r>
    </w:p>
    <w:p w:rsidR="00B33165" w:rsidRPr="00B33165" w:rsidRDefault="00B33165" w:rsidP="00B33165">
      <w:pPr>
        <w:jc w:val="both"/>
        <w:rPr>
          <w:rFonts w:ascii="Bookman Old Style" w:eastAsia="Calibri" w:hAnsi="Bookman Old Style" w:cs="Tahoma"/>
          <w:b/>
          <w:sz w:val="24"/>
          <w:szCs w:val="24"/>
        </w:rPr>
      </w:pPr>
      <w:r w:rsidRPr="00B33165">
        <w:rPr>
          <w:rFonts w:ascii="Bookman Old Style" w:eastAsia="Calibri" w:hAnsi="Bookman Old Style" w:cs="Tahoma"/>
          <w:b/>
          <w:sz w:val="24"/>
          <w:szCs w:val="24"/>
        </w:rPr>
        <w:t xml:space="preserve">                      </w:t>
      </w:r>
      <w:proofErr w:type="gramStart"/>
      <w:r w:rsidRPr="00B33165">
        <w:rPr>
          <w:rFonts w:ascii="Bookman Old Style" w:eastAsia="Calibri" w:hAnsi="Bookman Old Style" w:cs="Tahoma"/>
          <w:b/>
          <w:sz w:val="24"/>
          <w:szCs w:val="24"/>
        </w:rPr>
        <w:t>recognition</w:t>
      </w:r>
      <w:proofErr w:type="gramEnd"/>
      <w:r w:rsidRPr="00B33165">
        <w:rPr>
          <w:rFonts w:ascii="Bookman Old Style" w:eastAsia="Calibri" w:hAnsi="Bookman Old Style" w:cs="Tahoma"/>
          <w:b/>
          <w:sz w:val="24"/>
          <w:szCs w:val="24"/>
        </w:rPr>
        <w:t xml:space="preserve">   and protection.</w:t>
      </w:r>
    </w:p>
    <w:p w:rsidR="00B33165" w:rsidRPr="00B33165" w:rsidRDefault="00B33165" w:rsidP="00B33165">
      <w:pPr>
        <w:spacing w:line="360" w:lineRule="auto"/>
        <w:ind w:left="2160" w:hanging="720"/>
        <w:jc w:val="both"/>
        <w:rPr>
          <w:rFonts w:ascii="Bookman Old Style" w:eastAsia="Calibri" w:hAnsi="Bookman Old Style" w:cs="Tahoma"/>
          <w:b/>
          <w:sz w:val="24"/>
          <w:szCs w:val="24"/>
        </w:rPr>
      </w:pPr>
      <w:proofErr w:type="gramStart"/>
      <w:r w:rsidRPr="00B33165">
        <w:rPr>
          <w:rFonts w:ascii="Bookman Old Style" w:eastAsia="Calibri" w:hAnsi="Bookman Old Style" w:cs="Tahoma"/>
          <w:b/>
          <w:sz w:val="24"/>
          <w:szCs w:val="24"/>
        </w:rPr>
        <w:t>2.</w:t>
      </w:r>
      <w:r w:rsidRPr="00B33165">
        <w:rPr>
          <w:rFonts w:ascii="Bookman Old Style" w:eastAsia="Calibri" w:hAnsi="Bookman Old Style" w:cs="Tahoma"/>
          <w:b/>
          <w:sz w:val="24"/>
          <w:szCs w:val="24"/>
        </w:rPr>
        <w:tab/>
        <w:t>Something in which the public as a whole has a stable especially an interest that justifies governmental regulation.”</w:t>
      </w:r>
      <w:proofErr w:type="gramEnd"/>
    </w:p>
    <w:p w:rsidR="00404CCF" w:rsidRDefault="00B33165" w:rsidP="00D459AE">
      <w:pPr>
        <w:spacing w:line="360" w:lineRule="auto"/>
        <w:ind w:left="180" w:firstLine="540"/>
        <w:jc w:val="both"/>
        <w:rPr>
          <w:rFonts w:ascii="Bookman Old Style" w:eastAsia="Calibri" w:hAnsi="Bookman Old Style" w:cs="Tahoma"/>
          <w:sz w:val="28"/>
          <w:szCs w:val="28"/>
        </w:rPr>
      </w:pPr>
      <w:r>
        <w:rPr>
          <w:rFonts w:ascii="Bookman Old Style" w:eastAsia="Calibri" w:hAnsi="Bookman Old Style" w:cs="Tahoma"/>
          <w:sz w:val="28"/>
          <w:szCs w:val="28"/>
        </w:rPr>
        <w:lastRenderedPageBreak/>
        <w:t xml:space="preserve">   The </w:t>
      </w:r>
      <w:r w:rsidRPr="00B33165">
        <w:rPr>
          <w:rFonts w:ascii="Bookman Old Style" w:eastAsia="Calibri" w:hAnsi="Bookman Old Style" w:cs="Tahoma"/>
          <w:b/>
          <w:sz w:val="28"/>
          <w:szCs w:val="28"/>
        </w:rPr>
        <w:t>Rent Act</w:t>
      </w:r>
      <w:r w:rsidRPr="00B33165">
        <w:rPr>
          <w:rFonts w:ascii="Bookman Old Style" w:eastAsia="Calibri" w:hAnsi="Bookman Old Style" w:cs="Tahoma"/>
          <w:b/>
          <w:sz w:val="28"/>
          <w:szCs w:val="28"/>
          <w:vertAlign w:val="superscript"/>
        </w:rPr>
        <w:t>8</w:t>
      </w:r>
      <w:r>
        <w:rPr>
          <w:rFonts w:ascii="Bookman Old Style" w:eastAsia="Calibri" w:hAnsi="Bookman Old Style" w:cs="Tahoma"/>
          <w:b/>
          <w:sz w:val="28"/>
          <w:szCs w:val="28"/>
        </w:rPr>
        <w:t xml:space="preserve"> </w:t>
      </w:r>
      <w:r w:rsidR="008C5280">
        <w:rPr>
          <w:rFonts w:ascii="Bookman Old Style" w:eastAsia="Calibri" w:hAnsi="Bookman Old Style" w:cs="Tahoma"/>
          <w:sz w:val="28"/>
          <w:szCs w:val="28"/>
        </w:rPr>
        <w:t>is a regulation for the good and protection of the tenants under the provisions of the Act an</w:t>
      </w:r>
      <w:r w:rsidR="00241FC8">
        <w:rPr>
          <w:rFonts w:ascii="Bookman Old Style" w:eastAsia="Calibri" w:hAnsi="Bookman Old Style" w:cs="Tahoma"/>
          <w:sz w:val="28"/>
          <w:szCs w:val="28"/>
        </w:rPr>
        <w:t>d therefore I</w:t>
      </w:r>
      <w:r w:rsidR="008C5280">
        <w:rPr>
          <w:rFonts w:ascii="Bookman Old Style" w:eastAsia="Calibri" w:hAnsi="Bookman Old Style" w:cs="Tahoma"/>
          <w:sz w:val="28"/>
          <w:szCs w:val="28"/>
        </w:rPr>
        <w:t xml:space="preserve">njunctions under the </w:t>
      </w:r>
      <w:r w:rsidR="008C5280" w:rsidRPr="008C5280">
        <w:rPr>
          <w:rFonts w:ascii="Bookman Old Style" w:eastAsia="Calibri" w:hAnsi="Bookman Old Style" w:cs="Tahoma"/>
          <w:b/>
          <w:sz w:val="28"/>
          <w:szCs w:val="28"/>
        </w:rPr>
        <w:t>Rent Act</w:t>
      </w:r>
      <w:r w:rsidR="008C5280" w:rsidRPr="008C5280">
        <w:rPr>
          <w:rFonts w:ascii="Bookman Old Style" w:eastAsia="Calibri" w:hAnsi="Bookman Old Style" w:cs="Tahoma"/>
          <w:b/>
          <w:sz w:val="28"/>
          <w:szCs w:val="28"/>
          <w:vertAlign w:val="superscript"/>
        </w:rPr>
        <w:t>8</w:t>
      </w:r>
      <w:r w:rsidR="008C5280">
        <w:rPr>
          <w:rFonts w:ascii="Bookman Old Style" w:eastAsia="Calibri" w:hAnsi="Bookman Old Style" w:cs="Tahoma"/>
          <w:b/>
          <w:sz w:val="28"/>
          <w:szCs w:val="28"/>
        </w:rPr>
        <w:t xml:space="preserve"> </w:t>
      </w:r>
      <w:r w:rsidR="008C5280">
        <w:rPr>
          <w:rFonts w:ascii="Bookman Old Style" w:eastAsia="Calibri" w:hAnsi="Bookman Old Style" w:cs="Tahoma"/>
          <w:sz w:val="28"/>
          <w:szCs w:val="28"/>
        </w:rPr>
        <w:t>should be exempted from the consideration of irreparable damage or loss</w:t>
      </w:r>
      <w:r w:rsidR="00241FC8">
        <w:rPr>
          <w:rFonts w:ascii="Bookman Old Style" w:eastAsia="Calibri" w:hAnsi="Bookman Old Style" w:cs="Tahoma"/>
          <w:sz w:val="28"/>
          <w:szCs w:val="28"/>
        </w:rPr>
        <w:t>. F</w:t>
      </w:r>
      <w:r w:rsidR="008C5280">
        <w:rPr>
          <w:rFonts w:ascii="Bookman Old Style" w:eastAsia="Calibri" w:hAnsi="Bookman Old Style" w:cs="Tahoma"/>
          <w:sz w:val="28"/>
          <w:szCs w:val="28"/>
        </w:rPr>
        <w:t>or that</w:t>
      </w:r>
      <w:r w:rsidR="00241FC8">
        <w:rPr>
          <w:rFonts w:ascii="Bookman Old Style" w:eastAsia="Calibri" w:hAnsi="Bookman Old Style" w:cs="Tahoma"/>
          <w:sz w:val="28"/>
          <w:szCs w:val="28"/>
        </w:rPr>
        <w:t>,</w:t>
      </w:r>
      <w:r w:rsidR="008C5280">
        <w:rPr>
          <w:rFonts w:ascii="Bookman Old Style" w:eastAsia="Calibri" w:hAnsi="Bookman Old Style" w:cs="Tahoma"/>
          <w:sz w:val="28"/>
          <w:szCs w:val="28"/>
        </w:rPr>
        <w:t xml:space="preserve"> I can confidently assume that was what Parliament intended.</w:t>
      </w:r>
    </w:p>
    <w:p w:rsidR="008C5280" w:rsidRDefault="008C5280" w:rsidP="00D459AE">
      <w:pPr>
        <w:spacing w:line="360" w:lineRule="auto"/>
        <w:ind w:left="180" w:firstLine="540"/>
        <w:jc w:val="both"/>
        <w:rPr>
          <w:rFonts w:ascii="Bookman Old Style" w:eastAsia="Calibri" w:hAnsi="Bookman Old Style" w:cs="Tahoma"/>
          <w:sz w:val="28"/>
          <w:szCs w:val="28"/>
        </w:rPr>
      </w:pPr>
      <w:r>
        <w:rPr>
          <w:rFonts w:ascii="Bookman Old Style" w:eastAsia="Calibri" w:hAnsi="Bookman Old Style" w:cs="Tahoma"/>
          <w:sz w:val="28"/>
          <w:szCs w:val="28"/>
        </w:rPr>
        <w:t xml:space="preserve">I am fortified on this finding of law by the Supreme Court case of </w:t>
      </w:r>
      <w:proofErr w:type="spellStart"/>
      <w:r w:rsidRPr="008C5280">
        <w:rPr>
          <w:rFonts w:ascii="Bookman Old Style" w:eastAsia="Calibri" w:hAnsi="Bookman Old Style" w:cs="Tahoma"/>
          <w:b/>
          <w:sz w:val="24"/>
          <w:szCs w:val="24"/>
          <w:u w:val="single"/>
        </w:rPr>
        <w:t>Chrispin</w:t>
      </w:r>
      <w:proofErr w:type="spellEnd"/>
      <w:r w:rsidRPr="008C5280">
        <w:rPr>
          <w:rFonts w:ascii="Bookman Old Style" w:eastAsia="Calibri" w:hAnsi="Bookman Old Style" w:cs="Tahoma"/>
          <w:b/>
          <w:sz w:val="24"/>
          <w:szCs w:val="24"/>
          <w:u w:val="single"/>
        </w:rPr>
        <w:t xml:space="preserve"> </w:t>
      </w:r>
      <w:proofErr w:type="spellStart"/>
      <w:r w:rsidRPr="008C5280">
        <w:rPr>
          <w:rFonts w:ascii="Bookman Old Style" w:eastAsia="Calibri" w:hAnsi="Bookman Old Style" w:cs="Tahoma"/>
          <w:b/>
          <w:sz w:val="24"/>
          <w:szCs w:val="24"/>
          <w:u w:val="single"/>
        </w:rPr>
        <w:t>Lwali</w:t>
      </w:r>
      <w:proofErr w:type="spellEnd"/>
      <w:r w:rsidR="00241FC8">
        <w:rPr>
          <w:rFonts w:ascii="Bookman Old Style" w:eastAsia="Calibri" w:hAnsi="Bookman Old Style" w:cs="Tahoma"/>
          <w:b/>
          <w:sz w:val="24"/>
          <w:szCs w:val="24"/>
          <w:u w:val="single"/>
        </w:rPr>
        <w:t>,</w:t>
      </w:r>
      <w:r w:rsidRPr="008C5280">
        <w:rPr>
          <w:rFonts w:ascii="Bookman Old Style" w:eastAsia="Calibri" w:hAnsi="Bookman Old Style" w:cs="Tahoma"/>
          <w:b/>
          <w:sz w:val="24"/>
          <w:szCs w:val="24"/>
          <w:u w:val="single"/>
        </w:rPr>
        <w:t xml:space="preserve"> </w:t>
      </w:r>
      <w:proofErr w:type="spellStart"/>
      <w:r w:rsidRPr="008C5280">
        <w:rPr>
          <w:rFonts w:ascii="Bookman Old Style" w:eastAsia="Calibri" w:hAnsi="Bookman Old Style" w:cs="Tahoma"/>
          <w:b/>
          <w:sz w:val="24"/>
          <w:szCs w:val="24"/>
          <w:u w:val="single"/>
        </w:rPr>
        <w:t>Saviour</w:t>
      </w:r>
      <w:proofErr w:type="spellEnd"/>
      <w:r w:rsidRPr="008C5280">
        <w:rPr>
          <w:rFonts w:ascii="Bookman Old Style" w:eastAsia="Calibri" w:hAnsi="Bookman Old Style" w:cs="Tahoma"/>
          <w:b/>
          <w:sz w:val="24"/>
          <w:szCs w:val="24"/>
          <w:u w:val="single"/>
        </w:rPr>
        <w:t xml:space="preserve"> </w:t>
      </w:r>
      <w:proofErr w:type="spellStart"/>
      <w:r w:rsidRPr="008C5280">
        <w:rPr>
          <w:rFonts w:ascii="Bookman Old Style" w:eastAsia="Calibri" w:hAnsi="Bookman Old Style" w:cs="Tahoma"/>
          <w:b/>
          <w:sz w:val="24"/>
          <w:szCs w:val="24"/>
          <w:u w:val="single"/>
        </w:rPr>
        <w:t>Chishimba</w:t>
      </w:r>
      <w:proofErr w:type="spellEnd"/>
      <w:r w:rsidRPr="008C5280">
        <w:rPr>
          <w:rFonts w:ascii="Bookman Old Style" w:eastAsia="Calibri" w:hAnsi="Bookman Old Style" w:cs="Tahoma"/>
          <w:b/>
          <w:sz w:val="24"/>
          <w:szCs w:val="24"/>
          <w:u w:val="single"/>
        </w:rPr>
        <w:t xml:space="preserve">, Stephen </w:t>
      </w:r>
      <w:proofErr w:type="spellStart"/>
      <w:r w:rsidRPr="008C5280">
        <w:rPr>
          <w:rFonts w:ascii="Bookman Old Style" w:eastAsia="Calibri" w:hAnsi="Bookman Old Style" w:cs="Tahoma"/>
          <w:b/>
          <w:sz w:val="24"/>
          <w:szCs w:val="24"/>
          <w:u w:val="single"/>
        </w:rPr>
        <w:t>Mubanga</w:t>
      </w:r>
      <w:proofErr w:type="spellEnd"/>
      <w:r w:rsidRPr="008C5280">
        <w:rPr>
          <w:rFonts w:ascii="Bookman Old Style" w:eastAsia="Calibri" w:hAnsi="Bookman Old Style" w:cs="Tahoma"/>
          <w:b/>
          <w:sz w:val="24"/>
          <w:szCs w:val="24"/>
          <w:u w:val="single"/>
        </w:rPr>
        <w:t xml:space="preserve"> </w:t>
      </w:r>
      <w:proofErr w:type="spellStart"/>
      <w:r w:rsidRPr="008C5280">
        <w:rPr>
          <w:rFonts w:ascii="Bookman Old Style" w:eastAsia="Calibri" w:hAnsi="Bookman Old Style" w:cs="Tahoma"/>
          <w:b/>
          <w:sz w:val="24"/>
          <w:szCs w:val="24"/>
          <w:u w:val="single"/>
        </w:rPr>
        <w:t>Chitalu</w:t>
      </w:r>
      <w:proofErr w:type="spellEnd"/>
      <w:r w:rsidRPr="008C5280">
        <w:rPr>
          <w:rFonts w:ascii="Bookman Old Style" w:eastAsia="Calibri" w:hAnsi="Bookman Old Style" w:cs="Tahoma"/>
          <w:b/>
          <w:sz w:val="24"/>
          <w:szCs w:val="24"/>
          <w:u w:val="single"/>
        </w:rPr>
        <w:t xml:space="preserve"> &amp; 26 </w:t>
      </w:r>
      <w:proofErr w:type="gramStart"/>
      <w:r w:rsidRPr="008C5280">
        <w:rPr>
          <w:rFonts w:ascii="Bookman Old Style" w:eastAsia="Calibri" w:hAnsi="Bookman Old Style" w:cs="Tahoma"/>
          <w:b/>
          <w:sz w:val="24"/>
          <w:szCs w:val="24"/>
          <w:u w:val="single"/>
        </w:rPr>
        <w:t>Others</w:t>
      </w:r>
      <w:proofErr w:type="gramEnd"/>
      <w:r w:rsidRPr="008C5280">
        <w:rPr>
          <w:rFonts w:ascii="Bookman Old Style" w:eastAsia="Calibri" w:hAnsi="Bookman Old Style" w:cs="Tahoma"/>
          <w:b/>
          <w:sz w:val="24"/>
          <w:szCs w:val="24"/>
          <w:u w:val="single"/>
        </w:rPr>
        <w:t xml:space="preserve"> v Edward </w:t>
      </w:r>
      <w:proofErr w:type="spellStart"/>
      <w:r w:rsidRPr="008C5280">
        <w:rPr>
          <w:rFonts w:ascii="Bookman Old Style" w:eastAsia="Calibri" w:hAnsi="Bookman Old Style" w:cs="Tahoma"/>
          <w:b/>
          <w:sz w:val="24"/>
          <w:szCs w:val="24"/>
          <w:u w:val="single"/>
        </w:rPr>
        <w:t>Mumbi</w:t>
      </w:r>
      <w:proofErr w:type="spellEnd"/>
      <w:r w:rsidRPr="008C5280">
        <w:rPr>
          <w:rFonts w:ascii="Bookman Old Style" w:eastAsia="Calibri" w:hAnsi="Bookman Old Style" w:cs="Tahoma"/>
          <w:b/>
          <w:sz w:val="24"/>
          <w:szCs w:val="24"/>
          <w:u w:val="single"/>
        </w:rPr>
        <w:t xml:space="preserve">, Michael </w:t>
      </w:r>
      <w:proofErr w:type="spellStart"/>
      <w:r w:rsidRPr="008C5280">
        <w:rPr>
          <w:rFonts w:ascii="Bookman Old Style" w:eastAsia="Calibri" w:hAnsi="Bookman Old Style" w:cs="Tahoma"/>
          <w:b/>
          <w:sz w:val="24"/>
          <w:szCs w:val="24"/>
          <w:u w:val="single"/>
        </w:rPr>
        <w:t>Chilufya</w:t>
      </w:r>
      <w:proofErr w:type="spellEnd"/>
      <w:r w:rsidRPr="008C5280">
        <w:rPr>
          <w:rFonts w:ascii="Bookman Old Style" w:eastAsia="Calibri" w:hAnsi="Bookman Old Style" w:cs="Tahoma"/>
          <w:b/>
          <w:sz w:val="24"/>
          <w:szCs w:val="24"/>
          <w:u w:val="single"/>
        </w:rPr>
        <w:t xml:space="preserve"> </w:t>
      </w:r>
      <w:proofErr w:type="spellStart"/>
      <w:r w:rsidRPr="008C5280">
        <w:rPr>
          <w:rFonts w:ascii="Bookman Old Style" w:eastAsia="Calibri" w:hAnsi="Bookman Old Style" w:cs="Tahoma"/>
          <w:b/>
          <w:sz w:val="24"/>
          <w:szCs w:val="24"/>
          <w:u w:val="single"/>
        </w:rPr>
        <w:t>Sata</w:t>
      </w:r>
      <w:proofErr w:type="spellEnd"/>
      <w:r w:rsidRPr="008C5280">
        <w:rPr>
          <w:rFonts w:ascii="Bookman Old Style" w:eastAsia="Calibri" w:hAnsi="Bookman Old Style" w:cs="Tahoma"/>
          <w:b/>
          <w:sz w:val="24"/>
          <w:szCs w:val="24"/>
          <w:u w:val="single"/>
        </w:rPr>
        <w:t xml:space="preserve"> and The Attorney General</w:t>
      </w:r>
      <w:r w:rsidRPr="008C5280">
        <w:rPr>
          <w:rFonts w:ascii="Bookman Old Style" w:eastAsia="Calibri" w:hAnsi="Bookman Old Style" w:cs="Tahoma"/>
          <w:b/>
          <w:sz w:val="24"/>
          <w:szCs w:val="24"/>
          <w:u w:val="single"/>
          <w:vertAlign w:val="superscript"/>
        </w:rPr>
        <w:t>6</w:t>
      </w:r>
      <w:r w:rsidRPr="008C5280">
        <w:rPr>
          <w:rFonts w:ascii="Bookman Old Style" w:eastAsia="Calibri" w:hAnsi="Bookman Old Style" w:cs="Tahoma"/>
          <w:b/>
          <w:sz w:val="24"/>
          <w:szCs w:val="24"/>
          <w:u w:val="single"/>
        </w:rPr>
        <w:t>.</w:t>
      </w:r>
      <w:r>
        <w:rPr>
          <w:rFonts w:ascii="Bookman Old Style" w:eastAsia="Calibri" w:hAnsi="Bookman Old Style" w:cs="Tahoma"/>
          <w:sz w:val="24"/>
          <w:szCs w:val="24"/>
        </w:rPr>
        <w:t xml:space="preserve">  </w:t>
      </w:r>
      <w:r w:rsidRPr="008C5280">
        <w:rPr>
          <w:rFonts w:ascii="Bookman Old Style" w:eastAsia="Calibri" w:hAnsi="Bookman Old Style" w:cs="Tahoma"/>
          <w:sz w:val="28"/>
          <w:szCs w:val="28"/>
        </w:rPr>
        <w:t>In the</w:t>
      </w:r>
      <w:r>
        <w:rPr>
          <w:rFonts w:ascii="Bookman Old Style" w:eastAsia="Calibri" w:hAnsi="Bookman Old Style" w:cs="Tahoma"/>
          <w:sz w:val="28"/>
          <w:szCs w:val="28"/>
        </w:rPr>
        <w:t xml:space="preserve"> said case </w:t>
      </w:r>
      <w:proofErr w:type="spellStart"/>
      <w:r>
        <w:rPr>
          <w:rFonts w:ascii="Bookman Old Style" w:eastAsia="Calibri" w:hAnsi="Bookman Old Style" w:cs="Tahoma"/>
          <w:sz w:val="28"/>
          <w:szCs w:val="28"/>
        </w:rPr>
        <w:t>Chirwa</w:t>
      </w:r>
      <w:proofErr w:type="spellEnd"/>
      <w:r>
        <w:rPr>
          <w:rFonts w:ascii="Bookman Old Style" w:eastAsia="Calibri" w:hAnsi="Bookman Old Style" w:cs="Tahoma"/>
          <w:sz w:val="28"/>
          <w:szCs w:val="28"/>
        </w:rPr>
        <w:t xml:space="preserve"> JS, stated that the matter in issue was about a question of obeying the law.  His Lordship went further to state as follows:</w:t>
      </w:r>
    </w:p>
    <w:p w:rsidR="008C5280" w:rsidRDefault="008C5280" w:rsidP="008C5280">
      <w:pPr>
        <w:spacing w:line="360" w:lineRule="auto"/>
        <w:ind w:left="720"/>
        <w:jc w:val="both"/>
        <w:rPr>
          <w:rFonts w:ascii="Bookman Old Style" w:eastAsia="Calibri" w:hAnsi="Bookman Old Style" w:cs="Tahoma"/>
          <w:b/>
          <w:i/>
          <w:sz w:val="24"/>
          <w:szCs w:val="24"/>
        </w:rPr>
      </w:pPr>
      <w:r w:rsidRPr="008C5280">
        <w:rPr>
          <w:rFonts w:ascii="Bookman Old Style" w:eastAsia="Calibri" w:hAnsi="Bookman Old Style" w:cs="Tahoma"/>
          <w:b/>
          <w:i/>
          <w:sz w:val="24"/>
          <w:szCs w:val="24"/>
        </w:rPr>
        <w:t xml:space="preserve">“There is no need </w:t>
      </w:r>
      <w:proofErr w:type="gramStart"/>
      <w:r w:rsidRPr="008C5280">
        <w:rPr>
          <w:rFonts w:ascii="Bookman Old Style" w:eastAsia="Calibri" w:hAnsi="Bookman Old Style" w:cs="Tahoma"/>
          <w:b/>
          <w:i/>
          <w:sz w:val="24"/>
          <w:szCs w:val="24"/>
        </w:rPr>
        <w:t>to consider</w:t>
      </w:r>
      <w:proofErr w:type="gramEnd"/>
      <w:r w:rsidRPr="008C5280">
        <w:rPr>
          <w:rFonts w:ascii="Bookman Old Style" w:eastAsia="Calibri" w:hAnsi="Bookman Old Style" w:cs="Tahoma"/>
          <w:b/>
          <w:i/>
          <w:sz w:val="24"/>
          <w:szCs w:val="24"/>
        </w:rPr>
        <w:t xml:space="preserve"> injury when it comes to obeying the law nor need of consideration of balance of convenience.  The nature of this case was such that the learned trial judge should have allowed the interim injunction to remain until the main action is tried because it involves the obedience or non obedience of the law………..it took the case out of the ordinary consideration of interim injunctions.” </w:t>
      </w:r>
    </w:p>
    <w:p w:rsidR="00E1143C" w:rsidRDefault="008C5280" w:rsidP="008C5280">
      <w:pPr>
        <w:spacing w:line="360" w:lineRule="auto"/>
        <w:ind w:left="90" w:firstLine="630"/>
        <w:jc w:val="both"/>
        <w:rPr>
          <w:rFonts w:ascii="Bookman Old Style" w:eastAsia="Calibri" w:hAnsi="Bookman Old Style" w:cs="Tahoma"/>
          <w:sz w:val="28"/>
          <w:szCs w:val="28"/>
        </w:rPr>
      </w:pPr>
      <w:r>
        <w:rPr>
          <w:rFonts w:ascii="Bookman Old Style" w:eastAsia="Calibri" w:hAnsi="Bookman Old Style" w:cs="Tahoma"/>
          <w:sz w:val="28"/>
          <w:szCs w:val="28"/>
        </w:rPr>
        <w:t>This therefore is a good case for maintenance of the status quo</w:t>
      </w:r>
      <w:r w:rsidR="00E1143C">
        <w:rPr>
          <w:rFonts w:ascii="Bookman Old Style" w:eastAsia="Calibri" w:hAnsi="Bookman Old Style" w:cs="Tahoma"/>
          <w:sz w:val="28"/>
          <w:szCs w:val="28"/>
        </w:rPr>
        <w:t>, having granted an ex-parte Order for an injunction on the 11</w:t>
      </w:r>
      <w:r w:rsidR="00E1143C" w:rsidRPr="00E1143C">
        <w:rPr>
          <w:rFonts w:ascii="Bookman Old Style" w:eastAsia="Calibri" w:hAnsi="Bookman Old Style" w:cs="Tahoma"/>
          <w:sz w:val="28"/>
          <w:szCs w:val="28"/>
          <w:vertAlign w:val="superscript"/>
        </w:rPr>
        <w:t>th</w:t>
      </w:r>
      <w:r w:rsidR="00E1143C">
        <w:rPr>
          <w:rFonts w:ascii="Bookman Old Style" w:eastAsia="Calibri" w:hAnsi="Bookman Old Style" w:cs="Tahoma"/>
          <w:sz w:val="28"/>
          <w:szCs w:val="28"/>
        </w:rPr>
        <w:t xml:space="preserve"> of April, 2012.</w:t>
      </w:r>
    </w:p>
    <w:p w:rsidR="00E1143C" w:rsidRDefault="00E1143C" w:rsidP="008C5280">
      <w:pPr>
        <w:spacing w:line="360" w:lineRule="auto"/>
        <w:ind w:left="90" w:firstLine="630"/>
        <w:jc w:val="both"/>
        <w:rPr>
          <w:rFonts w:ascii="Bookman Old Style" w:eastAsia="Calibri" w:hAnsi="Bookman Old Style" w:cs="Tahoma"/>
          <w:sz w:val="28"/>
          <w:szCs w:val="28"/>
        </w:rPr>
      </w:pPr>
      <w:r>
        <w:rPr>
          <w:rFonts w:ascii="Bookman Old Style" w:eastAsia="Calibri" w:hAnsi="Bookman Old Style" w:cs="Tahoma"/>
          <w:sz w:val="28"/>
          <w:szCs w:val="28"/>
        </w:rPr>
        <w:t>It should however, be noted that this being a group action there are likely to be Applicants who may take undue advantage of these proceedings as alleged by the Respondent and not pay rent or remain in rent arrears.</w:t>
      </w:r>
    </w:p>
    <w:p w:rsidR="00E1143C" w:rsidRDefault="00E1143C" w:rsidP="008C5280">
      <w:pPr>
        <w:spacing w:line="360" w:lineRule="auto"/>
        <w:ind w:left="90" w:firstLine="630"/>
        <w:jc w:val="both"/>
        <w:rPr>
          <w:rFonts w:ascii="Bookman Old Style" w:eastAsia="Calibri" w:hAnsi="Bookman Old Style" w:cs="Tahoma"/>
          <w:sz w:val="28"/>
          <w:szCs w:val="28"/>
        </w:rPr>
      </w:pPr>
      <w:r>
        <w:rPr>
          <w:rFonts w:ascii="Bookman Old Style" w:eastAsia="Calibri" w:hAnsi="Bookman Old Style" w:cs="Tahoma"/>
          <w:sz w:val="28"/>
          <w:szCs w:val="28"/>
        </w:rPr>
        <w:lastRenderedPageBreak/>
        <w:t>Indeed the maxim of he who comes to equity must come with clean hands must be applied.</w:t>
      </w:r>
    </w:p>
    <w:p w:rsidR="00E1143C" w:rsidRDefault="00E1143C" w:rsidP="008C5280">
      <w:pPr>
        <w:spacing w:line="360" w:lineRule="auto"/>
        <w:ind w:left="90" w:firstLine="630"/>
        <w:jc w:val="both"/>
        <w:rPr>
          <w:rFonts w:ascii="Bookman Old Style" w:eastAsia="Calibri" w:hAnsi="Bookman Old Style" w:cs="Tahoma"/>
          <w:sz w:val="28"/>
          <w:szCs w:val="28"/>
        </w:rPr>
      </w:pPr>
      <w:r>
        <w:rPr>
          <w:rFonts w:ascii="Bookman Old Style" w:eastAsia="Calibri" w:hAnsi="Bookman Old Style" w:cs="Tahoma"/>
          <w:sz w:val="28"/>
          <w:szCs w:val="28"/>
        </w:rPr>
        <w:t>It is not in dispute that some of the Applicants are not up to date with the rentals.</w:t>
      </w:r>
    </w:p>
    <w:p w:rsidR="008C5280" w:rsidRDefault="00E1143C" w:rsidP="008C5280">
      <w:pPr>
        <w:spacing w:line="360" w:lineRule="auto"/>
        <w:ind w:left="90" w:firstLine="630"/>
        <w:jc w:val="both"/>
        <w:rPr>
          <w:rFonts w:ascii="Bookman Old Style" w:eastAsia="Calibri" w:hAnsi="Bookman Old Style" w:cs="Tahoma"/>
          <w:sz w:val="28"/>
          <w:szCs w:val="28"/>
        </w:rPr>
      </w:pPr>
      <w:r>
        <w:rPr>
          <w:rFonts w:ascii="Bookman Old Style" w:eastAsia="Calibri" w:hAnsi="Bookman Old Style" w:cs="Tahoma"/>
          <w:sz w:val="28"/>
          <w:szCs w:val="28"/>
        </w:rPr>
        <w:t xml:space="preserve">In view of the powers conferred on this Court by Section 13, subsection 11 of the </w:t>
      </w:r>
      <w:r w:rsidRPr="00E1143C">
        <w:rPr>
          <w:rFonts w:ascii="Bookman Old Style" w:eastAsia="Calibri" w:hAnsi="Bookman Old Style" w:cs="Tahoma"/>
          <w:b/>
          <w:sz w:val="28"/>
          <w:szCs w:val="28"/>
        </w:rPr>
        <w:t>Rent Act</w:t>
      </w:r>
      <w:r w:rsidRPr="00E1143C">
        <w:rPr>
          <w:rFonts w:ascii="Bookman Old Style" w:eastAsia="Calibri" w:hAnsi="Bookman Old Style" w:cs="Tahoma"/>
          <w:b/>
          <w:sz w:val="28"/>
          <w:szCs w:val="28"/>
          <w:vertAlign w:val="superscript"/>
        </w:rPr>
        <w:t>8</w:t>
      </w:r>
      <w:r>
        <w:rPr>
          <w:rFonts w:ascii="Bookman Old Style" w:eastAsia="Calibri" w:hAnsi="Bookman Old Style" w:cs="Tahoma"/>
          <w:sz w:val="28"/>
          <w:szCs w:val="28"/>
        </w:rPr>
        <w:t xml:space="preserve"> as read with subsection 9 and 10, </w:t>
      </w:r>
      <w:r w:rsidRPr="00EA5C6F">
        <w:rPr>
          <w:rFonts w:ascii="Bookman Old Style" w:eastAsia="Calibri" w:hAnsi="Bookman Old Style" w:cs="Tahoma"/>
          <w:b/>
          <w:sz w:val="28"/>
          <w:szCs w:val="28"/>
        </w:rPr>
        <w:t xml:space="preserve">I </w:t>
      </w:r>
      <w:r w:rsidR="00EA5C6F" w:rsidRPr="00EA5C6F">
        <w:rPr>
          <w:rFonts w:ascii="Bookman Old Style" w:eastAsia="Calibri" w:hAnsi="Bookman Old Style" w:cs="Tahoma"/>
          <w:b/>
          <w:sz w:val="28"/>
          <w:szCs w:val="28"/>
        </w:rPr>
        <w:t>HEREBY ORDER</w:t>
      </w:r>
      <w:r w:rsidR="00EA5C6F">
        <w:rPr>
          <w:rFonts w:ascii="Bookman Old Style" w:eastAsia="Calibri" w:hAnsi="Bookman Old Style" w:cs="Tahoma"/>
          <w:sz w:val="28"/>
          <w:szCs w:val="28"/>
        </w:rPr>
        <w:t xml:space="preserve"> </w:t>
      </w:r>
      <w:r>
        <w:rPr>
          <w:rFonts w:ascii="Bookman Old Style" w:eastAsia="Calibri" w:hAnsi="Bookman Old Style" w:cs="Tahoma"/>
          <w:sz w:val="28"/>
          <w:szCs w:val="28"/>
        </w:rPr>
        <w:t>that all the Applicants in arrears should by the 30</w:t>
      </w:r>
      <w:r w:rsidRPr="00E1143C">
        <w:rPr>
          <w:rFonts w:ascii="Bookman Old Style" w:eastAsia="Calibri" w:hAnsi="Bookman Old Style" w:cs="Tahoma"/>
          <w:sz w:val="28"/>
          <w:szCs w:val="28"/>
          <w:vertAlign w:val="superscript"/>
        </w:rPr>
        <w:t>th</w:t>
      </w:r>
      <w:r>
        <w:rPr>
          <w:rFonts w:ascii="Bookman Old Style" w:eastAsia="Calibri" w:hAnsi="Bookman Old Style" w:cs="Tahoma"/>
          <w:sz w:val="28"/>
          <w:szCs w:val="28"/>
        </w:rPr>
        <w:t xml:space="preserve"> of June, 2012 pay rentals in arrears and in advance up to the end of July, 2</w:t>
      </w:r>
      <w:r w:rsidR="00241FC8">
        <w:rPr>
          <w:rFonts w:ascii="Bookman Old Style" w:eastAsia="Calibri" w:hAnsi="Bookman Old Style" w:cs="Tahoma"/>
          <w:sz w:val="28"/>
          <w:szCs w:val="28"/>
        </w:rPr>
        <w:t>012 in line with the Original t</w:t>
      </w:r>
      <w:r>
        <w:rPr>
          <w:rFonts w:ascii="Bookman Old Style" w:eastAsia="Calibri" w:hAnsi="Bookman Old Style" w:cs="Tahoma"/>
          <w:sz w:val="28"/>
          <w:szCs w:val="28"/>
        </w:rPr>
        <w:t>enan</w:t>
      </w:r>
      <w:r w:rsidR="00241FC8">
        <w:rPr>
          <w:rFonts w:ascii="Bookman Old Style" w:eastAsia="Calibri" w:hAnsi="Bookman Old Style" w:cs="Tahoma"/>
          <w:sz w:val="28"/>
          <w:szCs w:val="28"/>
        </w:rPr>
        <w:t>cy a</w:t>
      </w:r>
      <w:r>
        <w:rPr>
          <w:rFonts w:ascii="Bookman Old Style" w:eastAsia="Calibri" w:hAnsi="Bookman Old Style" w:cs="Tahoma"/>
          <w:sz w:val="28"/>
          <w:szCs w:val="28"/>
        </w:rPr>
        <w:t>greement.</w:t>
      </w:r>
    </w:p>
    <w:p w:rsidR="00E1143C" w:rsidRDefault="00E1143C" w:rsidP="008C5280">
      <w:pPr>
        <w:spacing w:line="360" w:lineRule="auto"/>
        <w:ind w:left="90" w:firstLine="630"/>
        <w:jc w:val="both"/>
        <w:rPr>
          <w:rFonts w:ascii="Bookman Old Style" w:eastAsia="Calibri" w:hAnsi="Bookman Old Style" w:cs="Tahoma"/>
          <w:sz w:val="28"/>
          <w:szCs w:val="28"/>
        </w:rPr>
      </w:pPr>
      <w:r>
        <w:rPr>
          <w:rFonts w:ascii="Bookman Old Style" w:eastAsia="Calibri" w:hAnsi="Bookman Old Style" w:cs="Tahoma"/>
          <w:sz w:val="28"/>
          <w:szCs w:val="28"/>
        </w:rPr>
        <w:t xml:space="preserve">In the event of any of the Applicants being </w:t>
      </w:r>
      <w:r w:rsidRPr="008A2A0F">
        <w:rPr>
          <w:rFonts w:ascii="Bookman Old Style" w:eastAsia="Calibri" w:hAnsi="Bookman Old Style" w:cs="Tahoma"/>
          <w:b/>
          <w:sz w:val="28"/>
          <w:szCs w:val="28"/>
        </w:rPr>
        <w:t>in</w:t>
      </w:r>
      <w:r w:rsidR="00BD00A0" w:rsidRPr="008A2A0F">
        <w:rPr>
          <w:rFonts w:ascii="Bookman Old Style" w:eastAsia="Calibri" w:hAnsi="Bookman Old Style" w:cs="Tahoma"/>
          <w:b/>
          <w:sz w:val="28"/>
          <w:szCs w:val="28"/>
        </w:rPr>
        <w:t xml:space="preserve"> default as Ordered,</w:t>
      </w:r>
      <w:r w:rsidR="00BD00A0">
        <w:rPr>
          <w:rFonts w:ascii="Bookman Old Style" w:eastAsia="Calibri" w:hAnsi="Bookman Old Style" w:cs="Tahoma"/>
          <w:sz w:val="28"/>
          <w:szCs w:val="28"/>
        </w:rPr>
        <w:t xml:space="preserve"> they shall fall away from the Interim Injunction granted herein and the Respondent shall be at liberty to apply for leave for distress and possession to this Court for distress and possession under this cause upon production of the Rent Book as provided for under</w:t>
      </w:r>
      <w:r w:rsidR="00241FC8">
        <w:rPr>
          <w:rFonts w:ascii="Bookman Old Style" w:eastAsia="Calibri" w:hAnsi="Bookman Old Style" w:cs="Tahoma"/>
          <w:sz w:val="28"/>
          <w:szCs w:val="28"/>
        </w:rPr>
        <w:t xml:space="preserve"> Section 19 (1) of the </w:t>
      </w:r>
      <w:r w:rsidR="00241FC8" w:rsidRPr="00241FC8">
        <w:rPr>
          <w:rFonts w:ascii="Bookman Old Style" w:eastAsia="Calibri" w:hAnsi="Bookman Old Style" w:cs="Tahoma"/>
          <w:b/>
          <w:sz w:val="28"/>
          <w:szCs w:val="28"/>
        </w:rPr>
        <w:t>Rent Act</w:t>
      </w:r>
      <w:r w:rsidR="00241FC8" w:rsidRPr="00241FC8">
        <w:rPr>
          <w:rFonts w:ascii="Bookman Old Style" w:eastAsia="Calibri" w:hAnsi="Bookman Old Style" w:cs="Tahoma"/>
          <w:b/>
          <w:sz w:val="28"/>
          <w:szCs w:val="28"/>
          <w:vertAlign w:val="superscript"/>
        </w:rPr>
        <w:t>8</w:t>
      </w:r>
      <w:r w:rsidR="00241FC8">
        <w:rPr>
          <w:rFonts w:ascii="Bookman Old Style" w:eastAsia="Calibri" w:hAnsi="Bookman Old Style" w:cs="Tahoma"/>
          <w:sz w:val="28"/>
          <w:szCs w:val="28"/>
        </w:rPr>
        <w:t>,</w:t>
      </w:r>
      <w:r w:rsidR="00BD00A0">
        <w:rPr>
          <w:rFonts w:ascii="Bookman Old Style" w:eastAsia="Calibri" w:hAnsi="Bookman Old Style" w:cs="Tahoma"/>
          <w:sz w:val="28"/>
          <w:szCs w:val="28"/>
        </w:rPr>
        <w:t xml:space="preserve"> showing such default.</w:t>
      </w:r>
    </w:p>
    <w:p w:rsidR="00E14BEC" w:rsidRDefault="00E14BEC" w:rsidP="00324E16">
      <w:pPr>
        <w:spacing w:line="360" w:lineRule="auto"/>
        <w:jc w:val="both"/>
        <w:rPr>
          <w:rFonts w:ascii="Bookman Old Style" w:eastAsia="Calibri" w:hAnsi="Bookman Old Style" w:cs="Tahoma"/>
          <w:sz w:val="28"/>
          <w:szCs w:val="28"/>
        </w:rPr>
      </w:pPr>
      <w:r>
        <w:rPr>
          <w:rFonts w:ascii="Bookman Old Style" w:eastAsia="Calibri" w:hAnsi="Bookman Old Style" w:cs="Tahoma"/>
          <w:sz w:val="28"/>
          <w:szCs w:val="28"/>
        </w:rPr>
        <w:t xml:space="preserve">At this stage I will make no orders </w:t>
      </w:r>
      <w:r w:rsidR="00241FC8">
        <w:rPr>
          <w:rFonts w:ascii="Bookman Old Style" w:eastAsia="Calibri" w:hAnsi="Bookman Old Style" w:cs="Tahoma"/>
          <w:sz w:val="28"/>
          <w:szCs w:val="28"/>
        </w:rPr>
        <w:t xml:space="preserve">as </w:t>
      </w:r>
      <w:r>
        <w:rPr>
          <w:rFonts w:ascii="Bookman Old Style" w:eastAsia="Calibri" w:hAnsi="Bookman Old Style" w:cs="Tahoma"/>
          <w:sz w:val="28"/>
          <w:szCs w:val="28"/>
        </w:rPr>
        <w:t>to costs.</w:t>
      </w:r>
    </w:p>
    <w:p w:rsidR="00E14BEC" w:rsidRDefault="00E14BEC" w:rsidP="00E14BEC">
      <w:pPr>
        <w:spacing w:line="360" w:lineRule="auto"/>
        <w:jc w:val="both"/>
        <w:rPr>
          <w:rFonts w:ascii="Bookman Old Style" w:eastAsia="Calibri" w:hAnsi="Bookman Old Style" w:cs="Tahoma"/>
          <w:b/>
          <w:sz w:val="28"/>
          <w:szCs w:val="28"/>
        </w:rPr>
      </w:pPr>
      <w:r w:rsidRPr="00E14BEC">
        <w:rPr>
          <w:rFonts w:ascii="Bookman Old Style" w:eastAsia="Calibri" w:hAnsi="Bookman Old Style" w:cs="Tahoma"/>
          <w:b/>
          <w:sz w:val="28"/>
          <w:szCs w:val="28"/>
        </w:rPr>
        <w:t>Delivered at Lusaka on the 14</w:t>
      </w:r>
      <w:r w:rsidRPr="00E14BEC">
        <w:rPr>
          <w:rFonts w:ascii="Bookman Old Style" w:eastAsia="Calibri" w:hAnsi="Bookman Old Style" w:cs="Tahoma"/>
          <w:b/>
          <w:sz w:val="28"/>
          <w:szCs w:val="28"/>
          <w:vertAlign w:val="superscript"/>
        </w:rPr>
        <w:t>th</w:t>
      </w:r>
      <w:r w:rsidRPr="00E14BEC">
        <w:rPr>
          <w:rFonts w:ascii="Bookman Old Style" w:eastAsia="Calibri" w:hAnsi="Bookman Old Style" w:cs="Tahoma"/>
          <w:b/>
          <w:sz w:val="28"/>
          <w:szCs w:val="28"/>
        </w:rPr>
        <w:t xml:space="preserve"> day of June, 2012.</w:t>
      </w:r>
    </w:p>
    <w:p w:rsidR="00E14BEC" w:rsidRDefault="00E14BEC" w:rsidP="00E14BEC">
      <w:pPr>
        <w:spacing w:line="360" w:lineRule="auto"/>
        <w:jc w:val="both"/>
        <w:rPr>
          <w:rFonts w:ascii="Bookman Old Style" w:eastAsia="Calibri" w:hAnsi="Bookman Old Style" w:cs="Tahoma"/>
          <w:b/>
          <w:sz w:val="28"/>
          <w:szCs w:val="28"/>
        </w:rPr>
      </w:pPr>
    </w:p>
    <w:p w:rsidR="00363A61" w:rsidRDefault="00363A61" w:rsidP="00E14BEC">
      <w:pPr>
        <w:spacing w:line="360" w:lineRule="auto"/>
        <w:jc w:val="both"/>
        <w:rPr>
          <w:rFonts w:ascii="Bookman Old Style" w:eastAsia="Calibri" w:hAnsi="Bookman Old Style" w:cs="Tahoma"/>
          <w:b/>
          <w:sz w:val="28"/>
          <w:szCs w:val="28"/>
        </w:rPr>
      </w:pPr>
    </w:p>
    <w:p w:rsidR="00363A61" w:rsidRDefault="00363A61" w:rsidP="00E14BEC">
      <w:pPr>
        <w:spacing w:line="360" w:lineRule="auto"/>
        <w:jc w:val="both"/>
        <w:rPr>
          <w:rFonts w:ascii="Bookman Old Style" w:eastAsia="Calibri" w:hAnsi="Bookman Old Style" w:cs="Tahoma"/>
          <w:b/>
          <w:sz w:val="28"/>
          <w:szCs w:val="28"/>
        </w:rPr>
      </w:pPr>
    </w:p>
    <w:p w:rsidR="00E14BEC" w:rsidRDefault="00363A61" w:rsidP="00363A61">
      <w:pPr>
        <w:spacing w:after="0" w:line="240" w:lineRule="auto"/>
        <w:jc w:val="center"/>
        <w:rPr>
          <w:rFonts w:ascii="Bookman Old Style" w:eastAsia="Calibri" w:hAnsi="Bookman Old Style" w:cs="Tahoma"/>
          <w:b/>
          <w:sz w:val="28"/>
          <w:szCs w:val="28"/>
        </w:rPr>
      </w:pPr>
      <w:r>
        <w:rPr>
          <w:rFonts w:ascii="Bookman Old Style" w:eastAsia="Calibri" w:hAnsi="Bookman Old Style" w:cs="Tahoma"/>
          <w:b/>
          <w:sz w:val="28"/>
          <w:szCs w:val="28"/>
        </w:rPr>
        <w:t>______________________</w:t>
      </w:r>
    </w:p>
    <w:p w:rsidR="00363A61" w:rsidRDefault="00363A61" w:rsidP="00363A61">
      <w:pPr>
        <w:spacing w:after="0" w:line="240" w:lineRule="auto"/>
        <w:jc w:val="center"/>
        <w:rPr>
          <w:rFonts w:ascii="Bookman Old Style" w:eastAsia="Calibri" w:hAnsi="Bookman Old Style" w:cs="Tahoma"/>
          <w:b/>
          <w:sz w:val="28"/>
          <w:szCs w:val="28"/>
        </w:rPr>
      </w:pPr>
      <w:r>
        <w:rPr>
          <w:rFonts w:ascii="Bookman Old Style" w:eastAsia="Calibri" w:hAnsi="Bookman Old Style" w:cs="Tahoma"/>
          <w:b/>
          <w:sz w:val="28"/>
          <w:szCs w:val="28"/>
        </w:rPr>
        <w:t xml:space="preserve">Justin </w:t>
      </w:r>
      <w:proofErr w:type="spellStart"/>
      <w:r>
        <w:rPr>
          <w:rFonts w:ascii="Bookman Old Style" w:eastAsia="Calibri" w:hAnsi="Bookman Old Style" w:cs="Tahoma"/>
          <w:b/>
          <w:sz w:val="28"/>
          <w:szCs w:val="28"/>
        </w:rPr>
        <w:t>Chashi</w:t>
      </w:r>
      <w:proofErr w:type="spellEnd"/>
    </w:p>
    <w:p w:rsidR="00363A61" w:rsidRPr="00363A61" w:rsidRDefault="00363A61" w:rsidP="00363A61">
      <w:pPr>
        <w:spacing w:after="0" w:line="240" w:lineRule="auto"/>
        <w:jc w:val="center"/>
        <w:rPr>
          <w:rFonts w:ascii="Bookman Old Style" w:eastAsia="Calibri" w:hAnsi="Bookman Old Style" w:cs="Tahoma"/>
          <w:b/>
          <w:sz w:val="28"/>
          <w:szCs w:val="28"/>
          <w:u w:val="single"/>
        </w:rPr>
      </w:pPr>
      <w:r w:rsidRPr="00363A61">
        <w:rPr>
          <w:rFonts w:ascii="Bookman Old Style" w:eastAsia="Calibri" w:hAnsi="Bookman Old Style" w:cs="Tahoma"/>
          <w:b/>
          <w:sz w:val="28"/>
          <w:szCs w:val="28"/>
          <w:u w:val="single"/>
        </w:rPr>
        <w:t>HIGH COURT JUDGE</w:t>
      </w:r>
    </w:p>
    <w:sectPr w:rsidR="00363A61" w:rsidRPr="00363A61" w:rsidSect="003605E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5E1" w:rsidRDefault="00D575E1" w:rsidP="003605E0">
      <w:pPr>
        <w:spacing w:after="0" w:line="240" w:lineRule="auto"/>
      </w:pPr>
      <w:r>
        <w:separator/>
      </w:r>
    </w:p>
  </w:endnote>
  <w:endnote w:type="continuationSeparator" w:id="1">
    <w:p w:rsidR="00D575E1" w:rsidRDefault="00D575E1" w:rsidP="00360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5E1" w:rsidRDefault="00D575E1" w:rsidP="003605E0">
      <w:pPr>
        <w:spacing w:after="0" w:line="240" w:lineRule="auto"/>
      </w:pPr>
      <w:r>
        <w:separator/>
      </w:r>
    </w:p>
  </w:footnote>
  <w:footnote w:type="continuationSeparator" w:id="1">
    <w:p w:rsidR="00D575E1" w:rsidRDefault="00D575E1" w:rsidP="003605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594"/>
      <w:docPartObj>
        <w:docPartGallery w:val="Page Numbers (Top of Page)"/>
        <w:docPartUnique/>
      </w:docPartObj>
    </w:sdtPr>
    <w:sdtContent>
      <w:p w:rsidR="00EA5C6F" w:rsidRDefault="00EA5C6F">
        <w:pPr>
          <w:pStyle w:val="Header"/>
          <w:jc w:val="center"/>
        </w:pPr>
        <w:r>
          <w:t>-R</w:t>
        </w:r>
        <w:fldSimple w:instr=" PAGE   \* MERGEFORMAT ">
          <w:r w:rsidR="002F3845">
            <w:rPr>
              <w:noProof/>
            </w:rPr>
            <w:t>13</w:t>
          </w:r>
        </w:fldSimple>
        <w:r>
          <w:t>-</w:t>
        </w:r>
      </w:p>
    </w:sdtContent>
  </w:sdt>
  <w:p w:rsidR="00EA5C6F" w:rsidRDefault="00EA5C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4051F"/>
    <w:multiLevelType w:val="hybridMultilevel"/>
    <w:tmpl w:val="C7FA4B36"/>
    <w:lvl w:ilvl="0" w:tplc="E2764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5524"/>
    <w:rsid w:val="00052877"/>
    <w:rsid w:val="00110035"/>
    <w:rsid w:val="0020273B"/>
    <w:rsid w:val="00241FC8"/>
    <w:rsid w:val="00270C71"/>
    <w:rsid w:val="002F3845"/>
    <w:rsid w:val="00324E16"/>
    <w:rsid w:val="00354500"/>
    <w:rsid w:val="003605E0"/>
    <w:rsid w:val="00363A61"/>
    <w:rsid w:val="00404CCF"/>
    <w:rsid w:val="00474CC4"/>
    <w:rsid w:val="004E1BF7"/>
    <w:rsid w:val="004E3A19"/>
    <w:rsid w:val="0055773D"/>
    <w:rsid w:val="00561D9D"/>
    <w:rsid w:val="006136C7"/>
    <w:rsid w:val="00613B92"/>
    <w:rsid w:val="0062706F"/>
    <w:rsid w:val="00695524"/>
    <w:rsid w:val="00743DC1"/>
    <w:rsid w:val="007663A0"/>
    <w:rsid w:val="007F0509"/>
    <w:rsid w:val="00876870"/>
    <w:rsid w:val="008A2A0F"/>
    <w:rsid w:val="008C5280"/>
    <w:rsid w:val="008F1F7A"/>
    <w:rsid w:val="009A7033"/>
    <w:rsid w:val="00A4299B"/>
    <w:rsid w:val="00A60ACD"/>
    <w:rsid w:val="00AB4EE5"/>
    <w:rsid w:val="00AC16E6"/>
    <w:rsid w:val="00B33165"/>
    <w:rsid w:val="00BB45DA"/>
    <w:rsid w:val="00BD00A0"/>
    <w:rsid w:val="00BE1770"/>
    <w:rsid w:val="00C2759A"/>
    <w:rsid w:val="00C56C4E"/>
    <w:rsid w:val="00CA2ED2"/>
    <w:rsid w:val="00CB3F7D"/>
    <w:rsid w:val="00CB6794"/>
    <w:rsid w:val="00CE59D7"/>
    <w:rsid w:val="00D424F1"/>
    <w:rsid w:val="00D459AE"/>
    <w:rsid w:val="00D575E1"/>
    <w:rsid w:val="00D7688E"/>
    <w:rsid w:val="00DA1413"/>
    <w:rsid w:val="00DA220A"/>
    <w:rsid w:val="00DB2133"/>
    <w:rsid w:val="00DC4F73"/>
    <w:rsid w:val="00DD62F1"/>
    <w:rsid w:val="00DD6683"/>
    <w:rsid w:val="00E1143C"/>
    <w:rsid w:val="00E14BEC"/>
    <w:rsid w:val="00E6771C"/>
    <w:rsid w:val="00EA5C6F"/>
    <w:rsid w:val="00EB293C"/>
    <w:rsid w:val="00EB2A78"/>
    <w:rsid w:val="00F045DF"/>
    <w:rsid w:val="00FB3644"/>
    <w:rsid w:val="00FC3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524"/>
    <w:pPr>
      <w:spacing w:after="0" w:line="240" w:lineRule="auto"/>
      <w:ind w:left="720" w:hanging="360"/>
      <w:jc w:val="both"/>
    </w:pPr>
    <w:rPr>
      <w:rFonts w:ascii="Calibri" w:eastAsia="Calibri" w:hAnsi="Calibri" w:cs="Times New Roman"/>
    </w:rPr>
  </w:style>
  <w:style w:type="paragraph" w:styleId="Header">
    <w:name w:val="header"/>
    <w:basedOn w:val="Normal"/>
    <w:link w:val="HeaderChar"/>
    <w:uiPriority w:val="99"/>
    <w:unhideWhenUsed/>
    <w:rsid w:val="00360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5E0"/>
  </w:style>
  <w:style w:type="paragraph" w:styleId="Footer">
    <w:name w:val="footer"/>
    <w:basedOn w:val="Normal"/>
    <w:link w:val="FooterChar"/>
    <w:uiPriority w:val="99"/>
    <w:semiHidden/>
    <w:unhideWhenUsed/>
    <w:rsid w:val="003605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5E0"/>
  </w:style>
  <w:style w:type="paragraph" w:styleId="ListParagraph">
    <w:name w:val="List Paragraph"/>
    <w:basedOn w:val="Normal"/>
    <w:uiPriority w:val="34"/>
    <w:qFormat/>
    <w:rsid w:val="00270C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Chashi's Secretary</dc:creator>
  <cp:lastModifiedBy>User</cp:lastModifiedBy>
  <cp:revision>2</cp:revision>
  <cp:lastPrinted>2012-11-30T07:36:00Z</cp:lastPrinted>
  <dcterms:created xsi:type="dcterms:W3CDTF">2012-11-30T07:37:00Z</dcterms:created>
  <dcterms:modified xsi:type="dcterms:W3CDTF">2012-11-30T07:37:00Z</dcterms:modified>
</cp:coreProperties>
</file>