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F6" w:rsidRDefault="00D87BAC" w:rsidP="003111AE">
      <w:pPr>
        <w:spacing w:line="360" w:lineRule="auto"/>
        <w:jc w:val="both"/>
        <w:rPr>
          <w:rFonts w:ascii="Bookman Old Style" w:hAnsi="Bookman Old Style"/>
          <w:b/>
          <w:sz w:val="24"/>
          <w:szCs w:val="24"/>
        </w:rPr>
      </w:pPr>
      <w:r w:rsidRPr="003111AE">
        <w:rPr>
          <w:rFonts w:ascii="Bookman Old Style" w:hAnsi="Bookman Old Style"/>
          <w:b/>
          <w:sz w:val="24"/>
          <w:szCs w:val="24"/>
        </w:rPr>
        <w:t>IN</w:t>
      </w:r>
      <w:r w:rsidR="003111AE">
        <w:rPr>
          <w:rFonts w:ascii="Bookman Old Style" w:hAnsi="Bookman Old Style"/>
          <w:b/>
          <w:sz w:val="24"/>
          <w:szCs w:val="24"/>
        </w:rPr>
        <w:t xml:space="preserve"> THE HIGH COURT FOR ZAMBIA</w:t>
      </w:r>
      <w:r w:rsidR="003111AE">
        <w:rPr>
          <w:rFonts w:ascii="Bookman Old Style" w:hAnsi="Bookman Old Style"/>
          <w:b/>
          <w:sz w:val="24"/>
          <w:szCs w:val="24"/>
        </w:rPr>
        <w:tab/>
      </w:r>
      <w:r w:rsidR="003111AE">
        <w:rPr>
          <w:rFonts w:ascii="Bookman Old Style" w:hAnsi="Bookman Old Style"/>
          <w:b/>
          <w:sz w:val="24"/>
          <w:szCs w:val="24"/>
        </w:rPr>
        <w:tab/>
      </w:r>
      <w:r w:rsidR="003111AE">
        <w:rPr>
          <w:rFonts w:ascii="Bookman Old Style" w:hAnsi="Bookman Old Style"/>
          <w:b/>
          <w:sz w:val="24"/>
          <w:szCs w:val="24"/>
        </w:rPr>
        <w:tab/>
      </w:r>
      <w:r w:rsidR="003111AE">
        <w:rPr>
          <w:rFonts w:ascii="Bookman Old Style" w:hAnsi="Bookman Old Style"/>
          <w:b/>
          <w:sz w:val="24"/>
          <w:szCs w:val="24"/>
        </w:rPr>
        <w:tab/>
      </w:r>
      <w:r w:rsidRPr="003111AE">
        <w:rPr>
          <w:rFonts w:ascii="Bookman Old Style" w:hAnsi="Bookman Old Style"/>
          <w:b/>
          <w:sz w:val="24"/>
          <w:szCs w:val="24"/>
        </w:rPr>
        <w:t>2010/HPC/0629</w:t>
      </w:r>
    </w:p>
    <w:p w:rsidR="009D515A" w:rsidRPr="003111AE" w:rsidRDefault="009D515A" w:rsidP="003111AE">
      <w:pPr>
        <w:spacing w:line="360" w:lineRule="auto"/>
        <w:jc w:val="both"/>
        <w:rPr>
          <w:rFonts w:ascii="Bookman Old Style" w:hAnsi="Bookman Old Style"/>
          <w:b/>
          <w:sz w:val="24"/>
          <w:szCs w:val="24"/>
        </w:rPr>
      </w:pPr>
      <w:r>
        <w:rPr>
          <w:rFonts w:ascii="Bookman Old Style" w:hAnsi="Bookman Old Style"/>
          <w:b/>
          <w:sz w:val="24"/>
          <w:szCs w:val="24"/>
        </w:rPr>
        <w:t>AT THE COMMERCIAL LIST REGISTRY</w:t>
      </w:r>
    </w:p>
    <w:p w:rsidR="00D87BAC" w:rsidRPr="003111AE" w:rsidRDefault="00D87BAC" w:rsidP="003111AE">
      <w:pPr>
        <w:spacing w:line="360" w:lineRule="auto"/>
        <w:jc w:val="both"/>
        <w:rPr>
          <w:rFonts w:ascii="Bookman Old Style" w:hAnsi="Bookman Old Style"/>
          <w:b/>
          <w:sz w:val="24"/>
          <w:szCs w:val="24"/>
        </w:rPr>
      </w:pPr>
      <w:r w:rsidRPr="003111AE">
        <w:rPr>
          <w:rFonts w:ascii="Bookman Old Style" w:hAnsi="Bookman Old Style"/>
          <w:b/>
          <w:sz w:val="24"/>
          <w:szCs w:val="24"/>
        </w:rPr>
        <w:t>HOLDEN AT LUSAKA</w:t>
      </w:r>
    </w:p>
    <w:p w:rsidR="00D87BAC" w:rsidRPr="003111AE" w:rsidRDefault="00D87BAC" w:rsidP="003111AE">
      <w:pPr>
        <w:spacing w:line="360" w:lineRule="auto"/>
        <w:jc w:val="both"/>
        <w:rPr>
          <w:rFonts w:ascii="Bookman Old Style" w:hAnsi="Bookman Old Style"/>
          <w:b/>
          <w:sz w:val="24"/>
          <w:szCs w:val="24"/>
        </w:rPr>
      </w:pPr>
      <w:r w:rsidRPr="003111AE">
        <w:rPr>
          <w:rFonts w:ascii="Bookman Old Style" w:hAnsi="Bookman Old Style"/>
          <w:b/>
          <w:sz w:val="24"/>
          <w:szCs w:val="24"/>
        </w:rPr>
        <w:t>(CIVIL JURISDICTION)</w:t>
      </w:r>
    </w:p>
    <w:p w:rsidR="00D87BAC" w:rsidRPr="003111AE" w:rsidRDefault="00D87BAC" w:rsidP="003111AE">
      <w:pPr>
        <w:spacing w:line="360" w:lineRule="auto"/>
        <w:jc w:val="both"/>
        <w:rPr>
          <w:rFonts w:ascii="Bookman Old Style" w:hAnsi="Bookman Old Style"/>
          <w:b/>
          <w:sz w:val="24"/>
          <w:szCs w:val="24"/>
        </w:rPr>
      </w:pPr>
      <w:r w:rsidRPr="003111AE">
        <w:rPr>
          <w:rFonts w:ascii="Bookman Old Style" w:hAnsi="Bookman Old Style"/>
          <w:b/>
          <w:sz w:val="24"/>
          <w:szCs w:val="24"/>
        </w:rPr>
        <w:t>BETWEEN:</w:t>
      </w:r>
    </w:p>
    <w:p w:rsidR="00D87BAC" w:rsidRPr="003111AE" w:rsidRDefault="00D87BAC" w:rsidP="003111AE">
      <w:pPr>
        <w:spacing w:line="360" w:lineRule="auto"/>
        <w:jc w:val="both"/>
        <w:rPr>
          <w:rFonts w:ascii="Bookman Old Style" w:hAnsi="Bookman Old Style"/>
          <w:b/>
          <w:sz w:val="24"/>
          <w:szCs w:val="24"/>
        </w:rPr>
      </w:pPr>
      <w:r w:rsidRPr="003111AE">
        <w:rPr>
          <w:rFonts w:ascii="Bookman Old Style" w:hAnsi="Bookman Old Style"/>
          <w:b/>
          <w:sz w:val="24"/>
          <w:szCs w:val="24"/>
        </w:rPr>
        <w:t>DANAIT TRANSPORT LIMITED</w:t>
      </w:r>
      <w:r w:rsidRPr="003111AE">
        <w:rPr>
          <w:rFonts w:ascii="Bookman Old Style" w:hAnsi="Bookman Old Style"/>
          <w:b/>
          <w:sz w:val="24"/>
          <w:szCs w:val="24"/>
        </w:rPr>
        <w:tab/>
      </w:r>
      <w:r w:rsidRPr="003111AE">
        <w:rPr>
          <w:rFonts w:ascii="Bookman Old Style" w:hAnsi="Bookman Old Style"/>
          <w:b/>
          <w:sz w:val="24"/>
          <w:szCs w:val="24"/>
        </w:rPr>
        <w:tab/>
      </w:r>
      <w:r w:rsidRPr="003111AE">
        <w:rPr>
          <w:rFonts w:ascii="Bookman Old Style" w:hAnsi="Bookman Old Style"/>
          <w:b/>
          <w:sz w:val="24"/>
          <w:szCs w:val="24"/>
        </w:rPr>
        <w:tab/>
      </w:r>
      <w:r w:rsidRPr="003111AE">
        <w:rPr>
          <w:rFonts w:ascii="Bookman Old Style" w:hAnsi="Bookman Old Style"/>
          <w:b/>
          <w:sz w:val="24"/>
          <w:szCs w:val="24"/>
        </w:rPr>
        <w:tab/>
      </w:r>
      <w:r w:rsidRPr="003111AE">
        <w:rPr>
          <w:rFonts w:ascii="Bookman Old Style" w:hAnsi="Bookman Old Style"/>
          <w:b/>
          <w:sz w:val="24"/>
          <w:szCs w:val="24"/>
        </w:rPr>
        <w:tab/>
        <w:t>PLAINTIFF</w:t>
      </w:r>
    </w:p>
    <w:p w:rsidR="00D87BAC" w:rsidRPr="003111AE" w:rsidRDefault="00D87BAC" w:rsidP="003111AE">
      <w:pPr>
        <w:spacing w:line="360" w:lineRule="auto"/>
        <w:jc w:val="both"/>
        <w:rPr>
          <w:rFonts w:ascii="Bookman Old Style" w:hAnsi="Bookman Old Style"/>
          <w:b/>
          <w:sz w:val="24"/>
          <w:szCs w:val="24"/>
        </w:rPr>
      </w:pPr>
      <w:r w:rsidRPr="003111AE">
        <w:rPr>
          <w:rFonts w:ascii="Bookman Old Style" w:hAnsi="Bookman Old Style"/>
          <w:b/>
          <w:sz w:val="24"/>
          <w:szCs w:val="24"/>
        </w:rPr>
        <w:t xml:space="preserve">AND </w:t>
      </w:r>
    </w:p>
    <w:p w:rsidR="00D87BAC" w:rsidRPr="003111AE" w:rsidRDefault="00D87BAC" w:rsidP="003111AE">
      <w:pPr>
        <w:spacing w:line="360" w:lineRule="auto"/>
        <w:jc w:val="both"/>
        <w:rPr>
          <w:rFonts w:ascii="Bookman Old Style" w:hAnsi="Bookman Old Style"/>
          <w:b/>
          <w:sz w:val="24"/>
          <w:szCs w:val="24"/>
        </w:rPr>
      </w:pPr>
      <w:r w:rsidRPr="003111AE">
        <w:rPr>
          <w:rFonts w:ascii="Bookman Old Style" w:hAnsi="Bookman Old Style"/>
          <w:b/>
          <w:sz w:val="24"/>
          <w:szCs w:val="24"/>
        </w:rPr>
        <w:t>ZAMBEZI PORTLAND CEMENT LIMITED</w:t>
      </w:r>
      <w:r w:rsidRPr="003111AE">
        <w:rPr>
          <w:rFonts w:ascii="Bookman Old Style" w:hAnsi="Bookman Old Style"/>
          <w:b/>
          <w:sz w:val="24"/>
          <w:szCs w:val="24"/>
        </w:rPr>
        <w:tab/>
      </w:r>
      <w:r w:rsidRPr="003111AE">
        <w:rPr>
          <w:rFonts w:ascii="Bookman Old Style" w:hAnsi="Bookman Old Style"/>
          <w:b/>
          <w:sz w:val="24"/>
          <w:szCs w:val="24"/>
        </w:rPr>
        <w:tab/>
      </w:r>
      <w:r w:rsidRPr="003111AE">
        <w:rPr>
          <w:rFonts w:ascii="Bookman Old Style" w:hAnsi="Bookman Old Style"/>
          <w:b/>
          <w:sz w:val="24"/>
          <w:szCs w:val="24"/>
        </w:rPr>
        <w:tab/>
      </w:r>
      <w:r w:rsidRPr="003111AE">
        <w:rPr>
          <w:rFonts w:ascii="Bookman Old Style" w:hAnsi="Bookman Old Style"/>
          <w:b/>
          <w:sz w:val="24"/>
          <w:szCs w:val="24"/>
        </w:rPr>
        <w:tab/>
        <w:t>DEFENDANT</w:t>
      </w:r>
    </w:p>
    <w:p w:rsidR="003111AE" w:rsidRPr="003111AE" w:rsidRDefault="003111AE" w:rsidP="003111AE">
      <w:pPr>
        <w:spacing w:line="360" w:lineRule="auto"/>
        <w:jc w:val="both"/>
        <w:rPr>
          <w:rFonts w:ascii="Bookman Old Style" w:hAnsi="Bookman Old Style"/>
          <w:b/>
          <w:sz w:val="24"/>
          <w:szCs w:val="24"/>
        </w:rPr>
      </w:pPr>
      <w:r w:rsidRPr="003111AE">
        <w:rPr>
          <w:rFonts w:ascii="Bookman Old Style" w:hAnsi="Bookman Old Style"/>
          <w:b/>
          <w:sz w:val="24"/>
          <w:szCs w:val="24"/>
        </w:rPr>
        <w:t>Before Hon. Mr. Justice Nigel K. Mut</w:t>
      </w:r>
      <w:r w:rsidR="009D515A">
        <w:rPr>
          <w:rFonts w:ascii="Bookman Old Style" w:hAnsi="Bookman Old Style"/>
          <w:b/>
          <w:sz w:val="24"/>
          <w:szCs w:val="24"/>
        </w:rPr>
        <w:t>una th</w:t>
      </w:r>
      <w:r w:rsidR="0040098C">
        <w:rPr>
          <w:rFonts w:ascii="Bookman Old Style" w:hAnsi="Bookman Old Style"/>
          <w:b/>
          <w:sz w:val="24"/>
          <w:szCs w:val="24"/>
        </w:rPr>
        <w:t xml:space="preserve">is </w:t>
      </w:r>
      <w:r w:rsidR="000F02A2">
        <w:rPr>
          <w:rFonts w:ascii="Bookman Old Style" w:hAnsi="Bookman Old Style"/>
          <w:b/>
          <w:sz w:val="24"/>
          <w:szCs w:val="24"/>
        </w:rPr>
        <w:t>4</w:t>
      </w:r>
      <w:r w:rsidR="0040098C" w:rsidRPr="0040098C">
        <w:rPr>
          <w:rFonts w:ascii="Bookman Old Style" w:hAnsi="Bookman Old Style"/>
          <w:b/>
          <w:sz w:val="24"/>
          <w:szCs w:val="24"/>
          <w:vertAlign w:val="superscript"/>
        </w:rPr>
        <w:t>th</w:t>
      </w:r>
      <w:r w:rsidR="0040098C">
        <w:rPr>
          <w:rFonts w:ascii="Bookman Old Style" w:hAnsi="Bookman Old Style"/>
          <w:b/>
          <w:sz w:val="24"/>
          <w:szCs w:val="24"/>
        </w:rPr>
        <w:t xml:space="preserve"> </w:t>
      </w:r>
      <w:r w:rsidR="009D515A">
        <w:rPr>
          <w:rFonts w:ascii="Bookman Old Style" w:hAnsi="Bookman Old Style"/>
          <w:b/>
          <w:sz w:val="24"/>
          <w:szCs w:val="24"/>
        </w:rPr>
        <w:t xml:space="preserve"> day of July</w:t>
      </w:r>
      <w:r w:rsidRPr="003111AE">
        <w:rPr>
          <w:rFonts w:ascii="Bookman Old Style" w:hAnsi="Bookman Old Style"/>
          <w:b/>
          <w:sz w:val="24"/>
          <w:szCs w:val="24"/>
        </w:rPr>
        <w:t xml:space="preserve"> 2012</w:t>
      </w:r>
    </w:p>
    <w:p w:rsidR="00D87BAC" w:rsidRPr="003111AE" w:rsidRDefault="00D87BAC" w:rsidP="003111AE">
      <w:pPr>
        <w:spacing w:line="360" w:lineRule="auto"/>
        <w:jc w:val="both"/>
        <w:rPr>
          <w:rFonts w:ascii="Bookman Old Style" w:hAnsi="Bookman Old Style"/>
          <w:b/>
          <w:sz w:val="24"/>
          <w:szCs w:val="24"/>
        </w:rPr>
      </w:pPr>
      <w:r w:rsidRPr="003111AE">
        <w:rPr>
          <w:rFonts w:ascii="Bookman Old Style" w:hAnsi="Bookman Old Style"/>
          <w:b/>
          <w:sz w:val="24"/>
          <w:szCs w:val="24"/>
        </w:rPr>
        <w:t>For the Plaintiff:</w:t>
      </w:r>
      <w:r w:rsidRPr="003111AE">
        <w:rPr>
          <w:rFonts w:ascii="Bookman Old Style" w:hAnsi="Bookman Old Style"/>
          <w:b/>
          <w:sz w:val="24"/>
          <w:szCs w:val="24"/>
        </w:rPr>
        <w:tab/>
      </w:r>
      <w:r w:rsidR="003111AE" w:rsidRPr="003111AE">
        <w:rPr>
          <w:rFonts w:ascii="Bookman Old Style" w:hAnsi="Bookman Old Style"/>
          <w:b/>
          <w:sz w:val="24"/>
          <w:szCs w:val="24"/>
        </w:rPr>
        <w:tab/>
      </w:r>
      <w:r w:rsidRPr="003111AE">
        <w:rPr>
          <w:rFonts w:ascii="Bookman Old Style" w:hAnsi="Bookman Old Style"/>
          <w:b/>
          <w:sz w:val="24"/>
          <w:szCs w:val="24"/>
        </w:rPr>
        <w:t>Mr. G. Locha of Mweemba &amp; Co.</w:t>
      </w:r>
    </w:p>
    <w:p w:rsidR="00D87BAC" w:rsidRPr="003111AE" w:rsidRDefault="00D87BAC" w:rsidP="003111AE">
      <w:pPr>
        <w:spacing w:line="360" w:lineRule="auto"/>
        <w:jc w:val="both"/>
        <w:rPr>
          <w:rFonts w:ascii="Bookman Old Style" w:hAnsi="Bookman Old Style"/>
          <w:b/>
          <w:sz w:val="24"/>
          <w:szCs w:val="24"/>
        </w:rPr>
      </w:pPr>
      <w:r w:rsidRPr="003111AE">
        <w:rPr>
          <w:rFonts w:ascii="Bookman Old Style" w:hAnsi="Bookman Old Style"/>
          <w:b/>
          <w:sz w:val="24"/>
          <w:szCs w:val="24"/>
        </w:rPr>
        <w:t xml:space="preserve">For the </w:t>
      </w:r>
      <w:r w:rsidR="009D515A">
        <w:rPr>
          <w:rFonts w:ascii="Bookman Old Style" w:hAnsi="Bookman Old Style"/>
          <w:b/>
          <w:sz w:val="24"/>
          <w:szCs w:val="24"/>
        </w:rPr>
        <w:t>Defendant:</w:t>
      </w:r>
      <w:r w:rsidR="009D515A">
        <w:rPr>
          <w:rFonts w:ascii="Bookman Old Style" w:hAnsi="Bookman Old Style"/>
          <w:b/>
          <w:sz w:val="24"/>
          <w:szCs w:val="24"/>
        </w:rPr>
        <w:tab/>
        <w:t>Mr. J. Mulo</w:t>
      </w:r>
      <w:r w:rsidR="003111AE">
        <w:rPr>
          <w:rFonts w:ascii="Bookman Old Style" w:hAnsi="Bookman Old Style"/>
          <w:b/>
          <w:sz w:val="24"/>
          <w:szCs w:val="24"/>
        </w:rPr>
        <w:t>n</w:t>
      </w:r>
      <w:r w:rsidRPr="003111AE">
        <w:rPr>
          <w:rFonts w:ascii="Bookman Old Style" w:hAnsi="Bookman Old Style"/>
          <w:b/>
          <w:sz w:val="24"/>
          <w:szCs w:val="24"/>
        </w:rPr>
        <w:t>go of Messrs Z. Muya &amp; Co.</w:t>
      </w:r>
    </w:p>
    <w:p w:rsidR="003111AE" w:rsidRDefault="003111AE" w:rsidP="003111AE">
      <w:pPr>
        <w:pBdr>
          <w:top w:val="single" w:sz="12" w:space="1" w:color="auto"/>
          <w:bottom w:val="single" w:sz="12" w:space="1" w:color="auto"/>
        </w:pBdr>
        <w:spacing w:line="360" w:lineRule="auto"/>
        <w:jc w:val="both"/>
        <w:rPr>
          <w:rFonts w:ascii="Bookman Old Style" w:hAnsi="Bookman Old Style"/>
          <w:b/>
          <w:sz w:val="24"/>
          <w:szCs w:val="24"/>
        </w:rPr>
      </w:pPr>
    </w:p>
    <w:p w:rsidR="00D87BAC" w:rsidRPr="003111AE" w:rsidRDefault="00D87BAC" w:rsidP="003111AE">
      <w:pPr>
        <w:pBdr>
          <w:top w:val="single" w:sz="12" w:space="1" w:color="auto"/>
          <w:bottom w:val="single" w:sz="12" w:space="1" w:color="auto"/>
        </w:pBdr>
        <w:spacing w:line="360" w:lineRule="auto"/>
        <w:jc w:val="center"/>
        <w:rPr>
          <w:rFonts w:ascii="Bookman Old Style" w:hAnsi="Bookman Old Style"/>
          <w:sz w:val="28"/>
          <w:szCs w:val="28"/>
        </w:rPr>
      </w:pPr>
      <w:r w:rsidRPr="003111AE">
        <w:rPr>
          <w:rFonts w:ascii="Bookman Old Style" w:hAnsi="Bookman Old Style"/>
          <w:b/>
          <w:sz w:val="28"/>
          <w:szCs w:val="28"/>
        </w:rPr>
        <w:t>R</w:t>
      </w:r>
      <w:r w:rsidR="003111AE">
        <w:rPr>
          <w:rFonts w:ascii="Bookman Old Style" w:hAnsi="Bookman Old Style"/>
          <w:b/>
          <w:sz w:val="28"/>
          <w:szCs w:val="28"/>
        </w:rPr>
        <w:t xml:space="preserve"> </w:t>
      </w:r>
      <w:r w:rsidRPr="003111AE">
        <w:rPr>
          <w:rFonts w:ascii="Bookman Old Style" w:hAnsi="Bookman Old Style"/>
          <w:b/>
          <w:sz w:val="28"/>
          <w:szCs w:val="28"/>
        </w:rPr>
        <w:t>U</w:t>
      </w:r>
      <w:r w:rsidR="003111AE">
        <w:rPr>
          <w:rFonts w:ascii="Bookman Old Style" w:hAnsi="Bookman Old Style"/>
          <w:b/>
          <w:sz w:val="28"/>
          <w:szCs w:val="28"/>
        </w:rPr>
        <w:t xml:space="preserve"> </w:t>
      </w:r>
      <w:r w:rsidRPr="003111AE">
        <w:rPr>
          <w:rFonts w:ascii="Bookman Old Style" w:hAnsi="Bookman Old Style"/>
          <w:b/>
          <w:sz w:val="28"/>
          <w:szCs w:val="28"/>
        </w:rPr>
        <w:t>L</w:t>
      </w:r>
      <w:r w:rsidR="003111AE">
        <w:rPr>
          <w:rFonts w:ascii="Bookman Old Style" w:hAnsi="Bookman Old Style"/>
          <w:b/>
          <w:sz w:val="28"/>
          <w:szCs w:val="28"/>
        </w:rPr>
        <w:t xml:space="preserve"> </w:t>
      </w:r>
      <w:r w:rsidRPr="003111AE">
        <w:rPr>
          <w:rFonts w:ascii="Bookman Old Style" w:hAnsi="Bookman Old Style"/>
          <w:b/>
          <w:sz w:val="28"/>
          <w:szCs w:val="28"/>
        </w:rPr>
        <w:t>I</w:t>
      </w:r>
      <w:r w:rsidR="003111AE">
        <w:rPr>
          <w:rFonts w:ascii="Bookman Old Style" w:hAnsi="Bookman Old Style"/>
          <w:b/>
          <w:sz w:val="28"/>
          <w:szCs w:val="28"/>
        </w:rPr>
        <w:t xml:space="preserve"> </w:t>
      </w:r>
      <w:r w:rsidRPr="003111AE">
        <w:rPr>
          <w:rFonts w:ascii="Bookman Old Style" w:hAnsi="Bookman Old Style"/>
          <w:b/>
          <w:sz w:val="28"/>
          <w:szCs w:val="28"/>
        </w:rPr>
        <w:t>N</w:t>
      </w:r>
      <w:r w:rsidR="003111AE">
        <w:rPr>
          <w:rFonts w:ascii="Bookman Old Style" w:hAnsi="Bookman Old Style"/>
          <w:b/>
          <w:sz w:val="28"/>
          <w:szCs w:val="28"/>
        </w:rPr>
        <w:t xml:space="preserve"> </w:t>
      </w:r>
      <w:r w:rsidRPr="003111AE">
        <w:rPr>
          <w:rFonts w:ascii="Bookman Old Style" w:hAnsi="Bookman Old Style"/>
          <w:b/>
          <w:sz w:val="28"/>
          <w:szCs w:val="28"/>
        </w:rPr>
        <w:t>G</w:t>
      </w:r>
    </w:p>
    <w:p w:rsidR="00D87BAC" w:rsidRPr="003111AE" w:rsidRDefault="00D87BAC" w:rsidP="003111AE">
      <w:pPr>
        <w:spacing w:line="360" w:lineRule="auto"/>
        <w:jc w:val="both"/>
        <w:rPr>
          <w:rFonts w:ascii="Bookman Old Style" w:hAnsi="Bookman Old Style"/>
          <w:sz w:val="24"/>
          <w:szCs w:val="24"/>
        </w:rPr>
      </w:pPr>
      <w:r w:rsidRPr="003111AE">
        <w:rPr>
          <w:rFonts w:ascii="Bookman Old Style" w:hAnsi="Bookman Old Style"/>
          <w:sz w:val="24"/>
          <w:szCs w:val="24"/>
        </w:rPr>
        <w:t>Cases referred to:</w:t>
      </w:r>
    </w:p>
    <w:p w:rsidR="00D87BAC" w:rsidRPr="009D515A" w:rsidRDefault="000F02A2" w:rsidP="009D515A">
      <w:pPr>
        <w:pStyle w:val="ListParagraph"/>
        <w:numPr>
          <w:ilvl w:val="0"/>
          <w:numId w:val="2"/>
        </w:numPr>
        <w:spacing w:line="360" w:lineRule="auto"/>
        <w:jc w:val="both"/>
        <w:rPr>
          <w:rFonts w:ascii="Bookman Old Style" w:hAnsi="Bookman Old Style"/>
          <w:b/>
          <w:i/>
          <w:sz w:val="24"/>
          <w:szCs w:val="24"/>
        </w:rPr>
      </w:pPr>
      <w:r>
        <w:rPr>
          <w:rFonts w:ascii="Bookman Old Style" w:hAnsi="Bookman Old Style"/>
          <w:b/>
          <w:i/>
          <w:sz w:val="24"/>
          <w:szCs w:val="24"/>
        </w:rPr>
        <w:t>Magnum (Z) Limited –Vs-</w:t>
      </w:r>
      <w:r w:rsidR="009D515A">
        <w:rPr>
          <w:rFonts w:ascii="Bookman Old Style" w:hAnsi="Bookman Old Style"/>
          <w:b/>
          <w:i/>
          <w:sz w:val="24"/>
          <w:szCs w:val="24"/>
        </w:rPr>
        <w:t>Quadri</w:t>
      </w:r>
      <w:r w:rsidR="00D87BAC" w:rsidRPr="009D515A">
        <w:rPr>
          <w:rFonts w:ascii="Bookman Old Style" w:hAnsi="Bookman Old Style"/>
          <w:b/>
          <w:i/>
          <w:sz w:val="24"/>
          <w:szCs w:val="24"/>
        </w:rPr>
        <w:t xml:space="preserve"> (receiver/manager) and Grindlays Bank International (Z) Limited (1981) ZR page 141</w:t>
      </w:r>
    </w:p>
    <w:p w:rsidR="00D87BAC" w:rsidRPr="009D515A" w:rsidRDefault="00D87BAC" w:rsidP="009D515A">
      <w:pPr>
        <w:pStyle w:val="ListParagraph"/>
        <w:numPr>
          <w:ilvl w:val="0"/>
          <w:numId w:val="2"/>
        </w:numPr>
        <w:spacing w:line="360" w:lineRule="auto"/>
        <w:jc w:val="both"/>
        <w:rPr>
          <w:rFonts w:ascii="Bookman Old Style" w:hAnsi="Bookman Old Style"/>
          <w:b/>
          <w:i/>
          <w:sz w:val="24"/>
          <w:szCs w:val="24"/>
        </w:rPr>
      </w:pPr>
      <w:r w:rsidRPr="009D515A">
        <w:rPr>
          <w:rFonts w:ascii="Bookman Old Style" w:hAnsi="Bookman Old Style"/>
          <w:b/>
          <w:i/>
          <w:sz w:val="24"/>
          <w:szCs w:val="24"/>
        </w:rPr>
        <w:t>Avalon Motors Li</w:t>
      </w:r>
      <w:r w:rsidR="009D515A" w:rsidRPr="009D515A">
        <w:rPr>
          <w:rFonts w:ascii="Bookman Old Style" w:hAnsi="Bookman Old Style"/>
          <w:b/>
          <w:i/>
          <w:sz w:val="24"/>
          <w:szCs w:val="24"/>
        </w:rPr>
        <w:t>mited (in receivership)-Vs-Gadsd</w:t>
      </w:r>
      <w:r w:rsidRPr="009D515A">
        <w:rPr>
          <w:rFonts w:ascii="Bookman Old Style" w:hAnsi="Bookman Old Style"/>
          <w:b/>
          <w:i/>
          <w:sz w:val="24"/>
          <w:szCs w:val="24"/>
        </w:rPr>
        <w:t>en &amp;</w:t>
      </w:r>
      <w:r w:rsidR="009D515A">
        <w:rPr>
          <w:rFonts w:ascii="Bookman Old Style" w:hAnsi="Bookman Old Style"/>
          <w:b/>
          <w:i/>
          <w:sz w:val="24"/>
          <w:szCs w:val="24"/>
        </w:rPr>
        <w:t xml:space="preserve"> Motor City Limited (1998) ZR page 41</w:t>
      </w:r>
    </w:p>
    <w:p w:rsidR="00D87BAC" w:rsidRPr="009D515A" w:rsidRDefault="00D87BAC" w:rsidP="009D515A">
      <w:pPr>
        <w:pStyle w:val="ListParagraph"/>
        <w:numPr>
          <w:ilvl w:val="0"/>
          <w:numId w:val="2"/>
        </w:numPr>
        <w:spacing w:line="360" w:lineRule="auto"/>
        <w:jc w:val="both"/>
        <w:rPr>
          <w:rFonts w:ascii="Bookman Old Style" w:hAnsi="Bookman Old Style"/>
          <w:b/>
          <w:i/>
          <w:sz w:val="24"/>
          <w:szCs w:val="24"/>
        </w:rPr>
      </w:pPr>
      <w:r w:rsidRPr="009D515A">
        <w:rPr>
          <w:rFonts w:ascii="Bookman Old Style" w:hAnsi="Bookman Old Style"/>
          <w:b/>
          <w:i/>
          <w:sz w:val="24"/>
          <w:szCs w:val="24"/>
        </w:rPr>
        <w:t>Fresh Mint Limited &amp; Others-Vs-Kawambwa Tea Compa</w:t>
      </w:r>
      <w:r w:rsidR="009D515A">
        <w:rPr>
          <w:rFonts w:ascii="Bookman Old Style" w:hAnsi="Bookman Old Style"/>
          <w:b/>
          <w:i/>
          <w:sz w:val="24"/>
          <w:szCs w:val="24"/>
        </w:rPr>
        <w:t>ny (1966) Ltd (2008) ZR</w:t>
      </w:r>
      <w:r w:rsidR="0040098C">
        <w:rPr>
          <w:rFonts w:ascii="Bookman Old Style" w:hAnsi="Bookman Old Style"/>
          <w:b/>
          <w:i/>
          <w:sz w:val="24"/>
          <w:szCs w:val="24"/>
        </w:rPr>
        <w:t>,</w:t>
      </w:r>
      <w:r w:rsidR="009D515A">
        <w:rPr>
          <w:rFonts w:ascii="Bookman Old Style" w:hAnsi="Bookman Old Style"/>
          <w:b/>
          <w:i/>
          <w:sz w:val="24"/>
          <w:szCs w:val="24"/>
        </w:rPr>
        <w:t xml:space="preserve"> Volume 2</w:t>
      </w:r>
      <w:r w:rsidR="0040098C">
        <w:rPr>
          <w:rFonts w:ascii="Bookman Old Style" w:hAnsi="Bookman Old Style"/>
          <w:b/>
          <w:i/>
          <w:sz w:val="24"/>
          <w:szCs w:val="24"/>
        </w:rPr>
        <w:t>,</w:t>
      </w:r>
      <w:r w:rsidR="009D515A">
        <w:rPr>
          <w:rFonts w:ascii="Bookman Old Style" w:hAnsi="Bookman Old Style"/>
          <w:b/>
          <w:i/>
          <w:sz w:val="24"/>
          <w:szCs w:val="24"/>
        </w:rPr>
        <w:t xml:space="preserve"> page 32</w:t>
      </w:r>
    </w:p>
    <w:p w:rsidR="00D87BAC" w:rsidRDefault="00D87BAC" w:rsidP="003111AE">
      <w:pPr>
        <w:spacing w:line="360" w:lineRule="auto"/>
        <w:jc w:val="both"/>
        <w:rPr>
          <w:rFonts w:ascii="Bookman Old Style" w:hAnsi="Bookman Old Style"/>
          <w:sz w:val="24"/>
          <w:szCs w:val="24"/>
        </w:rPr>
      </w:pPr>
    </w:p>
    <w:p w:rsidR="00903E70" w:rsidRPr="003111AE" w:rsidRDefault="00903E70" w:rsidP="003111AE">
      <w:pPr>
        <w:spacing w:line="360" w:lineRule="auto"/>
        <w:jc w:val="both"/>
        <w:rPr>
          <w:rFonts w:ascii="Bookman Old Style" w:hAnsi="Bookman Old Style"/>
          <w:sz w:val="24"/>
          <w:szCs w:val="24"/>
        </w:rPr>
      </w:pPr>
    </w:p>
    <w:p w:rsidR="00D87BAC" w:rsidRPr="003111AE" w:rsidRDefault="009D515A" w:rsidP="003111AE">
      <w:pPr>
        <w:spacing w:line="360" w:lineRule="auto"/>
        <w:jc w:val="both"/>
        <w:rPr>
          <w:rFonts w:ascii="Bookman Old Style" w:hAnsi="Bookman Old Style"/>
          <w:sz w:val="24"/>
          <w:szCs w:val="24"/>
        </w:rPr>
      </w:pPr>
      <w:r>
        <w:rPr>
          <w:rFonts w:ascii="Bookman Old Style" w:hAnsi="Bookman Old Style"/>
          <w:sz w:val="24"/>
          <w:szCs w:val="24"/>
        </w:rPr>
        <w:lastRenderedPageBreak/>
        <w:t>Other A</w:t>
      </w:r>
      <w:r w:rsidR="00D87BAC" w:rsidRPr="003111AE">
        <w:rPr>
          <w:rFonts w:ascii="Bookman Old Style" w:hAnsi="Bookman Old Style"/>
          <w:sz w:val="24"/>
          <w:szCs w:val="24"/>
        </w:rPr>
        <w:t>uthorities</w:t>
      </w:r>
      <w:r>
        <w:rPr>
          <w:rFonts w:ascii="Bookman Old Style" w:hAnsi="Bookman Old Style"/>
          <w:sz w:val="24"/>
          <w:szCs w:val="24"/>
        </w:rPr>
        <w:t xml:space="preserve"> referred to:</w:t>
      </w:r>
    </w:p>
    <w:p w:rsidR="00D87BAC" w:rsidRDefault="00D87BAC" w:rsidP="003111AE">
      <w:pPr>
        <w:pStyle w:val="ListParagraph"/>
        <w:numPr>
          <w:ilvl w:val="0"/>
          <w:numId w:val="1"/>
        </w:numPr>
        <w:spacing w:line="360" w:lineRule="auto"/>
        <w:jc w:val="both"/>
        <w:rPr>
          <w:rFonts w:ascii="Bookman Old Style" w:hAnsi="Bookman Old Style"/>
          <w:b/>
          <w:i/>
          <w:sz w:val="24"/>
          <w:szCs w:val="24"/>
        </w:rPr>
      </w:pPr>
      <w:r w:rsidRPr="003111AE">
        <w:rPr>
          <w:rFonts w:ascii="Bookman Old Style" w:hAnsi="Bookman Old Style"/>
          <w:b/>
          <w:i/>
          <w:sz w:val="24"/>
          <w:szCs w:val="24"/>
        </w:rPr>
        <w:t>Companies Act, Cap 388</w:t>
      </w:r>
    </w:p>
    <w:p w:rsidR="00D87BAC" w:rsidRPr="009D515A" w:rsidRDefault="009D515A" w:rsidP="003111AE">
      <w:pPr>
        <w:pStyle w:val="ListParagraph"/>
        <w:numPr>
          <w:ilvl w:val="0"/>
          <w:numId w:val="1"/>
        </w:numPr>
        <w:spacing w:line="360" w:lineRule="auto"/>
        <w:jc w:val="both"/>
        <w:rPr>
          <w:rFonts w:ascii="Bookman Old Style" w:hAnsi="Bookman Old Style"/>
          <w:b/>
          <w:i/>
          <w:sz w:val="24"/>
          <w:szCs w:val="24"/>
        </w:rPr>
      </w:pPr>
      <w:r>
        <w:rPr>
          <w:rFonts w:ascii="Bookman Old Style" w:hAnsi="Bookman Old Style"/>
          <w:b/>
          <w:i/>
          <w:sz w:val="24"/>
          <w:szCs w:val="24"/>
        </w:rPr>
        <w:t>Kerr on Receivers</w:t>
      </w:r>
    </w:p>
    <w:p w:rsidR="00D87BAC" w:rsidRPr="003111AE" w:rsidRDefault="00D87BAC" w:rsidP="003111AE">
      <w:pPr>
        <w:spacing w:line="360" w:lineRule="auto"/>
        <w:jc w:val="both"/>
        <w:rPr>
          <w:rFonts w:ascii="Bookman Old Style" w:hAnsi="Bookman Old Style"/>
          <w:sz w:val="24"/>
          <w:szCs w:val="24"/>
        </w:rPr>
      </w:pPr>
      <w:r w:rsidRPr="003111AE">
        <w:rPr>
          <w:rFonts w:ascii="Bookman Old Style" w:hAnsi="Bookman Old Style"/>
          <w:sz w:val="24"/>
          <w:szCs w:val="24"/>
        </w:rPr>
        <w:t xml:space="preserve">This is Defendant’s application for </w:t>
      </w:r>
      <w:r w:rsidR="009D515A">
        <w:rPr>
          <w:rFonts w:ascii="Bookman Old Style" w:hAnsi="Bookman Old Style"/>
          <w:sz w:val="24"/>
          <w:szCs w:val="24"/>
        </w:rPr>
        <w:t>misjoinder and joinder. I</w:t>
      </w:r>
      <w:r w:rsidRPr="003111AE">
        <w:rPr>
          <w:rFonts w:ascii="Bookman Old Style" w:hAnsi="Bookman Old Style"/>
          <w:sz w:val="24"/>
          <w:szCs w:val="24"/>
        </w:rPr>
        <w:t xml:space="preserve">t seeks </w:t>
      </w:r>
      <w:r w:rsidR="009D515A">
        <w:rPr>
          <w:rFonts w:ascii="Bookman Old Style" w:hAnsi="Bookman Old Style"/>
          <w:sz w:val="24"/>
          <w:szCs w:val="24"/>
        </w:rPr>
        <w:t xml:space="preserve">an order </w:t>
      </w:r>
      <w:r w:rsidRPr="003111AE">
        <w:rPr>
          <w:rFonts w:ascii="Bookman Old Style" w:hAnsi="Bookman Old Style"/>
          <w:sz w:val="24"/>
          <w:szCs w:val="24"/>
        </w:rPr>
        <w:t>to strike out the De</w:t>
      </w:r>
      <w:r w:rsidR="009D515A">
        <w:rPr>
          <w:rFonts w:ascii="Bookman Old Style" w:hAnsi="Bookman Old Style"/>
          <w:sz w:val="24"/>
          <w:szCs w:val="24"/>
        </w:rPr>
        <w:t>fendant as party and to join</w:t>
      </w:r>
      <w:r w:rsidRPr="003111AE">
        <w:rPr>
          <w:rFonts w:ascii="Bookman Old Style" w:hAnsi="Bookman Old Style"/>
          <w:sz w:val="24"/>
          <w:szCs w:val="24"/>
        </w:rPr>
        <w:t xml:space="preserve"> of the receiver to the proceedings as sole Defendant.</w:t>
      </w:r>
    </w:p>
    <w:p w:rsidR="00850674" w:rsidRPr="003111AE" w:rsidRDefault="00D87BAC" w:rsidP="003111AE">
      <w:pPr>
        <w:spacing w:line="360" w:lineRule="auto"/>
        <w:jc w:val="both"/>
        <w:rPr>
          <w:rFonts w:ascii="Bookman Old Style" w:hAnsi="Bookman Old Style"/>
          <w:sz w:val="24"/>
          <w:szCs w:val="24"/>
        </w:rPr>
      </w:pPr>
      <w:r w:rsidRPr="003111AE">
        <w:rPr>
          <w:rFonts w:ascii="Bookman Old Style" w:hAnsi="Bookman Old Style"/>
          <w:sz w:val="24"/>
          <w:szCs w:val="24"/>
        </w:rPr>
        <w:t xml:space="preserve">The application is brought </w:t>
      </w:r>
      <w:r w:rsidR="00850674" w:rsidRPr="003111AE">
        <w:rPr>
          <w:rFonts w:ascii="Bookman Old Style" w:hAnsi="Bookman Old Style"/>
          <w:sz w:val="24"/>
          <w:szCs w:val="24"/>
        </w:rPr>
        <w:t>by way of summons filed on 3</w:t>
      </w:r>
      <w:r w:rsidR="00850674" w:rsidRPr="003111AE">
        <w:rPr>
          <w:rFonts w:ascii="Bookman Old Style" w:hAnsi="Bookman Old Style"/>
          <w:sz w:val="24"/>
          <w:szCs w:val="24"/>
          <w:vertAlign w:val="superscript"/>
        </w:rPr>
        <w:t>rd</w:t>
      </w:r>
      <w:r w:rsidR="00850674" w:rsidRPr="003111AE">
        <w:rPr>
          <w:rFonts w:ascii="Bookman Old Style" w:hAnsi="Bookman Old Style"/>
          <w:sz w:val="24"/>
          <w:szCs w:val="24"/>
        </w:rPr>
        <w:t xml:space="preserve"> November, 2011, in support whereof is an affidavit and skeleton arguments of even date.  The Plaintiff’s response is by way of an affidavit in op</w:t>
      </w:r>
      <w:r w:rsidR="009D515A">
        <w:rPr>
          <w:rFonts w:ascii="Bookman Old Style" w:hAnsi="Bookman Old Style"/>
          <w:sz w:val="24"/>
          <w:szCs w:val="24"/>
        </w:rPr>
        <w:t>position and skeleton arguments</w:t>
      </w:r>
      <w:r w:rsidR="00850674" w:rsidRPr="003111AE">
        <w:rPr>
          <w:rFonts w:ascii="Bookman Old Style" w:hAnsi="Bookman Old Style"/>
          <w:sz w:val="24"/>
          <w:szCs w:val="24"/>
        </w:rPr>
        <w:t xml:space="preserve"> filed on</w:t>
      </w:r>
      <w:r w:rsidR="0040098C">
        <w:rPr>
          <w:rFonts w:ascii="Bookman Old Style" w:hAnsi="Bookman Old Style"/>
          <w:sz w:val="24"/>
          <w:szCs w:val="24"/>
        </w:rPr>
        <w:t xml:space="preserve"> </w:t>
      </w:r>
      <w:r w:rsidR="009D515A">
        <w:rPr>
          <w:rFonts w:ascii="Bookman Old Style" w:hAnsi="Bookman Old Style"/>
          <w:sz w:val="24"/>
          <w:szCs w:val="24"/>
        </w:rPr>
        <w:t>2</w:t>
      </w:r>
      <w:r w:rsidR="00850674" w:rsidRPr="003111AE">
        <w:rPr>
          <w:rFonts w:ascii="Bookman Old Style" w:hAnsi="Bookman Old Style"/>
          <w:sz w:val="24"/>
          <w:szCs w:val="24"/>
        </w:rPr>
        <w:t>2</w:t>
      </w:r>
      <w:r w:rsidR="00850674" w:rsidRPr="003111AE">
        <w:rPr>
          <w:rFonts w:ascii="Bookman Old Style" w:hAnsi="Bookman Old Style"/>
          <w:sz w:val="24"/>
          <w:szCs w:val="24"/>
          <w:vertAlign w:val="superscript"/>
        </w:rPr>
        <w:t>nd</w:t>
      </w:r>
      <w:r w:rsidR="00850674" w:rsidRPr="003111AE">
        <w:rPr>
          <w:rFonts w:ascii="Bookman Old Style" w:hAnsi="Bookman Old Style"/>
          <w:sz w:val="24"/>
          <w:szCs w:val="24"/>
        </w:rPr>
        <w:t xml:space="preserve"> December, 2011.</w:t>
      </w:r>
    </w:p>
    <w:p w:rsidR="0040098C" w:rsidRDefault="00850674" w:rsidP="003111AE">
      <w:pPr>
        <w:spacing w:line="360" w:lineRule="auto"/>
        <w:jc w:val="both"/>
        <w:rPr>
          <w:rFonts w:ascii="Bookman Old Style" w:hAnsi="Bookman Old Style"/>
          <w:sz w:val="24"/>
          <w:szCs w:val="24"/>
        </w:rPr>
      </w:pPr>
      <w:r w:rsidRPr="003111AE">
        <w:rPr>
          <w:rFonts w:ascii="Bookman Old Style" w:hAnsi="Bookman Old Style"/>
          <w:sz w:val="24"/>
          <w:szCs w:val="24"/>
        </w:rPr>
        <w:t>The brief facts of this case as they relate to this application</w:t>
      </w:r>
      <w:r w:rsidR="009D515A">
        <w:rPr>
          <w:rFonts w:ascii="Bookman Old Style" w:hAnsi="Bookman Old Style"/>
          <w:sz w:val="24"/>
          <w:szCs w:val="24"/>
        </w:rPr>
        <w:t xml:space="preserve"> are that the Plaintiff</w:t>
      </w:r>
      <w:r w:rsidRPr="003111AE">
        <w:rPr>
          <w:rFonts w:ascii="Bookman Old Style" w:hAnsi="Bookman Old Style"/>
          <w:sz w:val="24"/>
          <w:szCs w:val="24"/>
        </w:rPr>
        <w:t xml:space="preserve"> commenced this action against the Defendant on</w:t>
      </w:r>
      <w:r w:rsidR="009D515A">
        <w:rPr>
          <w:rFonts w:ascii="Bookman Old Style" w:hAnsi="Bookman Old Style"/>
          <w:sz w:val="24"/>
          <w:szCs w:val="24"/>
        </w:rPr>
        <w:t xml:space="preserve"> 21</w:t>
      </w:r>
      <w:r w:rsidR="009D515A" w:rsidRPr="009D515A">
        <w:rPr>
          <w:rFonts w:ascii="Bookman Old Style" w:hAnsi="Bookman Old Style"/>
          <w:sz w:val="24"/>
          <w:szCs w:val="24"/>
          <w:vertAlign w:val="superscript"/>
        </w:rPr>
        <w:t>st</w:t>
      </w:r>
      <w:r w:rsidR="009D515A">
        <w:rPr>
          <w:rFonts w:ascii="Bookman Old Style" w:hAnsi="Bookman Old Style"/>
          <w:sz w:val="24"/>
          <w:szCs w:val="24"/>
        </w:rPr>
        <w:t xml:space="preserve"> October, 2010 by</w:t>
      </w:r>
      <w:r w:rsidRPr="003111AE">
        <w:rPr>
          <w:rFonts w:ascii="Bookman Old Style" w:hAnsi="Bookman Old Style"/>
          <w:sz w:val="24"/>
          <w:szCs w:val="24"/>
        </w:rPr>
        <w:t xml:space="preserve"> way of writ of summons and statement of clai</w:t>
      </w:r>
      <w:r w:rsidR="009D515A">
        <w:rPr>
          <w:rFonts w:ascii="Bookman Old Style" w:hAnsi="Bookman Old Style"/>
          <w:sz w:val="24"/>
          <w:szCs w:val="24"/>
        </w:rPr>
        <w:t>m.  The claim as it is endorsed</w:t>
      </w:r>
      <w:r w:rsidR="0040098C">
        <w:rPr>
          <w:rFonts w:ascii="Bookman Old Style" w:hAnsi="Bookman Old Style"/>
          <w:sz w:val="24"/>
          <w:szCs w:val="24"/>
        </w:rPr>
        <w:t xml:space="preserve"> in the said </w:t>
      </w:r>
      <w:r w:rsidRPr="003111AE">
        <w:rPr>
          <w:rFonts w:ascii="Bookman Old Style" w:hAnsi="Bookman Old Style"/>
          <w:sz w:val="24"/>
          <w:szCs w:val="24"/>
        </w:rPr>
        <w:t>writ of summons and statement of claim relates to a contract entered into by the parties on 24</w:t>
      </w:r>
      <w:r w:rsidRPr="003111AE">
        <w:rPr>
          <w:rFonts w:ascii="Bookman Old Style" w:hAnsi="Bookman Old Style"/>
          <w:sz w:val="24"/>
          <w:szCs w:val="24"/>
          <w:vertAlign w:val="superscript"/>
        </w:rPr>
        <w:t>th</w:t>
      </w:r>
      <w:r w:rsidRPr="003111AE">
        <w:rPr>
          <w:rFonts w:ascii="Bookman Old Style" w:hAnsi="Bookman Old Style"/>
          <w:sz w:val="24"/>
          <w:szCs w:val="24"/>
        </w:rPr>
        <w:t xml:space="preserve"> March, 2010, by which the Defendant</w:t>
      </w:r>
      <w:r w:rsidR="003111AE">
        <w:rPr>
          <w:rFonts w:ascii="Bookman Old Style" w:hAnsi="Bookman Old Style"/>
          <w:sz w:val="24"/>
          <w:szCs w:val="24"/>
        </w:rPr>
        <w:t xml:space="preserve"> </w:t>
      </w:r>
      <w:r w:rsidRPr="003111AE">
        <w:rPr>
          <w:rFonts w:ascii="Bookman Old Style" w:hAnsi="Bookman Old Style"/>
          <w:sz w:val="24"/>
          <w:szCs w:val="24"/>
        </w:rPr>
        <w:t xml:space="preserve">contracted the Plaintiff to provide transport services for haulage of cement from Ndola to Lusaka. </w:t>
      </w:r>
      <w:r w:rsidR="00D76107" w:rsidRPr="003111AE">
        <w:rPr>
          <w:rFonts w:ascii="Bookman Old Style" w:hAnsi="Bookman Old Style"/>
          <w:sz w:val="24"/>
          <w:szCs w:val="24"/>
        </w:rPr>
        <w:t>At the time of execution of the</w:t>
      </w:r>
      <w:r w:rsidR="00BE4F13">
        <w:rPr>
          <w:rFonts w:ascii="Bookman Old Style" w:hAnsi="Bookman Old Style"/>
          <w:sz w:val="24"/>
          <w:szCs w:val="24"/>
        </w:rPr>
        <w:t xml:space="preserve"> said contract, the D</w:t>
      </w:r>
      <w:r w:rsidR="00D76107" w:rsidRPr="003111AE">
        <w:rPr>
          <w:rFonts w:ascii="Bookman Old Style" w:hAnsi="Bookman Old Style"/>
          <w:sz w:val="24"/>
          <w:szCs w:val="24"/>
        </w:rPr>
        <w:t>efendant was in receivership.</w:t>
      </w:r>
      <w:r w:rsidRPr="003111AE">
        <w:rPr>
          <w:rFonts w:ascii="Bookman Old Style" w:hAnsi="Bookman Old Style"/>
          <w:sz w:val="24"/>
          <w:szCs w:val="24"/>
        </w:rPr>
        <w:t xml:space="preserve"> </w:t>
      </w:r>
    </w:p>
    <w:p w:rsidR="0040098C" w:rsidRDefault="00850674" w:rsidP="003111AE">
      <w:pPr>
        <w:spacing w:line="360" w:lineRule="auto"/>
        <w:jc w:val="both"/>
        <w:rPr>
          <w:rFonts w:ascii="Bookman Old Style" w:hAnsi="Bookman Old Style"/>
          <w:sz w:val="24"/>
          <w:szCs w:val="24"/>
        </w:rPr>
      </w:pPr>
      <w:r w:rsidRPr="003111AE">
        <w:rPr>
          <w:rFonts w:ascii="Bookman Old Style" w:hAnsi="Bookman Old Style"/>
          <w:sz w:val="24"/>
          <w:szCs w:val="24"/>
        </w:rPr>
        <w:t xml:space="preserve">Arising from the said contract the Plaintiff rendered various invoices which the Defendant settled except for invoice number 316 in the sum of K60,014,920.00. </w:t>
      </w:r>
    </w:p>
    <w:p w:rsidR="0040098C" w:rsidRDefault="0040098C" w:rsidP="003111AE">
      <w:pPr>
        <w:spacing w:line="360" w:lineRule="auto"/>
        <w:jc w:val="both"/>
        <w:rPr>
          <w:rFonts w:ascii="Bookman Old Style" w:hAnsi="Bookman Old Style"/>
          <w:sz w:val="24"/>
          <w:szCs w:val="24"/>
        </w:rPr>
      </w:pPr>
      <w:r>
        <w:rPr>
          <w:rFonts w:ascii="Bookman Old Style" w:hAnsi="Bookman Old Style"/>
          <w:sz w:val="24"/>
          <w:szCs w:val="24"/>
        </w:rPr>
        <w:t>It is contended by the Defendant that since the contract in issue was entered into whilst the defendant was under receivership, the receiver is liable under the contract.</w:t>
      </w:r>
    </w:p>
    <w:p w:rsidR="00850674" w:rsidRDefault="00850674" w:rsidP="003111AE">
      <w:pPr>
        <w:spacing w:line="360" w:lineRule="auto"/>
        <w:jc w:val="both"/>
        <w:rPr>
          <w:rFonts w:ascii="Bookman Old Style" w:hAnsi="Bookman Old Style"/>
          <w:sz w:val="24"/>
          <w:szCs w:val="24"/>
        </w:rPr>
      </w:pPr>
      <w:r w:rsidRPr="003111AE">
        <w:rPr>
          <w:rFonts w:ascii="Bookman Old Style" w:hAnsi="Bookman Old Style"/>
          <w:sz w:val="24"/>
          <w:szCs w:val="24"/>
        </w:rPr>
        <w:t>The affidavit in support of the application is sworn by one Daniel</w:t>
      </w:r>
      <w:r w:rsidR="0040098C">
        <w:rPr>
          <w:rFonts w:ascii="Bookman Old Style" w:hAnsi="Bookman Old Style"/>
          <w:sz w:val="24"/>
          <w:szCs w:val="24"/>
        </w:rPr>
        <w:t>e Ventrigl</w:t>
      </w:r>
      <w:r w:rsidR="00D76107">
        <w:rPr>
          <w:rFonts w:ascii="Bookman Old Style" w:hAnsi="Bookman Old Style"/>
          <w:sz w:val="24"/>
          <w:szCs w:val="24"/>
        </w:rPr>
        <w:t>ia</w:t>
      </w:r>
      <w:r w:rsidRPr="003111AE">
        <w:rPr>
          <w:rFonts w:ascii="Bookman Old Style" w:hAnsi="Bookman Old Style"/>
          <w:sz w:val="24"/>
          <w:szCs w:val="24"/>
        </w:rPr>
        <w:t xml:space="preserve">.  It reveals the </w:t>
      </w:r>
      <w:r w:rsidR="0040098C">
        <w:rPr>
          <w:rFonts w:ascii="Bookman Old Style" w:hAnsi="Bookman Old Style"/>
          <w:sz w:val="24"/>
          <w:szCs w:val="24"/>
        </w:rPr>
        <w:t>fact that the D</w:t>
      </w:r>
      <w:r w:rsidRPr="003111AE">
        <w:rPr>
          <w:rFonts w:ascii="Bookman Old Style" w:hAnsi="Bookman Old Style"/>
          <w:sz w:val="24"/>
          <w:szCs w:val="24"/>
        </w:rPr>
        <w:t>efendant was from 14</w:t>
      </w:r>
      <w:r w:rsidRPr="003111AE">
        <w:rPr>
          <w:rFonts w:ascii="Bookman Old Style" w:hAnsi="Bookman Old Style"/>
          <w:sz w:val="24"/>
          <w:szCs w:val="24"/>
          <w:vertAlign w:val="superscript"/>
        </w:rPr>
        <w:t>th</w:t>
      </w:r>
      <w:r w:rsidRPr="003111AE">
        <w:rPr>
          <w:rFonts w:ascii="Bookman Old Style" w:hAnsi="Bookman Old Style"/>
          <w:sz w:val="24"/>
          <w:szCs w:val="24"/>
        </w:rPr>
        <w:t xml:space="preserve"> July, 2008 to 29</w:t>
      </w:r>
      <w:r w:rsidRPr="003111AE">
        <w:rPr>
          <w:rFonts w:ascii="Bookman Old Style" w:hAnsi="Bookman Old Style"/>
          <w:sz w:val="24"/>
          <w:szCs w:val="24"/>
          <w:vertAlign w:val="superscript"/>
        </w:rPr>
        <w:t>th</w:t>
      </w:r>
      <w:r w:rsidRPr="003111AE">
        <w:rPr>
          <w:rFonts w:ascii="Bookman Old Style" w:hAnsi="Bookman Old Style"/>
          <w:sz w:val="24"/>
          <w:szCs w:val="24"/>
        </w:rPr>
        <w:t xml:space="preserve"> April, 2010, in receivership under the charge initially of Robert Mbona</w:t>
      </w:r>
      <w:r w:rsidR="00D76107">
        <w:rPr>
          <w:rFonts w:ascii="Bookman Old Style" w:hAnsi="Bookman Old Style"/>
          <w:sz w:val="24"/>
          <w:szCs w:val="24"/>
        </w:rPr>
        <w:t>n</w:t>
      </w:r>
      <w:r w:rsidRPr="003111AE">
        <w:rPr>
          <w:rFonts w:ascii="Bookman Old Style" w:hAnsi="Bookman Old Style"/>
          <w:sz w:val="24"/>
          <w:szCs w:val="24"/>
        </w:rPr>
        <w:t xml:space="preserve">i Simeza then </w:t>
      </w:r>
      <w:r w:rsidRPr="003111AE">
        <w:rPr>
          <w:rFonts w:ascii="Bookman Old Style" w:hAnsi="Bookman Old Style"/>
          <w:sz w:val="24"/>
          <w:szCs w:val="24"/>
        </w:rPr>
        <w:lastRenderedPageBreak/>
        <w:t>Alfred Jack Lun</w:t>
      </w:r>
      <w:r w:rsidR="00C56D76">
        <w:rPr>
          <w:rFonts w:ascii="Bookman Old Style" w:hAnsi="Bookman Old Style"/>
          <w:sz w:val="24"/>
          <w:szCs w:val="24"/>
        </w:rPr>
        <w:t>gu.  Further, that since</w:t>
      </w:r>
      <w:r w:rsidR="00BE4F13">
        <w:rPr>
          <w:rFonts w:ascii="Bookman Old Style" w:hAnsi="Bookman Old Style"/>
          <w:sz w:val="24"/>
          <w:szCs w:val="24"/>
        </w:rPr>
        <w:t xml:space="preserve"> the D</w:t>
      </w:r>
      <w:r w:rsidRPr="003111AE">
        <w:rPr>
          <w:rFonts w:ascii="Bookman Old Style" w:hAnsi="Bookman Old Style"/>
          <w:sz w:val="24"/>
          <w:szCs w:val="24"/>
        </w:rPr>
        <w:t>efendant was under receivership</w:t>
      </w:r>
      <w:r w:rsidR="00C56D76">
        <w:rPr>
          <w:rFonts w:ascii="Bookman Old Style" w:hAnsi="Bookman Old Style"/>
          <w:sz w:val="24"/>
          <w:szCs w:val="24"/>
        </w:rPr>
        <w:t>,</w:t>
      </w:r>
      <w:r w:rsidRPr="003111AE">
        <w:rPr>
          <w:rFonts w:ascii="Bookman Old Style" w:hAnsi="Bookman Old Style"/>
          <w:sz w:val="24"/>
          <w:szCs w:val="24"/>
        </w:rPr>
        <w:t xml:space="preserve"> </w:t>
      </w:r>
      <w:r w:rsidR="00BE4F13">
        <w:rPr>
          <w:rFonts w:ascii="Bookman Old Style" w:hAnsi="Bookman Old Style"/>
          <w:sz w:val="24"/>
          <w:szCs w:val="24"/>
        </w:rPr>
        <w:t xml:space="preserve">she is informed and verily believes that </w:t>
      </w:r>
      <w:r w:rsidRPr="003111AE">
        <w:rPr>
          <w:rFonts w:ascii="Bookman Old Style" w:hAnsi="Bookman Old Style"/>
          <w:sz w:val="24"/>
          <w:szCs w:val="24"/>
        </w:rPr>
        <w:t>the receiver is liable for all contracts entered into during the receivership.</w:t>
      </w:r>
    </w:p>
    <w:p w:rsidR="00CE066F" w:rsidRPr="003111AE" w:rsidRDefault="00850674" w:rsidP="003111AE">
      <w:pPr>
        <w:spacing w:line="360" w:lineRule="auto"/>
        <w:jc w:val="both"/>
        <w:rPr>
          <w:rFonts w:ascii="Bookman Old Style" w:hAnsi="Bookman Old Style"/>
          <w:sz w:val="24"/>
          <w:szCs w:val="24"/>
        </w:rPr>
      </w:pPr>
      <w:r w:rsidRPr="003111AE">
        <w:rPr>
          <w:rFonts w:ascii="Bookman Old Style" w:hAnsi="Bookman Old Style"/>
          <w:sz w:val="24"/>
          <w:szCs w:val="24"/>
        </w:rPr>
        <w:t>The affidavit in opposition was sworn by one Petros Na</w:t>
      </w:r>
      <w:r w:rsidR="00BE4F13">
        <w:rPr>
          <w:rFonts w:ascii="Bookman Old Style" w:hAnsi="Bookman Old Style"/>
          <w:sz w:val="24"/>
          <w:szCs w:val="24"/>
        </w:rPr>
        <w:t>i</w:t>
      </w:r>
      <w:r w:rsidRPr="003111AE">
        <w:rPr>
          <w:rFonts w:ascii="Bookman Old Style" w:hAnsi="Bookman Old Style"/>
          <w:sz w:val="24"/>
          <w:szCs w:val="24"/>
        </w:rPr>
        <w:t>z</w:t>
      </w:r>
      <w:r w:rsidR="00CE066F" w:rsidRPr="003111AE">
        <w:rPr>
          <w:rFonts w:ascii="Bookman Old Style" w:hAnsi="Bookman Old Style"/>
          <w:sz w:val="24"/>
          <w:szCs w:val="24"/>
        </w:rPr>
        <w:t>ghi</w:t>
      </w:r>
      <w:r w:rsidR="00BE4F13">
        <w:rPr>
          <w:rFonts w:ascii="Bookman Old Style" w:hAnsi="Bookman Old Style"/>
          <w:sz w:val="24"/>
          <w:szCs w:val="24"/>
        </w:rPr>
        <w:t xml:space="preserve"> who confirmed that indeed the D</w:t>
      </w:r>
      <w:r w:rsidR="00CE066F" w:rsidRPr="003111AE">
        <w:rPr>
          <w:rFonts w:ascii="Bookman Old Style" w:hAnsi="Bookman Old Style"/>
          <w:sz w:val="24"/>
          <w:szCs w:val="24"/>
        </w:rPr>
        <w:t>efendant had been in recei</w:t>
      </w:r>
      <w:r w:rsidR="00BE4F13">
        <w:rPr>
          <w:rFonts w:ascii="Bookman Old Style" w:hAnsi="Bookman Old Style"/>
          <w:sz w:val="24"/>
          <w:szCs w:val="24"/>
        </w:rPr>
        <w:t>vership at the time of execution</w:t>
      </w:r>
      <w:r w:rsidR="00CE066F" w:rsidRPr="003111AE">
        <w:rPr>
          <w:rFonts w:ascii="Bookman Old Style" w:hAnsi="Bookman Old Style"/>
          <w:sz w:val="24"/>
          <w:szCs w:val="24"/>
        </w:rPr>
        <w:t xml:space="preserve"> the contract in dispute.  He averred further, that the terms of appointment of the receiver were in accordance with the deed of receivership which do not prescribe that the receiver will be personally liable for acts done in his office as receiver. Further that, the Defendant is no longer in receivership and is</w:t>
      </w:r>
      <w:r w:rsidR="00BE4F13">
        <w:rPr>
          <w:rFonts w:ascii="Bookman Old Style" w:hAnsi="Bookman Old Style"/>
          <w:sz w:val="24"/>
          <w:szCs w:val="24"/>
        </w:rPr>
        <w:t xml:space="preserve"> a</w:t>
      </w:r>
      <w:r w:rsidR="00CE066F" w:rsidRPr="003111AE">
        <w:rPr>
          <w:rFonts w:ascii="Bookman Old Style" w:hAnsi="Bookman Old Style"/>
          <w:sz w:val="24"/>
          <w:szCs w:val="24"/>
        </w:rPr>
        <w:t xml:space="preserve"> viable company capable of suing and being sued</w:t>
      </w:r>
      <w:r w:rsidR="00C56D76">
        <w:rPr>
          <w:rFonts w:ascii="Bookman Old Style" w:hAnsi="Bookman Old Style"/>
          <w:sz w:val="24"/>
          <w:szCs w:val="24"/>
        </w:rPr>
        <w:t>,</w:t>
      </w:r>
      <w:r w:rsidR="00CE066F" w:rsidRPr="003111AE">
        <w:rPr>
          <w:rFonts w:ascii="Bookman Old Style" w:hAnsi="Bookman Old Style"/>
          <w:sz w:val="24"/>
          <w:szCs w:val="24"/>
        </w:rPr>
        <w:t xml:space="preserve"> as such the Plaintiff had no choice but to sue the Defendant.</w:t>
      </w:r>
    </w:p>
    <w:p w:rsidR="00CE066F" w:rsidRPr="003111AE" w:rsidRDefault="00CE066F" w:rsidP="003111AE">
      <w:pPr>
        <w:spacing w:line="360" w:lineRule="auto"/>
        <w:jc w:val="both"/>
        <w:rPr>
          <w:rFonts w:ascii="Bookman Old Style" w:hAnsi="Bookman Old Style"/>
          <w:sz w:val="24"/>
          <w:szCs w:val="24"/>
        </w:rPr>
      </w:pPr>
      <w:r w:rsidRPr="003111AE">
        <w:rPr>
          <w:rFonts w:ascii="Bookman Old Style" w:hAnsi="Bookman Old Style"/>
          <w:sz w:val="24"/>
          <w:szCs w:val="24"/>
        </w:rPr>
        <w:t>The application came up for hearing on 16</w:t>
      </w:r>
      <w:r w:rsidRPr="003111AE">
        <w:rPr>
          <w:rFonts w:ascii="Bookman Old Style" w:hAnsi="Bookman Old Style"/>
          <w:sz w:val="24"/>
          <w:szCs w:val="24"/>
          <w:vertAlign w:val="superscript"/>
        </w:rPr>
        <w:t>th</w:t>
      </w:r>
      <w:r w:rsidRPr="003111AE">
        <w:rPr>
          <w:rFonts w:ascii="Bookman Old Style" w:hAnsi="Bookman Old Style"/>
          <w:sz w:val="24"/>
          <w:szCs w:val="24"/>
        </w:rPr>
        <w:t xml:space="preserve"> April</w:t>
      </w:r>
      <w:r w:rsidR="00C56D76">
        <w:rPr>
          <w:rFonts w:ascii="Bookman Old Style" w:hAnsi="Bookman Old Style"/>
          <w:sz w:val="24"/>
          <w:szCs w:val="24"/>
        </w:rPr>
        <w:t>,</w:t>
      </w:r>
      <w:r w:rsidRPr="003111AE">
        <w:rPr>
          <w:rFonts w:ascii="Bookman Old Style" w:hAnsi="Bookman Old Style"/>
          <w:sz w:val="24"/>
          <w:szCs w:val="24"/>
        </w:rPr>
        <w:t xml:space="preserve"> 2012.</w:t>
      </w:r>
    </w:p>
    <w:p w:rsidR="00CE066F" w:rsidRPr="007F68A9" w:rsidRDefault="00CE066F" w:rsidP="003111AE">
      <w:pPr>
        <w:spacing w:line="360" w:lineRule="auto"/>
        <w:jc w:val="both"/>
        <w:rPr>
          <w:rFonts w:ascii="Bookman Old Style" w:hAnsi="Bookman Old Style"/>
          <w:sz w:val="24"/>
          <w:szCs w:val="24"/>
        </w:rPr>
      </w:pPr>
      <w:r w:rsidRPr="003111AE">
        <w:rPr>
          <w:rFonts w:ascii="Bookman Old Style" w:hAnsi="Bookman Old Style"/>
          <w:sz w:val="24"/>
          <w:szCs w:val="24"/>
        </w:rPr>
        <w:t xml:space="preserve">The gist of the argument by </w:t>
      </w:r>
      <w:r w:rsidR="00903E70" w:rsidRPr="003111AE">
        <w:rPr>
          <w:rFonts w:ascii="Bookman Old Style" w:hAnsi="Bookman Old Style"/>
          <w:sz w:val="24"/>
          <w:szCs w:val="24"/>
        </w:rPr>
        <w:t>Counsel</w:t>
      </w:r>
      <w:r w:rsidR="00BE4F13">
        <w:rPr>
          <w:rFonts w:ascii="Bookman Old Style" w:hAnsi="Bookman Old Style"/>
          <w:sz w:val="24"/>
          <w:szCs w:val="24"/>
        </w:rPr>
        <w:t xml:space="preserve"> for the Defendant, Mr. J. Mulongo</w:t>
      </w:r>
      <w:r w:rsidRPr="003111AE">
        <w:rPr>
          <w:rFonts w:ascii="Bookman Old Style" w:hAnsi="Bookman Old Style"/>
          <w:sz w:val="24"/>
          <w:szCs w:val="24"/>
        </w:rPr>
        <w:t xml:space="preserve"> was that the receiver is liable for the contract in dispute in this matter because i</w:t>
      </w:r>
      <w:r w:rsidR="00BE4F13">
        <w:rPr>
          <w:rFonts w:ascii="Bookman Old Style" w:hAnsi="Bookman Old Style"/>
          <w:sz w:val="24"/>
          <w:szCs w:val="24"/>
        </w:rPr>
        <w:t>t was executed at the time the D</w:t>
      </w:r>
      <w:r w:rsidRPr="003111AE">
        <w:rPr>
          <w:rFonts w:ascii="Bookman Old Style" w:hAnsi="Bookman Old Style"/>
          <w:sz w:val="24"/>
          <w:szCs w:val="24"/>
        </w:rPr>
        <w:t xml:space="preserve">efendant was in receivership.  In articulating the argument </w:t>
      </w:r>
      <w:r w:rsidR="00BE4F13">
        <w:rPr>
          <w:rFonts w:ascii="Bookman Old Style" w:hAnsi="Bookman Old Style"/>
          <w:sz w:val="24"/>
          <w:szCs w:val="24"/>
        </w:rPr>
        <w:t xml:space="preserve">my </w:t>
      </w:r>
      <w:r w:rsidRPr="003111AE">
        <w:rPr>
          <w:rFonts w:ascii="Bookman Old Style" w:hAnsi="Bookman Old Style"/>
          <w:sz w:val="24"/>
          <w:szCs w:val="24"/>
        </w:rPr>
        <w:t>attention</w:t>
      </w:r>
      <w:r w:rsidR="000F02A2">
        <w:rPr>
          <w:rFonts w:ascii="Bookman Old Style" w:hAnsi="Bookman Old Style"/>
          <w:sz w:val="24"/>
          <w:szCs w:val="24"/>
        </w:rPr>
        <w:t xml:space="preserve"> was drawn</w:t>
      </w:r>
      <w:r w:rsidRPr="003111AE">
        <w:rPr>
          <w:rFonts w:ascii="Bookman Old Style" w:hAnsi="Bookman Old Style"/>
          <w:sz w:val="24"/>
          <w:szCs w:val="24"/>
        </w:rPr>
        <w:t xml:space="preserve"> to section 114 of the </w:t>
      </w:r>
      <w:r w:rsidRPr="00BE4F13">
        <w:rPr>
          <w:rFonts w:ascii="Bookman Old Style" w:hAnsi="Bookman Old Style"/>
          <w:b/>
          <w:i/>
          <w:sz w:val="24"/>
          <w:szCs w:val="24"/>
        </w:rPr>
        <w:t>Companies Act</w:t>
      </w:r>
      <w:r w:rsidRPr="003111AE">
        <w:rPr>
          <w:rFonts w:ascii="Bookman Old Style" w:hAnsi="Bookman Old Style"/>
          <w:sz w:val="24"/>
          <w:szCs w:val="24"/>
        </w:rPr>
        <w:t xml:space="preserve"> and the cases of </w:t>
      </w:r>
      <w:r w:rsidR="00903E70" w:rsidRPr="00BE4F13">
        <w:rPr>
          <w:rFonts w:ascii="Bookman Old Style" w:hAnsi="Bookman Old Style"/>
          <w:b/>
          <w:i/>
          <w:sz w:val="24"/>
          <w:szCs w:val="24"/>
        </w:rPr>
        <w:t>Magnum (</w:t>
      </w:r>
      <w:r w:rsidRPr="00BE4F13">
        <w:rPr>
          <w:rFonts w:ascii="Bookman Old Style" w:hAnsi="Bookman Old Style"/>
          <w:b/>
          <w:i/>
          <w:sz w:val="24"/>
          <w:szCs w:val="24"/>
        </w:rPr>
        <w:t>Z) Ltd-Vs-Quadr</w:t>
      </w:r>
      <w:r w:rsidR="00C56D76">
        <w:rPr>
          <w:rFonts w:ascii="Bookman Old Style" w:hAnsi="Bookman Old Style"/>
          <w:b/>
          <w:i/>
          <w:sz w:val="24"/>
          <w:szCs w:val="24"/>
        </w:rPr>
        <w:t>i</w:t>
      </w:r>
      <w:r w:rsidRPr="00BE4F13">
        <w:rPr>
          <w:rFonts w:ascii="Bookman Old Style" w:hAnsi="Bookman Old Style"/>
          <w:b/>
          <w:i/>
          <w:sz w:val="24"/>
          <w:szCs w:val="24"/>
        </w:rPr>
        <w:t xml:space="preserve"> (receiver/manager) and Grindlays Bank International (Z) Ltd(1) </w:t>
      </w:r>
      <w:r w:rsidRPr="00BE4F13">
        <w:rPr>
          <w:rFonts w:ascii="Bookman Old Style" w:hAnsi="Bookman Old Style"/>
          <w:sz w:val="24"/>
          <w:szCs w:val="24"/>
        </w:rPr>
        <w:t>and</w:t>
      </w:r>
      <w:r w:rsidRPr="00BE4F13">
        <w:rPr>
          <w:rFonts w:ascii="Bookman Old Style" w:hAnsi="Bookman Old Style"/>
          <w:b/>
          <w:i/>
          <w:sz w:val="24"/>
          <w:szCs w:val="24"/>
        </w:rPr>
        <w:t xml:space="preserve"> Avalon Motors L</w:t>
      </w:r>
      <w:r w:rsidR="00BE4F13">
        <w:rPr>
          <w:rFonts w:ascii="Bookman Old Style" w:hAnsi="Bookman Old Style"/>
          <w:b/>
          <w:i/>
          <w:sz w:val="24"/>
          <w:szCs w:val="24"/>
        </w:rPr>
        <w:t>imited (In receivership) –Vs-Gads</w:t>
      </w:r>
      <w:r w:rsidRPr="00BE4F13">
        <w:rPr>
          <w:rFonts w:ascii="Bookman Old Style" w:hAnsi="Bookman Old Style"/>
          <w:b/>
          <w:i/>
          <w:sz w:val="24"/>
          <w:szCs w:val="24"/>
        </w:rPr>
        <w:t>den &amp; Motor City Limited(2)</w:t>
      </w:r>
      <w:r w:rsidR="000F02A2">
        <w:rPr>
          <w:rFonts w:ascii="Bookman Old Style" w:hAnsi="Bookman Old Style"/>
          <w:b/>
          <w:i/>
          <w:sz w:val="24"/>
          <w:szCs w:val="24"/>
        </w:rPr>
        <w:t xml:space="preserve">.  </w:t>
      </w:r>
      <w:r w:rsidR="000F02A2" w:rsidRPr="007F68A9">
        <w:rPr>
          <w:rFonts w:ascii="Bookman Old Style" w:hAnsi="Bookman Old Style"/>
          <w:sz w:val="24"/>
          <w:szCs w:val="24"/>
        </w:rPr>
        <w:t>He therefore prayed that the Defendant should be struck off from the action and the receiver placed in its stead.</w:t>
      </w:r>
    </w:p>
    <w:p w:rsidR="00574117" w:rsidRPr="003111AE" w:rsidRDefault="00CE066F" w:rsidP="003111AE">
      <w:pPr>
        <w:spacing w:line="360" w:lineRule="auto"/>
        <w:jc w:val="both"/>
        <w:rPr>
          <w:rFonts w:ascii="Bookman Old Style" w:hAnsi="Bookman Old Style"/>
          <w:sz w:val="24"/>
          <w:szCs w:val="24"/>
        </w:rPr>
      </w:pPr>
      <w:r w:rsidRPr="003111AE">
        <w:rPr>
          <w:rFonts w:ascii="Bookman Old Style" w:hAnsi="Bookman Old Style"/>
          <w:sz w:val="24"/>
          <w:szCs w:val="24"/>
        </w:rPr>
        <w:t>In the Plaintiffs arguments, counsel</w:t>
      </w:r>
      <w:r w:rsidR="00BE4F13">
        <w:rPr>
          <w:rFonts w:ascii="Bookman Old Style" w:hAnsi="Bookman Old Style"/>
          <w:sz w:val="24"/>
          <w:szCs w:val="24"/>
        </w:rPr>
        <w:t xml:space="preserve"> for the Plaintiff</w:t>
      </w:r>
      <w:r w:rsidRPr="003111AE">
        <w:rPr>
          <w:rFonts w:ascii="Bookman Old Style" w:hAnsi="Bookman Old Style"/>
          <w:sz w:val="24"/>
          <w:szCs w:val="24"/>
        </w:rPr>
        <w:t xml:space="preserve"> Mr. D. Locha argued thus: the mere fact that a company is placed </w:t>
      </w:r>
      <w:r w:rsidR="00574117" w:rsidRPr="003111AE">
        <w:rPr>
          <w:rFonts w:ascii="Bookman Old Style" w:hAnsi="Bookman Old Style"/>
          <w:sz w:val="24"/>
          <w:szCs w:val="24"/>
        </w:rPr>
        <w:t>under receivership, does not</w:t>
      </w:r>
      <w:r w:rsidR="00C56D76">
        <w:rPr>
          <w:rFonts w:ascii="Bookman Old Style" w:hAnsi="Bookman Old Style"/>
          <w:sz w:val="24"/>
          <w:szCs w:val="24"/>
        </w:rPr>
        <w:t xml:space="preserve"> mean that it is</w:t>
      </w:r>
      <w:r w:rsidR="00574117" w:rsidRPr="003111AE">
        <w:rPr>
          <w:rFonts w:ascii="Bookman Old Style" w:hAnsi="Bookman Old Style"/>
          <w:sz w:val="24"/>
          <w:szCs w:val="24"/>
        </w:rPr>
        <w:t xml:space="preserve"> </w:t>
      </w:r>
      <w:r w:rsidR="00C56D76">
        <w:rPr>
          <w:rFonts w:ascii="Bookman Old Style" w:hAnsi="Bookman Old Style"/>
          <w:sz w:val="24"/>
          <w:szCs w:val="24"/>
        </w:rPr>
        <w:t>dissolved</w:t>
      </w:r>
      <w:r w:rsidR="00BE4F13">
        <w:rPr>
          <w:rFonts w:ascii="Bookman Old Style" w:hAnsi="Bookman Old Style"/>
          <w:sz w:val="24"/>
          <w:szCs w:val="24"/>
        </w:rPr>
        <w:t xml:space="preserve"> completely; t</w:t>
      </w:r>
      <w:r w:rsidR="00574117" w:rsidRPr="003111AE">
        <w:rPr>
          <w:rFonts w:ascii="Bookman Old Style" w:hAnsi="Bookman Old Style"/>
          <w:sz w:val="24"/>
          <w:szCs w:val="24"/>
        </w:rPr>
        <w:t>he contract entered into between the Plaintiff and Defendant is a val</w:t>
      </w:r>
      <w:r w:rsidR="00BE4F13">
        <w:rPr>
          <w:rFonts w:ascii="Bookman Old Style" w:hAnsi="Bookman Old Style"/>
          <w:sz w:val="24"/>
          <w:szCs w:val="24"/>
        </w:rPr>
        <w:t>id contract by officers of the D</w:t>
      </w:r>
      <w:r w:rsidR="00574117" w:rsidRPr="003111AE">
        <w:rPr>
          <w:rFonts w:ascii="Bookman Old Style" w:hAnsi="Bookman Old Style"/>
          <w:sz w:val="24"/>
          <w:szCs w:val="24"/>
        </w:rPr>
        <w:t>efendant and there is no evidence to show that they had no authority to contract o</w:t>
      </w:r>
      <w:r w:rsidR="00C56D76">
        <w:rPr>
          <w:rFonts w:ascii="Bookman Old Style" w:hAnsi="Bookman Old Style"/>
          <w:sz w:val="24"/>
          <w:szCs w:val="24"/>
        </w:rPr>
        <w:t>n behalf of the D</w:t>
      </w:r>
      <w:r w:rsidR="00574117" w:rsidRPr="003111AE">
        <w:rPr>
          <w:rFonts w:ascii="Bookman Old Style" w:hAnsi="Bookman Old Style"/>
          <w:sz w:val="24"/>
          <w:szCs w:val="24"/>
        </w:rPr>
        <w:t>efendant, therefore the De</w:t>
      </w:r>
      <w:r w:rsidR="00BE4F13">
        <w:rPr>
          <w:rFonts w:ascii="Bookman Old Style" w:hAnsi="Bookman Old Style"/>
          <w:sz w:val="24"/>
          <w:szCs w:val="24"/>
        </w:rPr>
        <w:t>fendant is bound by the contract; the receiver exercised</w:t>
      </w:r>
      <w:r w:rsidR="00574117" w:rsidRPr="003111AE">
        <w:rPr>
          <w:rFonts w:ascii="Bookman Old Style" w:hAnsi="Bookman Old Style"/>
          <w:sz w:val="24"/>
          <w:szCs w:val="24"/>
        </w:rPr>
        <w:t xml:space="preserve"> due care and there is nothing wrong he did in relation to the contract to make him personally liable; the provisions of section114 of the </w:t>
      </w:r>
      <w:r w:rsidR="00574117" w:rsidRPr="00BE4F13">
        <w:rPr>
          <w:rFonts w:ascii="Bookman Old Style" w:hAnsi="Bookman Old Style"/>
          <w:b/>
          <w:i/>
          <w:sz w:val="24"/>
          <w:szCs w:val="24"/>
        </w:rPr>
        <w:t>Companies Act</w:t>
      </w:r>
      <w:r w:rsidR="00574117" w:rsidRPr="003111AE">
        <w:rPr>
          <w:rFonts w:ascii="Bookman Old Style" w:hAnsi="Bookman Old Style"/>
          <w:sz w:val="24"/>
          <w:szCs w:val="24"/>
        </w:rPr>
        <w:t xml:space="preserve"> are only applicable if a company is still in receivership not in a situation </w:t>
      </w:r>
      <w:r w:rsidR="00574117" w:rsidRPr="003111AE">
        <w:rPr>
          <w:rFonts w:ascii="Bookman Old Style" w:hAnsi="Bookman Old Style"/>
          <w:sz w:val="24"/>
          <w:szCs w:val="24"/>
        </w:rPr>
        <w:lastRenderedPageBreak/>
        <w:t xml:space="preserve">such of </w:t>
      </w:r>
      <w:r w:rsidR="00C56D76">
        <w:rPr>
          <w:rFonts w:ascii="Bookman Old Style" w:hAnsi="Bookman Old Style"/>
          <w:sz w:val="24"/>
          <w:szCs w:val="24"/>
        </w:rPr>
        <w:t>the one in this case where the D</w:t>
      </w:r>
      <w:r w:rsidR="00574117" w:rsidRPr="003111AE">
        <w:rPr>
          <w:rFonts w:ascii="Bookman Old Style" w:hAnsi="Bookman Old Style"/>
          <w:sz w:val="24"/>
          <w:szCs w:val="24"/>
        </w:rPr>
        <w:t xml:space="preserve">efendant is now a viable company; and </w:t>
      </w:r>
      <w:r w:rsidR="00BE4F13">
        <w:rPr>
          <w:rFonts w:ascii="Bookman Old Style" w:hAnsi="Bookman Old Style"/>
          <w:sz w:val="24"/>
          <w:szCs w:val="24"/>
        </w:rPr>
        <w:t>there is nothing at</w:t>
      </w:r>
      <w:r w:rsidR="00574117" w:rsidRPr="003111AE">
        <w:rPr>
          <w:rFonts w:ascii="Bookman Old Style" w:hAnsi="Bookman Old Style"/>
          <w:sz w:val="24"/>
          <w:szCs w:val="24"/>
        </w:rPr>
        <w:t xml:space="preserve"> law which precludes a third party from suing a company over contracts which were entered into at the time the company was in receivership.</w:t>
      </w:r>
    </w:p>
    <w:p w:rsidR="00574117" w:rsidRPr="002624EA" w:rsidRDefault="00574117" w:rsidP="003111AE">
      <w:pPr>
        <w:spacing w:line="360" w:lineRule="auto"/>
        <w:jc w:val="both"/>
        <w:rPr>
          <w:rFonts w:ascii="Bookman Old Style" w:hAnsi="Bookman Old Style"/>
          <w:b/>
          <w:i/>
          <w:sz w:val="24"/>
          <w:szCs w:val="24"/>
        </w:rPr>
      </w:pPr>
      <w:r w:rsidRPr="003111AE">
        <w:rPr>
          <w:rFonts w:ascii="Bookman Old Style" w:hAnsi="Bookman Old Style"/>
          <w:sz w:val="24"/>
          <w:szCs w:val="24"/>
        </w:rPr>
        <w:t xml:space="preserve">In articulating the foregoing arguments, counsel made reference to </w:t>
      </w:r>
      <w:r w:rsidR="007553C2">
        <w:rPr>
          <w:rFonts w:ascii="Bookman Old Style" w:hAnsi="Bookman Old Style"/>
          <w:b/>
          <w:i/>
          <w:sz w:val="24"/>
          <w:szCs w:val="24"/>
        </w:rPr>
        <w:t>Kerr on R</w:t>
      </w:r>
      <w:r w:rsidRPr="00BE4F13">
        <w:rPr>
          <w:rFonts w:ascii="Bookman Old Style" w:hAnsi="Bookman Old Style"/>
          <w:b/>
          <w:i/>
          <w:sz w:val="24"/>
          <w:szCs w:val="24"/>
        </w:rPr>
        <w:t>eceivers</w:t>
      </w:r>
      <w:r w:rsidRPr="003111AE">
        <w:rPr>
          <w:rFonts w:ascii="Bookman Old Style" w:hAnsi="Bookman Old Style"/>
          <w:sz w:val="24"/>
          <w:szCs w:val="24"/>
        </w:rPr>
        <w:t xml:space="preserve"> and the case of </w:t>
      </w:r>
      <w:r w:rsidRPr="002624EA">
        <w:rPr>
          <w:rFonts w:ascii="Bookman Old Style" w:hAnsi="Bookman Old Style"/>
          <w:b/>
          <w:i/>
          <w:sz w:val="24"/>
          <w:szCs w:val="24"/>
        </w:rPr>
        <w:t>Fresh Mint Limited and Others-Vs Kawambwa Tea Company (1966) Ltd (3).</w:t>
      </w:r>
      <w:r w:rsidR="0093190B">
        <w:rPr>
          <w:rFonts w:ascii="Bookman Old Style" w:hAnsi="Bookman Old Style"/>
          <w:b/>
          <w:i/>
          <w:sz w:val="24"/>
          <w:szCs w:val="24"/>
        </w:rPr>
        <w:t xml:space="preserve"> </w:t>
      </w:r>
      <w:r w:rsidR="0093190B" w:rsidRPr="0093190B">
        <w:rPr>
          <w:rFonts w:ascii="Bookman Old Style" w:hAnsi="Bookman Old Style"/>
          <w:sz w:val="24"/>
          <w:szCs w:val="24"/>
        </w:rPr>
        <w:t>He prayed that the application be dismissed</w:t>
      </w:r>
      <w:r w:rsidR="0093190B">
        <w:rPr>
          <w:rFonts w:ascii="Bookman Old Style" w:hAnsi="Bookman Old Style"/>
          <w:sz w:val="24"/>
          <w:szCs w:val="24"/>
        </w:rPr>
        <w:t>.</w:t>
      </w:r>
    </w:p>
    <w:p w:rsidR="00D87BAC" w:rsidRPr="003111AE" w:rsidRDefault="00574117" w:rsidP="003111AE">
      <w:pPr>
        <w:spacing w:line="360" w:lineRule="auto"/>
        <w:jc w:val="both"/>
        <w:rPr>
          <w:rFonts w:ascii="Bookman Old Style" w:hAnsi="Bookman Old Style"/>
          <w:sz w:val="24"/>
          <w:szCs w:val="24"/>
        </w:rPr>
      </w:pPr>
      <w:r w:rsidRPr="003111AE">
        <w:rPr>
          <w:rFonts w:ascii="Bookman Old Style" w:hAnsi="Bookman Old Style"/>
          <w:sz w:val="24"/>
          <w:szCs w:val="24"/>
        </w:rPr>
        <w:t>I have considered</w:t>
      </w:r>
      <w:r w:rsidR="00501A44" w:rsidRPr="003111AE">
        <w:rPr>
          <w:rFonts w:ascii="Bookman Old Style" w:hAnsi="Bookman Old Style"/>
          <w:sz w:val="24"/>
          <w:szCs w:val="24"/>
        </w:rPr>
        <w:t xml:space="preserve"> the a</w:t>
      </w:r>
      <w:r w:rsidR="000230AB" w:rsidRPr="003111AE">
        <w:rPr>
          <w:rFonts w:ascii="Bookman Old Style" w:hAnsi="Bookman Old Style"/>
          <w:sz w:val="24"/>
          <w:szCs w:val="24"/>
        </w:rPr>
        <w:t>ffidavits and submissions by counsel for the two parties.  The determinat</w:t>
      </w:r>
      <w:r w:rsidR="002624EA">
        <w:rPr>
          <w:rFonts w:ascii="Bookman Old Style" w:hAnsi="Bookman Old Style"/>
          <w:sz w:val="24"/>
          <w:szCs w:val="24"/>
        </w:rPr>
        <w:t>ion of this application hinges</w:t>
      </w:r>
      <w:r w:rsidR="002624EA" w:rsidRPr="003111AE">
        <w:rPr>
          <w:rFonts w:ascii="Bookman Old Style" w:hAnsi="Bookman Old Style"/>
          <w:sz w:val="24"/>
          <w:szCs w:val="24"/>
        </w:rPr>
        <w:t xml:space="preserve"> on</w:t>
      </w:r>
      <w:r w:rsidR="000230AB" w:rsidRPr="003111AE">
        <w:rPr>
          <w:rFonts w:ascii="Bookman Old Style" w:hAnsi="Bookman Old Style"/>
          <w:sz w:val="24"/>
          <w:szCs w:val="24"/>
        </w:rPr>
        <w:t xml:space="preserve"> the interpretation and effect of section 114 of the </w:t>
      </w:r>
      <w:r w:rsidR="000230AB" w:rsidRPr="002624EA">
        <w:rPr>
          <w:rFonts w:ascii="Bookman Old Style" w:hAnsi="Bookman Old Style"/>
          <w:b/>
          <w:i/>
          <w:sz w:val="24"/>
          <w:szCs w:val="24"/>
        </w:rPr>
        <w:t>Companies Act</w:t>
      </w:r>
      <w:r w:rsidR="000230AB" w:rsidRPr="003111AE">
        <w:rPr>
          <w:rFonts w:ascii="Bookman Old Style" w:hAnsi="Bookman Old Style"/>
          <w:sz w:val="24"/>
          <w:szCs w:val="24"/>
        </w:rPr>
        <w:t xml:space="preserve"> and the two cases namely </w:t>
      </w:r>
      <w:r w:rsidR="0093190B">
        <w:rPr>
          <w:rFonts w:ascii="Bookman Old Style" w:hAnsi="Bookman Old Style"/>
          <w:b/>
          <w:i/>
          <w:sz w:val="24"/>
          <w:szCs w:val="24"/>
        </w:rPr>
        <w:t>Magnum (Z</w:t>
      </w:r>
      <w:r w:rsidR="000230AB" w:rsidRPr="002624EA">
        <w:rPr>
          <w:rFonts w:ascii="Bookman Old Style" w:hAnsi="Bookman Old Style"/>
          <w:b/>
          <w:i/>
          <w:sz w:val="24"/>
          <w:szCs w:val="24"/>
        </w:rPr>
        <w:t xml:space="preserve">) Limited(1) </w:t>
      </w:r>
      <w:r w:rsidR="000230AB" w:rsidRPr="00725B67">
        <w:rPr>
          <w:rFonts w:ascii="Bookman Old Style" w:hAnsi="Bookman Old Style"/>
          <w:sz w:val="24"/>
          <w:szCs w:val="24"/>
        </w:rPr>
        <w:t>and</w:t>
      </w:r>
      <w:r w:rsidR="000230AB" w:rsidRPr="002624EA">
        <w:rPr>
          <w:rFonts w:ascii="Bookman Old Style" w:hAnsi="Bookman Old Style"/>
          <w:b/>
          <w:i/>
          <w:sz w:val="24"/>
          <w:szCs w:val="24"/>
        </w:rPr>
        <w:t xml:space="preserve"> Avalon Motors Limited (2)</w:t>
      </w:r>
      <w:r w:rsidR="000230AB" w:rsidRPr="003111AE">
        <w:rPr>
          <w:rFonts w:ascii="Bookman Old Style" w:hAnsi="Bookman Old Style"/>
          <w:sz w:val="24"/>
          <w:szCs w:val="24"/>
        </w:rPr>
        <w:t>.</w:t>
      </w:r>
      <w:r w:rsidR="00850674" w:rsidRPr="003111AE">
        <w:rPr>
          <w:rFonts w:ascii="Bookman Old Style" w:hAnsi="Bookman Old Style"/>
          <w:sz w:val="24"/>
          <w:szCs w:val="24"/>
        </w:rPr>
        <w:t xml:space="preserve">  </w:t>
      </w:r>
      <w:r w:rsidR="000230AB" w:rsidRPr="003111AE">
        <w:rPr>
          <w:rFonts w:ascii="Bookman Old Style" w:hAnsi="Bookman Old Style"/>
          <w:sz w:val="24"/>
          <w:szCs w:val="24"/>
        </w:rPr>
        <w:t xml:space="preserve">Section 114 of the </w:t>
      </w:r>
      <w:r w:rsidR="000230AB" w:rsidRPr="002624EA">
        <w:rPr>
          <w:rFonts w:ascii="Bookman Old Style" w:hAnsi="Bookman Old Style"/>
          <w:b/>
          <w:i/>
          <w:sz w:val="24"/>
          <w:szCs w:val="24"/>
        </w:rPr>
        <w:t>Companies Act</w:t>
      </w:r>
      <w:r w:rsidR="000230AB" w:rsidRPr="003111AE">
        <w:rPr>
          <w:rFonts w:ascii="Bookman Old Style" w:hAnsi="Bookman Old Style"/>
          <w:sz w:val="24"/>
          <w:szCs w:val="24"/>
        </w:rPr>
        <w:t xml:space="preserve"> states as follows:</w:t>
      </w:r>
    </w:p>
    <w:p w:rsidR="000230AB" w:rsidRPr="003111AE" w:rsidRDefault="002624EA" w:rsidP="003111AE">
      <w:pPr>
        <w:spacing w:line="360" w:lineRule="auto"/>
        <w:ind w:left="720"/>
        <w:jc w:val="both"/>
        <w:rPr>
          <w:rFonts w:ascii="Bookman Old Style" w:hAnsi="Bookman Old Style"/>
          <w:b/>
          <w:i/>
          <w:sz w:val="24"/>
          <w:szCs w:val="24"/>
        </w:rPr>
      </w:pPr>
      <w:r>
        <w:rPr>
          <w:rFonts w:ascii="Bookman Old Style" w:hAnsi="Bookman Old Style"/>
          <w:b/>
          <w:i/>
          <w:sz w:val="24"/>
          <w:szCs w:val="24"/>
        </w:rPr>
        <w:t>“A receiver of any property or</w:t>
      </w:r>
      <w:r w:rsidR="000230AB" w:rsidRPr="003111AE">
        <w:rPr>
          <w:rFonts w:ascii="Bookman Old Style" w:hAnsi="Bookman Old Style"/>
          <w:b/>
          <w:i/>
          <w:sz w:val="24"/>
          <w:szCs w:val="24"/>
        </w:rPr>
        <w:t xml:space="preserve"> undertaking of a company shall be personally liable on any contract entered into by him as receiver except  insofar as the contract expressly provides otherwise.”</w:t>
      </w:r>
    </w:p>
    <w:p w:rsidR="000230AB" w:rsidRPr="003111AE" w:rsidRDefault="000230AB" w:rsidP="003111AE">
      <w:pPr>
        <w:spacing w:line="360" w:lineRule="auto"/>
        <w:jc w:val="both"/>
        <w:rPr>
          <w:rFonts w:ascii="Bookman Old Style" w:hAnsi="Bookman Old Style"/>
          <w:sz w:val="24"/>
          <w:szCs w:val="24"/>
        </w:rPr>
      </w:pPr>
      <w:r w:rsidRPr="003111AE">
        <w:rPr>
          <w:rFonts w:ascii="Bookman Old Style" w:hAnsi="Bookman Old Style"/>
          <w:sz w:val="24"/>
          <w:szCs w:val="24"/>
        </w:rPr>
        <w:t xml:space="preserve">On the other </w:t>
      </w:r>
      <w:r w:rsidRPr="00725B67">
        <w:rPr>
          <w:rFonts w:ascii="Bookman Old Style" w:hAnsi="Bookman Old Style"/>
          <w:b/>
          <w:i/>
          <w:sz w:val="24"/>
          <w:szCs w:val="24"/>
        </w:rPr>
        <w:t>Magnum(Z) Limited (1)</w:t>
      </w:r>
      <w:r w:rsidRPr="003111AE">
        <w:rPr>
          <w:rFonts w:ascii="Bookman Old Style" w:hAnsi="Bookman Old Style"/>
          <w:sz w:val="24"/>
          <w:szCs w:val="24"/>
        </w:rPr>
        <w:t xml:space="preserve"> case states as follows at page 142</w:t>
      </w:r>
    </w:p>
    <w:p w:rsidR="000230AB" w:rsidRPr="003111AE" w:rsidRDefault="000230AB" w:rsidP="003111AE">
      <w:pPr>
        <w:spacing w:line="360" w:lineRule="auto"/>
        <w:ind w:left="720"/>
        <w:jc w:val="both"/>
        <w:rPr>
          <w:rFonts w:ascii="Bookman Old Style" w:hAnsi="Bookman Old Style"/>
          <w:b/>
          <w:i/>
          <w:sz w:val="24"/>
          <w:szCs w:val="24"/>
        </w:rPr>
      </w:pPr>
      <w:r w:rsidRPr="003111AE">
        <w:rPr>
          <w:rFonts w:ascii="Bookman Old Style" w:hAnsi="Bookman Old Style"/>
          <w:b/>
          <w:i/>
          <w:sz w:val="24"/>
          <w:szCs w:val="24"/>
        </w:rPr>
        <w:t>“(i) A receiver who is an agent of the company under receivership is there to secure the interests of the debenture holder and in those circumstances the company concerned is debarred from instituting legal proceedings against its receivership/manager.</w:t>
      </w:r>
    </w:p>
    <w:p w:rsidR="00F771C1" w:rsidRPr="00903E70" w:rsidRDefault="000230AB" w:rsidP="00903E70">
      <w:pPr>
        <w:spacing w:line="360" w:lineRule="auto"/>
        <w:ind w:left="720"/>
        <w:jc w:val="both"/>
        <w:rPr>
          <w:rFonts w:ascii="Bookman Old Style" w:hAnsi="Bookman Old Style"/>
          <w:b/>
          <w:i/>
          <w:sz w:val="24"/>
          <w:szCs w:val="24"/>
        </w:rPr>
      </w:pPr>
      <w:r w:rsidRPr="003111AE">
        <w:rPr>
          <w:rFonts w:ascii="Bookman Old Style" w:hAnsi="Bookman Old Style"/>
          <w:b/>
          <w:i/>
          <w:sz w:val="24"/>
          <w:szCs w:val="24"/>
        </w:rPr>
        <w:t>(ii) A company under receivership has no locus standi independent of its r</w:t>
      </w:r>
      <w:r w:rsidR="00EE27AC" w:rsidRPr="003111AE">
        <w:rPr>
          <w:rFonts w:ascii="Bookman Old Style" w:hAnsi="Bookman Old Style"/>
          <w:b/>
          <w:i/>
          <w:sz w:val="24"/>
          <w:szCs w:val="24"/>
        </w:rPr>
        <w:t>eceiver.  As long as a company co</w:t>
      </w:r>
      <w:r w:rsidRPr="003111AE">
        <w:rPr>
          <w:rFonts w:ascii="Bookman Old Style" w:hAnsi="Bookman Old Style"/>
          <w:b/>
          <w:i/>
          <w:sz w:val="24"/>
          <w:szCs w:val="24"/>
        </w:rPr>
        <w:t>ntinues to be subjected to receivership</w:t>
      </w:r>
      <w:r w:rsidR="00EE27AC" w:rsidRPr="003111AE">
        <w:rPr>
          <w:rFonts w:ascii="Bookman Old Style" w:hAnsi="Bookman Old Style"/>
          <w:b/>
          <w:i/>
          <w:sz w:val="24"/>
          <w:szCs w:val="24"/>
        </w:rPr>
        <w:t>, it is the receiver alone who can</w:t>
      </w:r>
      <w:r w:rsidR="00725B67">
        <w:rPr>
          <w:rFonts w:ascii="Bookman Old Style" w:hAnsi="Bookman Old Style"/>
          <w:b/>
          <w:i/>
          <w:sz w:val="24"/>
          <w:szCs w:val="24"/>
        </w:rPr>
        <w:t xml:space="preserve"> sue or defend</w:t>
      </w:r>
      <w:r w:rsidR="00EE27AC" w:rsidRPr="003111AE">
        <w:rPr>
          <w:rFonts w:ascii="Bookman Old Style" w:hAnsi="Bookman Old Style"/>
          <w:b/>
          <w:i/>
          <w:sz w:val="24"/>
          <w:szCs w:val="24"/>
        </w:rPr>
        <w:t xml:space="preserve"> in the name of the company.”</w:t>
      </w:r>
    </w:p>
    <w:p w:rsidR="00F771C1" w:rsidRPr="003111AE" w:rsidRDefault="00F771C1" w:rsidP="003111AE">
      <w:pPr>
        <w:spacing w:line="360" w:lineRule="auto"/>
        <w:jc w:val="both"/>
        <w:rPr>
          <w:rFonts w:ascii="Bookman Old Style" w:hAnsi="Bookman Old Style"/>
          <w:sz w:val="24"/>
          <w:szCs w:val="24"/>
        </w:rPr>
      </w:pPr>
      <w:r w:rsidRPr="003111AE">
        <w:rPr>
          <w:rFonts w:ascii="Bookman Old Style" w:hAnsi="Bookman Old Style"/>
          <w:sz w:val="24"/>
          <w:szCs w:val="24"/>
        </w:rPr>
        <w:t xml:space="preserve">While the </w:t>
      </w:r>
      <w:r w:rsidRPr="00725B67">
        <w:rPr>
          <w:rFonts w:ascii="Bookman Old Style" w:hAnsi="Bookman Old Style"/>
          <w:b/>
          <w:i/>
          <w:sz w:val="24"/>
          <w:szCs w:val="24"/>
        </w:rPr>
        <w:t>Avalon Motors Ltd(2)</w:t>
      </w:r>
      <w:r w:rsidRPr="003111AE">
        <w:rPr>
          <w:rFonts w:ascii="Bookman Old Style" w:hAnsi="Bookman Old Style"/>
          <w:sz w:val="24"/>
          <w:szCs w:val="24"/>
        </w:rPr>
        <w:t xml:space="preserve"> case states as follows:</w:t>
      </w:r>
    </w:p>
    <w:p w:rsidR="00F771C1" w:rsidRPr="00903E70" w:rsidRDefault="00F771C1" w:rsidP="00903E70">
      <w:pPr>
        <w:spacing w:line="360" w:lineRule="auto"/>
        <w:ind w:left="720"/>
        <w:jc w:val="both"/>
        <w:rPr>
          <w:rFonts w:ascii="Bookman Old Style" w:hAnsi="Bookman Old Style"/>
          <w:b/>
          <w:i/>
          <w:sz w:val="24"/>
          <w:szCs w:val="24"/>
        </w:rPr>
      </w:pPr>
      <w:r w:rsidRPr="003111AE">
        <w:rPr>
          <w:rFonts w:ascii="Bookman Old Style" w:hAnsi="Bookman Old Style"/>
          <w:b/>
          <w:i/>
          <w:sz w:val="24"/>
          <w:szCs w:val="24"/>
        </w:rPr>
        <w:t xml:space="preserve">“(1) shareholders and directors, as well as any body who is properly interested and who has a beneficial interest to protect </w:t>
      </w:r>
      <w:r w:rsidRPr="003111AE">
        <w:rPr>
          <w:rFonts w:ascii="Bookman Old Style" w:hAnsi="Bookman Old Style"/>
          <w:b/>
          <w:i/>
          <w:sz w:val="24"/>
          <w:szCs w:val="24"/>
        </w:rPr>
        <w:lastRenderedPageBreak/>
        <w:t xml:space="preserve">can sue a wrong doing receiver </w:t>
      </w:r>
      <w:r w:rsidR="00725B67">
        <w:rPr>
          <w:rFonts w:ascii="Bookman Old Style" w:hAnsi="Bookman Old Style"/>
          <w:b/>
          <w:i/>
          <w:sz w:val="24"/>
          <w:szCs w:val="24"/>
        </w:rPr>
        <w:t>or former receiver in their</w:t>
      </w:r>
      <w:r w:rsidRPr="003111AE">
        <w:rPr>
          <w:rFonts w:ascii="Bookman Old Style" w:hAnsi="Bookman Old Style"/>
          <w:b/>
          <w:i/>
          <w:sz w:val="24"/>
          <w:szCs w:val="24"/>
        </w:rPr>
        <w:t xml:space="preserve"> own names and in their own right.”</w:t>
      </w:r>
    </w:p>
    <w:p w:rsidR="0093190B" w:rsidRDefault="00F771C1" w:rsidP="003111AE">
      <w:pPr>
        <w:spacing w:line="360" w:lineRule="auto"/>
        <w:jc w:val="both"/>
        <w:rPr>
          <w:rFonts w:ascii="Bookman Old Style" w:hAnsi="Bookman Old Style"/>
          <w:sz w:val="24"/>
          <w:szCs w:val="24"/>
        </w:rPr>
      </w:pPr>
      <w:r w:rsidRPr="003111AE">
        <w:rPr>
          <w:rFonts w:ascii="Bookman Old Style" w:hAnsi="Bookman Old Style"/>
          <w:sz w:val="24"/>
          <w:szCs w:val="24"/>
        </w:rPr>
        <w:t xml:space="preserve">The </w:t>
      </w:r>
      <w:r w:rsidR="003111AE" w:rsidRPr="007553C2">
        <w:rPr>
          <w:rFonts w:ascii="Bookman Old Style" w:hAnsi="Bookman Old Style"/>
          <w:b/>
          <w:i/>
          <w:sz w:val="24"/>
          <w:szCs w:val="24"/>
        </w:rPr>
        <w:t>Magnum</w:t>
      </w:r>
      <w:r w:rsidRPr="007553C2">
        <w:rPr>
          <w:rFonts w:ascii="Bookman Old Style" w:hAnsi="Bookman Old Style"/>
          <w:b/>
          <w:i/>
          <w:sz w:val="24"/>
          <w:szCs w:val="24"/>
        </w:rPr>
        <w:t xml:space="preserve"> (1)</w:t>
      </w:r>
      <w:r w:rsidR="00725B67">
        <w:rPr>
          <w:rFonts w:ascii="Bookman Old Style" w:hAnsi="Bookman Old Style"/>
          <w:sz w:val="24"/>
          <w:szCs w:val="24"/>
        </w:rPr>
        <w:t xml:space="preserve"> case whose principle was restated in the </w:t>
      </w:r>
      <w:r w:rsidR="00725B67" w:rsidRPr="007553C2">
        <w:rPr>
          <w:rFonts w:ascii="Bookman Old Style" w:hAnsi="Bookman Old Style"/>
          <w:b/>
          <w:i/>
          <w:sz w:val="24"/>
          <w:szCs w:val="24"/>
        </w:rPr>
        <w:t>Fresh Mint Limited</w:t>
      </w:r>
      <w:r w:rsidR="007553C2">
        <w:rPr>
          <w:rFonts w:ascii="Bookman Old Style" w:hAnsi="Bookman Old Style"/>
          <w:b/>
          <w:i/>
          <w:sz w:val="24"/>
          <w:szCs w:val="24"/>
        </w:rPr>
        <w:t xml:space="preserve"> </w:t>
      </w:r>
      <w:r w:rsidR="00725B67" w:rsidRPr="007553C2">
        <w:rPr>
          <w:rFonts w:ascii="Bookman Old Style" w:hAnsi="Bookman Old Style"/>
          <w:b/>
          <w:i/>
          <w:sz w:val="24"/>
          <w:szCs w:val="24"/>
        </w:rPr>
        <w:t>(3)</w:t>
      </w:r>
      <w:r w:rsidRPr="003111AE">
        <w:rPr>
          <w:rFonts w:ascii="Bookman Old Style" w:hAnsi="Bookman Old Style"/>
          <w:sz w:val="24"/>
          <w:szCs w:val="24"/>
        </w:rPr>
        <w:t xml:space="preserve"> case confirms the fact that the receiver is an agent of the company under receivership.  It goes further and clothes the receiver with the locus standi to be sued and to sue</w:t>
      </w:r>
      <w:r w:rsidR="007553C2">
        <w:rPr>
          <w:rFonts w:ascii="Bookman Old Style" w:hAnsi="Bookman Old Style"/>
          <w:sz w:val="24"/>
          <w:szCs w:val="24"/>
        </w:rPr>
        <w:t xml:space="preserve"> on behalf of the company</w:t>
      </w:r>
      <w:r w:rsidRPr="003111AE">
        <w:rPr>
          <w:rFonts w:ascii="Bookman Old Style" w:hAnsi="Bookman Old Style"/>
          <w:sz w:val="24"/>
          <w:szCs w:val="24"/>
        </w:rPr>
        <w:t xml:space="preserve"> for as long as the company remains in receivership. </w:t>
      </w:r>
      <w:r w:rsidR="00E56557">
        <w:rPr>
          <w:rFonts w:ascii="Bookman Old Style" w:hAnsi="Bookman Old Style"/>
          <w:sz w:val="24"/>
          <w:szCs w:val="24"/>
        </w:rPr>
        <w:t>As su</w:t>
      </w:r>
      <w:r w:rsidR="007553C2">
        <w:rPr>
          <w:rFonts w:ascii="Bookman Old Style" w:hAnsi="Bookman Old Style"/>
          <w:sz w:val="24"/>
          <w:szCs w:val="24"/>
        </w:rPr>
        <w:t>ch agent, the receiver</w:t>
      </w:r>
      <w:r w:rsidR="00E56557">
        <w:rPr>
          <w:rFonts w:ascii="Bookman Old Style" w:hAnsi="Bookman Old Style"/>
          <w:sz w:val="24"/>
          <w:szCs w:val="24"/>
        </w:rPr>
        <w:t xml:space="preserve"> has the authority to enter into contracts that bind the company. </w:t>
      </w:r>
      <w:r w:rsidRPr="003111AE">
        <w:rPr>
          <w:rFonts w:ascii="Bookman Old Style" w:hAnsi="Bookman Old Style"/>
          <w:sz w:val="24"/>
          <w:szCs w:val="24"/>
        </w:rPr>
        <w:t xml:space="preserve"> It </w:t>
      </w:r>
      <w:r w:rsidR="003111AE" w:rsidRPr="003111AE">
        <w:rPr>
          <w:rFonts w:ascii="Bookman Old Style" w:hAnsi="Bookman Old Style"/>
          <w:sz w:val="24"/>
          <w:szCs w:val="24"/>
        </w:rPr>
        <w:t>must</w:t>
      </w:r>
      <w:r w:rsidRPr="003111AE">
        <w:rPr>
          <w:rFonts w:ascii="Bookman Old Style" w:hAnsi="Bookman Old Style"/>
          <w:sz w:val="24"/>
          <w:szCs w:val="24"/>
        </w:rPr>
        <w:t xml:space="preserve"> follow therefore, that once a company ceases to be in receivership, as in this case,</w:t>
      </w:r>
      <w:r w:rsidR="007553C2">
        <w:rPr>
          <w:rFonts w:ascii="Bookman Old Style" w:hAnsi="Bookman Old Style"/>
          <w:sz w:val="24"/>
          <w:szCs w:val="24"/>
        </w:rPr>
        <w:t xml:space="preserve"> it is the company that assumes</w:t>
      </w:r>
      <w:r w:rsidRPr="003111AE">
        <w:rPr>
          <w:rFonts w:ascii="Bookman Old Style" w:hAnsi="Bookman Old Style"/>
          <w:sz w:val="24"/>
          <w:szCs w:val="24"/>
        </w:rPr>
        <w:t xml:space="preserve"> the locus standi to sue and be sued</w:t>
      </w:r>
      <w:r w:rsidR="00E56557">
        <w:rPr>
          <w:rFonts w:ascii="Bookman Old Style" w:hAnsi="Bookman Old Style"/>
          <w:sz w:val="24"/>
          <w:szCs w:val="24"/>
        </w:rPr>
        <w:t xml:space="preserve"> and is responsible for any obligations under any contracts entered into</w:t>
      </w:r>
      <w:r w:rsidR="0093190B">
        <w:rPr>
          <w:rFonts w:ascii="Bookman Old Style" w:hAnsi="Bookman Old Style"/>
          <w:sz w:val="24"/>
          <w:szCs w:val="24"/>
        </w:rPr>
        <w:t xml:space="preserve"> by the receiver</w:t>
      </w:r>
      <w:r w:rsidRPr="003111AE">
        <w:rPr>
          <w:rFonts w:ascii="Bookman Old Style" w:hAnsi="Bookman Old Style"/>
          <w:sz w:val="24"/>
          <w:szCs w:val="24"/>
        </w:rPr>
        <w:t>.  I therefore agree with the argument by counsel for the Plaintiff</w:t>
      </w:r>
      <w:r w:rsidR="003111AE">
        <w:rPr>
          <w:rFonts w:ascii="Bookman Old Style" w:hAnsi="Bookman Old Style"/>
          <w:sz w:val="24"/>
          <w:szCs w:val="24"/>
        </w:rPr>
        <w:t xml:space="preserve"> </w:t>
      </w:r>
      <w:r w:rsidR="00E56557">
        <w:rPr>
          <w:rFonts w:ascii="Bookman Old Style" w:hAnsi="Bookman Old Style"/>
          <w:sz w:val="24"/>
          <w:szCs w:val="24"/>
        </w:rPr>
        <w:t>that the rightful person to sue in this matter is the D</w:t>
      </w:r>
      <w:r w:rsidRPr="003111AE">
        <w:rPr>
          <w:rFonts w:ascii="Bookman Old Style" w:hAnsi="Bookman Old Style"/>
          <w:sz w:val="24"/>
          <w:szCs w:val="24"/>
        </w:rPr>
        <w:t>efendant</w:t>
      </w:r>
      <w:r w:rsidR="00E56557">
        <w:rPr>
          <w:rFonts w:ascii="Bookman Old Style" w:hAnsi="Bookman Old Style"/>
          <w:sz w:val="24"/>
          <w:szCs w:val="24"/>
        </w:rPr>
        <w:t xml:space="preserve"> and not the receiver because the company</w:t>
      </w:r>
      <w:r w:rsidRPr="003111AE">
        <w:rPr>
          <w:rFonts w:ascii="Bookman Old Style" w:hAnsi="Bookman Old Style"/>
          <w:sz w:val="24"/>
          <w:szCs w:val="24"/>
        </w:rPr>
        <w:t xml:space="preserve"> now has the capacity to be sued as </w:t>
      </w:r>
      <w:r w:rsidR="00E56557">
        <w:rPr>
          <w:rFonts w:ascii="Bookman Old Style" w:hAnsi="Bookman Old Style"/>
          <w:sz w:val="24"/>
          <w:szCs w:val="24"/>
        </w:rPr>
        <w:t>a viable concern.  I am fortified</w:t>
      </w:r>
      <w:r w:rsidR="003111AE">
        <w:rPr>
          <w:rFonts w:ascii="Bookman Old Style" w:hAnsi="Bookman Old Style"/>
          <w:sz w:val="24"/>
          <w:szCs w:val="24"/>
        </w:rPr>
        <w:t xml:space="preserve"> in my finding by v</w:t>
      </w:r>
      <w:r w:rsidRPr="003111AE">
        <w:rPr>
          <w:rFonts w:ascii="Bookman Old Style" w:hAnsi="Bookman Old Style"/>
          <w:sz w:val="24"/>
          <w:szCs w:val="24"/>
        </w:rPr>
        <w:t>irtue of th</w:t>
      </w:r>
      <w:r w:rsidR="0093190B">
        <w:rPr>
          <w:rFonts w:ascii="Bookman Old Style" w:hAnsi="Bookman Old Style"/>
          <w:sz w:val="24"/>
          <w:szCs w:val="24"/>
        </w:rPr>
        <w:t>e fact that the basic principle</w:t>
      </w:r>
      <w:r w:rsidRPr="003111AE">
        <w:rPr>
          <w:rFonts w:ascii="Bookman Old Style" w:hAnsi="Bookman Old Style"/>
          <w:sz w:val="24"/>
          <w:szCs w:val="24"/>
        </w:rPr>
        <w:t xml:space="preserve"> of the law of </w:t>
      </w:r>
      <w:r w:rsidR="007553C2">
        <w:rPr>
          <w:rFonts w:ascii="Bookman Old Style" w:hAnsi="Bookman Old Style"/>
          <w:sz w:val="24"/>
          <w:szCs w:val="24"/>
        </w:rPr>
        <w:t>agency states that the principal</w:t>
      </w:r>
      <w:r w:rsidRPr="003111AE">
        <w:rPr>
          <w:rFonts w:ascii="Bookman Old Style" w:hAnsi="Bookman Old Style"/>
          <w:sz w:val="24"/>
          <w:szCs w:val="24"/>
        </w:rPr>
        <w:t xml:space="preserve"> wi</w:t>
      </w:r>
      <w:r w:rsidR="003111AE">
        <w:rPr>
          <w:rFonts w:ascii="Bookman Old Style" w:hAnsi="Bookman Old Style"/>
          <w:sz w:val="24"/>
          <w:szCs w:val="24"/>
        </w:rPr>
        <w:t>l</w:t>
      </w:r>
      <w:r w:rsidRPr="003111AE">
        <w:rPr>
          <w:rFonts w:ascii="Bookman Old Style" w:hAnsi="Bookman Old Style"/>
          <w:sz w:val="24"/>
          <w:szCs w:val="24"/>
        </w:rPr>
        <w:t xml:space="preserve">l be liable for the </w:t>
      </w:r>
      <w:r w:rsidR="007553C2">
        <w:rPr>
          <w:rFonts w:ascii="Bookman Old Style" w:hAnsi="Bookman Old Style"/>
          <w:sz w:val="24"/>
          <w:szCs w:val="24"/>
        </w:rPr>
        <w:t>act of its agents</w:t>
      </w:r>
      <w:r w:rsidRPr="003111AE">
        <w:rPr>
          <w:rFonts w:ascii="Bookman Old Style" w:hAnsi="Bookman Old Style"/>
          <w:sz w:val="24"/>
          <w:szCs w:val="24"/>
        </w:rPr>
        <w:t>.  I also agree with the argument by counsel for the Plai</w:t>
      </w:r>
      <w:r w:rsidR="0093190B">
        <w:rPr>
          <w:rFonts w:ascii="Bookman Old Style" w:hAnsi="Bookman Old Style"/>
          <w:sz w:val="24"/>
          <w:szCs w:val="24"/>
        </w:rPr>
        <w:t>ntiff that</w:t>
      </w:r>
      <w:r w:rsidRPr="003111AE">
        <w:rPr>
          <w:rFonts w:ascii="Bookman Old Style" w:hAnsi="Bookman Old Style"/>
          <w:sz w:val="24"/>
          <w:szCs w:val="24"/>
        </w:rPr>
        <w:t xml:space="preserve"> 114</w:t>
      </w:r>
      <w:r w:rsidR="0093190B">
        <w:rPr>
          <w:rFonts w:ascii="Bookman Old Style" w:hAnsi="Bookman Old Style"/>
          <w:sz w:val="24"/>
          <w:szCs w:val="24"/>
        </w:rPr>
        <w:t>(1) of the companies Act</w:t>
      </w:r>
      <w:r w:rsidRPr="003111AE">
        <w:rPr>
          <w:rFonts w:ascii="Bookman Old Style" w:hAnsi="Bookman Old Style"/>
          <w:sz w:val="24"/>
          <w:szCs w:val="24"/>
        </w:rPr>
        <w:t xml:space="preserve"> is only of effect whilst the company is in receivership.  This arises from the fact that the receiver stands in the</w:t>
      </w:r>
      <w:r w:rsidR="003111AE">
        <w:rPr>
          <w:rFonts w:ascii="Bookman Old Style" w:hAnsi="Bookman Old Style"/>
          <w:sz w:val="24"/>
          <w:szCs w:val="24"/>
        </w:rPr>
        <w:t xml:space="preserve"> </w:t>
      </w:r>
      <w:r w:rsidRPr="003111AE">
        <w:rPr>
          <w:rFonts w:ascii="Bookman Old Style" w:hAnsi="Bookman Old Style"/>
          <w:sz w:val="24"/>
          <w:szCs w:val="24"/>
        </w:rPr>
        <w:t xml:space="preserve">shoes of the company </w:t>
      </w:r>
      <w:r w:rsidR="003111AE" w:rsidRPr="003111AE">
        <w:rPr>
          <w:rFonts w:ascii="Bookman Old Style" w:hAnsi="Bookman Old Style"/>
          <w:sz w:val="24"/>
          <w:szCs w:val="24"/>
        </w:rPr>
        <w:t>and</w:t>
      </w:r>
      <w:r w:rsidRPr="003111AE">
        <w:rPr>
          <w:rFonts w:ascii="Bookman Old Style" w:hAnsi="Bookman Old Style"/>
          <w:sz w:val="24"/>
          <w:szCs w:val="24"/>
        </w:rPr>
        <w:t xml:space="preserve"> as such if he enter into any contract he </w:t>
      </w:r>
      <w:r w:rsidR="00E56557">
        <w:rPr>
          <w:rFonts w:ascii="Bookman Old Style" w:hAnsi="Bookman Old Style"/>
          <w:sz w:val="24"/>
          <w:szCs w:val="24"/>
        </w:rPr>
        <w:t>must</w:t>
      </w:r>
      <w:r w:rsidR="003111AE" w:rsidRPr="003111AE">
        <w:rPr>
          <w:rFonts w:ascii="Bookman Old Style" w:hAnsi="Bookman Old Style"/>
          <w:sz w:val="24"/>
          <w:szCs w:val="24"/>
        </w:rPr>
        <w:t xml:space="preserve"> be </w:t>
      </w:r>
      <w:r w:rsidR="00E56557">
        <w:rPr>
          <w:rFonts w:ascii="Bookman Old Style" w:hAnsi="Bookman Old Style"/>
          <w:sz w:val="24"/>
          <w:szCs w:val="24"/>
        </w:rPr>
        <w:t>made liable</w:t>
      </w:r>
      <w:r w:rsidR="007F063F">
        <w:rPr>
          <w:rFonts w:ascii="Bookman Old Style" w:hAnsi="Bookman Old Style"/>
          <w:sz w:val="24"/>
          <w:szCs w:val="24"/>
        </w:rPr>
        <w:t xml:space="preserve"> whilst the company is in receivership</w:t>
      </w:r>
      <w:r w:rsidR="00E56557">
        <w:rPr>
          <w:rFonts w:ascii="Bookman Old Style" w:hAnsi="Bookman Old Style"/>
          <w:sz w:val="24"/>
          <w:szCs w:val="24"/>
        </w:rPr>
        <w:t xml:space="preserve">.  </w:t>
      </w:r>
    </w:p>
    <w:p w:rsidR="003111AE" w:rsidRPr="003111AE" w:rsidRDefault="00E56557" w:rsidP="003111AE">
      <w:pPr>
        <w:spacing w:line="360" w:lineRule="auto"/>
        <w:jc w:val="both"/>
        <w:rPr>
          <w:rFonts w:ascii="Bookman Old Style" w:hAnsi="Bookman Old Style"/>
          <w:sz w:val="24"/>
          <w:szCs w:val="24"/>
        </w:rPr>
      </w:pPr>
      <w:r>
        <w:rPr>
          <w:rFonts w:ascii="Bookman Old Style" w:hAnsi="Bookman Old Style"/>
          <w:sz w:val="24"/>
          <w:szCs w:val="24"/>
        </w:rPr>
        <w:t xml:space="preserve">The liability of a receiver as envisaged in the </w:t>
      </w:r>
      <w:r w:rsidR="0093190B">
        <w:rPr>
          <w:rFonts w:ascii="Bookman Old Style" w:hAnsi="Bookman Old Style"/>
          <w:b/>
          <w:i/>
          <w:sz w:val="24"/>
          <w:szCs w:val="24"/>
        </w:rPr>
        <w:t>Avalon Motors Ltd</w:t>
      </w:r>
      <w:r w:rsidR="007553C2">
        <w:rPr>
          <w:rFonts w:ascii="Bookman Old Style" w:hAnsi="Bookman Old Style"/>
          <w:b/>
          <w:i/>
          <w:sz w:val="24"/>
          <w:szCs w:val="24"/>
        </w:rPr>
        <w:t xml:space="preserve"> </w:t>
      </w:r>
      <w:r>
        <w:rPr>
          <w:rFonts w:ascii="Bookman Old Style" w:hAnsi="Bookman Old Style"/>
          <w:sz w:val="24"/>
          <w:szCs w:val="24"/>
        </w:rPr>
        <w:t>case relates to an erring receiver during and after the receivership, which action must be taken by interested parties against the receiver and not to absolve the company from a suit</w:t>
      </w:r>
      <w:r w:rsidR="007553C2">
        <w:rPr>
          <w:rFonts w:ascii="Bookman Old Style" w:hAnsi="Bookman Old Style"/>
          <w:sz w:val="24"/>
          <w:szCs w:val="24"/>
        </w:rPr>
        <w:t xml:space="preserve"> by a third party as is sought to do</w:t>
      </w:r>
      <w:r>
        <w:rPr>
          <w:rFonts w:ascii="Bookman Old Style" w:hAnsi="Bookman Old Style"/>
          <w:sz w:val="24"/>
          <w:szCs w:val="24"/>
        </w:rPr>
        <w:t xml:space="preserve"> in this matter.</w:t>
      </w:r>
    </w:p>
    <w:p w:rsidR="003111AE" w:rsidRDefault="003111AE" w:rsidP="003111AE">
      <w:pPr>
        <w:spacing w:line="360" w:lineRule="auto"/>
        <w:jc w:val="both"/>
        <w:rPr>
          <w:rFonts w:ascii="Bookman Old Style" w:hAnsi="Bookman Old Style"/>
          <w:sz w:val="24"/>
          <w:szCs w:val="24"/>
        </w:rPr>
      </w:pPr>
      <w:r w:rsidRPr="003111AE">
        <w:rPr>
          <w:rFonts w:ascii="Bookman Old Style" w:hAnsi="Bookman Old Style"/>
          <w:sz w:val="24"/>
          <w:szCs w:val="24"/>
        </w:rPr>
        <w:t>In view of my findings in the preceding paragraph</w:t>
      </w:r>
      <w:r w:rsidR="0093190B">
        <w:rPr>
          <w:rFonts w:ascii="Bookman Old Style" w:hAnsi="Bookman Old Style"/>
          <w:sz w:val="24"/>
          <w:szCs w:val="24"/>
        </w:rPr>
        <w:t>s</w:t>
      </w:r>
      <w:r w:rsidRPr="003111AE">
        <w:rPr>
          <w:rFonts w:ascii="Bookman Old Style" w:hAnsi="Bookman Old Style"/>
          <w:sz w:val="24"/>
          <w:szCs w:val="24"/>
        </w:rPr>
        <w:t xml:space="preserve"> I find no merit in this application and I accordingly dismiss it with costs.  I further direct that the matter come up for a status confere</w:t>
      </w:r>
      <w:r w:rsidR="007553C2">
        <w:rPr>
          <w:rFonts w:ascii="Bookman Old Style" w:hAnsi="Bookman Old Style"/>
          <w:sz w:val="24"/>
          <w:szCs w:val="24"/>
        </w:rPr>
        <w:t>nce on 28</w:t>
      </w:r>
      <w:r w:rsidR="007553C2" w:rsidRPr="007553C2">
        <w:rPr>
          <w:rFonts w:ascii="Bookman Old Style" w:hAnsi="Bookman Old Style"/>
          <w:sz w:val="24"/>
          <w:szCs w:val="24"/>
          <w:vertAlign w:val="superscript"/>
        </w:rPr>
        <w:t>th</w:t>
      </w:r>
      <w:r w:rsidR="007553C2">
        <w:rPr>
          <w:rFonts w:ascii="Bookman Old Style" w:hAnsi="Bookman Old Style"/>
          <w:sz w:val="24"/>
          <w:szCs w:val="24"/>
        </w:rPr>
        <w:t xml:space="preserve">  day of August 2012 at 9:20 </w:t>
      </w:r>
      <w:r w:rsidRPr="003111AE">
        <w:rPr>
          <w:rFonts w:ascii="Bookman Old Style" w:hAnsi="Bookman Old Style"/>
          <w:sz w:val="24"/>
          <w:szCs w:val="24"/>
        </w:rPr>
        <w:t xml:space="preserve"> hours.</w:t>
      </w:r>
    </w:p>
    <w:p w:rsidR="00EF09A4" w:rsidRPr="003111AE" w:rsidRDefault="00EF09A4" w:rsidP="003111AE">
      <w:pPr>
        <w:spacing w:line="360" w:lineRule="auto"/>
        <w:jc w:val="both"/>
        <w:rPr>
          <w:rFonts w:ascii="Bookman Old Style" w:hAnsi="Bookman Old Style"/>
          <w:sz w:val="24"/>
          <w:szCs w:val="24"/>
        </w:rPr>
      </w:pPr>
    </w:p>
    <w:p w:rsidR="00EF09A4" w:rsidRDefault="003111AE" w:rsidP="003111AE">
      <w:pPr>
        <w:spacing w:line="360" w:lineRule="auto"/>
        <w:jc w:val="both"/>
        <w:rPr>
          <w:rFonts w:ascii="Bookman Old Style" w:hAnsi="Bookman Old Style"/>
          <w:sz w:val="24"/>
          <w:szCs w:val="24"/>
        </w:rPr>
      </w:pPr>
      <w:r w:rsidRPr="003111AE">
        <w:rPr>
          <w:rFonts w:ascii="Bookman Old Style" w:hAnsi="Bookman Old Style"/>
          <w:sz w:val="24"/>
          <w:szCs w:val="24"/>
        </w:rPr>
        <w:lastRenderedPageBreak/>
        <w:t>Leave to appeal is granted</w:t>
      </w:r>
    </w:p>
    <w:p w:rsidR="00EF09A4" w:rsidRDefault="007553C2" w:rsidP="00773AFF">
      <w:pPr>
        <w:spacing w:line="360" w:lineRule="auto"/>
        <w:jc w:val="center"/>
        <w:rPr>
          <w:rFonts w:ascii="Bookman Old Style" w:hAnsi="Bookman Old Style"/>
          <w:sz w:val="24"/>
          <w:szCs w:val="24"/>
        </w:rPr>
      </w:pPr>
      <w:r>
        <w:rPr>
          <w:rFonts w:ascii="Bookman Old Style" w:hAnsi="Bookman Old Style"/>
          <w:sz w:val="24"/>
          <w:szCs w:val="24"/>
        </w:rPr>
        <w:t xml:space="preserve">Delivered this </w:t>
      </w:r>
      <w:r w:rsidR="0093190B">
        <w:rPr>
          <w:rFonts w:ascii="Bookman Old Style" w:hAnsi="Bookman Old Style"/>
          <w:sz w:val="24"/>
          <w:szCs w:val="24"/>
        </w:rPr>
        <w:t>4</w:t>
      </w:r>
      <w:r w:rsidRPr="007553C2">
        <w:rPr>
          <w:rFonts w:ascii="Bookman Old Style" w:hAnsi="Bookman Old Style"/>
          <w:sz w:val="24"/>
          <w:szCs w:val="24"/>
          <w:vertAlign w:val="superscript"/>
        </w:rPr>
        <w:t>th</w:t>
      </w:r>
      <w:r>
        <w:rPr>
          <w:rFonts w:ascii="Bookman Old Style" w:hAnsi="Bookman Old Style"/>
          <w:sz w:val="24"/>
          <w:szCs w:val="24"/>
        </w:rPr>
        <w:t xml:space="preserve"> </w:t>
      </w:r>
      <w:r w:rsidR="00EF09A4">
        <w:rPr>
          <w:rFonts w:ascii="Bookman Old Style" w:hAnsi="Bookman Old Style"/>
          <w:sz w:val="24"/>
          <w:szCs w:val="24"/>
        </w:rPr>
        <w:t xml:space="preserve"> day of July 2012</w:t>
      </w:r>
    </w:p>
    <w:p w:rsidR="00EF09A4" w:rsidRDefault="00EF09A4" w:rsidP="00EF09A4">
      <w:pPr>
        <w:spacing w:line="360" w:lineRule="auto"/>
        <w:jc w:val="center"/>
        <w:rPr>
          <w:rFonts w:ascii="Bookman Old Style" w:hAnsi="Bookman Old Style"/>
          <w:sz w:val="24"/>
          <w:szCs w:val="24"/>
        </w:rPr>
      </w:pPr>
    </w:p>
    <w:p w:rsidR="00EF09A4" w:rsidRDefault="00EF09A4" w:rsidP="00EF09A4">
      <w:pPr>
        <w:spacing w:line="360" w:lineRule="auto"/>
        <w:jc w:val="center"/>
        <w:rPr>
          <w:rFonts w:ascii="Bookman Old Style" w:hAnsi="Bookman Old Style"/>
          <w:sz w:val="24"/>
          <w:szCs w:val="24"/>
        </w:rPr>
      </w:pPr>
    </w:p>
    <w:p w:rsidR="00EF09A4" w:rsidRPr="00EF09A4" w:rsidRDefault="00EF09A4" w:rsidP="00EF09A4">
      <w:pPr>
        <w:spacing w:line="360" w:lineRule="auto"/>
        <w:jc w:val="center"/>
        <w:rPr>
          <w:rFonts w:ascii="Bookman Old Style" w:hAnsi="Bookman Old Style"/>
          <w:b/>
          <w:sz w:val="24"/>
          <w:szCs w:val="24"/>
        </w:rPr>
      </w:pPr>
      <w:r w:rsidRPr="00EF09A4">
        <w:rPr>
          <w:rFonts w:ascii="Bookman Old Style" w:hAnsi="Bookman Old Style"/>
          <w:b/>
          <w:sz w:val="24"/>
          <w:szCs w:val="24"/>
        </w:rPr>
        <w:t>NIGEL K. MUTUNA</w:t>
      </w:r>
    </w:p>
    <w:p w:rsidR="00EF09A4" w:rsidRPr="00EF09A4" w:rsidRDefault="00EF09A4" w:rsidP="00EF09A4">
      <w:pPr>
        <w:spacing w:line="360" w:lineRule="auto"/>
        <w:jc w:val="center"/>
        <w:rPr>
          <w:rFonts w:ascii="Bookman Old Style" w:hAnsi="Bookman Old Style"/>
          <w:b/>
          <w:sz w:val="24"/>
          <w:szCs w:val="24"/>
        </w:rPr>
      </w:pPr>
      <w:r w:rsidRPr="00EF09A4">
        <w:rPr>
          <w:rFonts w:ascii="Bookman Old Style" w:hAnsi="Bookman Old Style"/>
          <w:b/>
          <w:sz w:val="24"/>
          <w:szCs w:val="24"/>
        </w:rPr>
        <w:t>HIGH COURT JUDGE</w:t>
      </w:r>
    </w:p>
    <w:p w:rsidR="000230AB" w:rsidRPr="003111AE" w:rsidRDefault="000230AB" w:rsidP="003111AE">
      <w:pPr>
        <w:spacing w:line="360" w:lineRule="auto"/>
        <w:jc w:val="both"/>
        <w:rPr>
          <w:rFonts w:ascii="Bookman Old Style" w:hAnsi="Bookman Old Style"/>
          <w:sz w:val="24"/>
          <w:szCs w:val="24"/>
        </w:rPr>
      </w:pPr>
    </w:p>
    <w:p w:rsidR="000230AB" w:rsidRPr="003111AE" w:rsidRDefault="000230AB" w:rsidP="003111AE">
      <w:pPr>
        <w:spacing w:line="360" w:lineRule="auto"/>
        <w:jc w:val="both"/>
        <w:rPr>
          <w:rFonts w:ascii="Bookman Old Style" w:hAnsi="Bookman Old Style"/>
          <w:sz w:val="24"/>
          <w:szCs w:val="24"/>
        </w:rPr>
      </w:pPr>
    </w:p>
    <w:sectPr w:rsidR="000230AB" w:rsidRPr="003111AE" w:rsidSect="00B41DF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AD5" w:rsidRDefault="00D96AD5" w:rsidP="003111AE">
      <w:pPr>
        <w:spacing w:after="0" w:line="240" w:lineRule="auto"/>
      </w:pPr>
      <w:r>
        <w:separator/>
      </w:r>
    </w:p>
  </w:endnote>
  <w:endnote w:type="continuationSeparator" w:id="1">
    <w:p w:rsidR="00D96AD5" w:rsidRDefault="00D96AD5" w:rsidP="00311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AD5" w:rsidRDefault="00D96AD5" w:rsidP="003111AE">
      <w:pPr>
        <w:spacing w:after="0" w:line="240" w:lineRule="auto"/>
      </w:pPr>
      <w:r>
        <w:separator/>
      </w:r>
    </w:p>
  </w:footnote>
  <w:footnote w:type="continuationSeparator" w:id="1">
    <w:p w:rsidR="00D96AD5" w:rsidRDefault="00D96AD5" w:rsidP="00311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32686"/>
      <w:docPartObj>
        <w:docPartGallery w:val="Page Numbers (Top of Page)"/>
        <w:docPartUnique/>
      </w:docPartObj>
    </w:sdtPr>
    <w:sdtContent>
      <w:p w:rsidR="00E54DCD" w:rsidRDefault="00E54DCD">
        <w:pPr>
          <w:pStyle w:val="Header"/>
          <w:jc w:val="center"/>
        </w:pPr>
        <w:r>
          <w:t>R</w:t>
        </w:r>
        <w:fldSimple w:instr=" PAGE   \* MERGEFORMAT ">
          <w:r w:rsidR="0093190B">
            <w:rPr>
              <w:noProof/>
            </w:rPr>
            <w:t>6</w:t>
          </w:r>
        </w:fldSimple>
      </w:p>
    </w:sdtContent>
  </w:sdt>
  <w:p w:rsidR="00E54DCD" w:rsidRDefault="00E54D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3720"/>
    <w:multiLevelType w:val="hybridMultilevel"/>
    <w:tmpl w:val="725A6C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50422E"/>
    <w:multiLevelType w:val="hybridMultilevel"/>
    <w:tmpl w:val="D2A6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87BAC"/>
    <w:rsid w:val="000230AB"/>
    <w:rsid w:val="000F02A2"/>
    <w:rsid w:val="002624EA"/>
    <w:rsid w:val="003111AE"/>
    <w:rsid w:val="00312AEC"/>
    <w:rsid w:val="00342729"/>
    <w:rsid w:val="0040098C"/>
    <w:rsid w:val="00501A44"/>
    <w:rsid w:val="00574117"/>
    <w:rsid w:val="005F7DCB"/>
    <w:rsid w:val="00725B67"/>
    <w:rsid w:val="007553C2"/>
    <w:rsid w:val="00773AFF"/>
    <w:rsid w:val="007F063F"/>
    <w:rsid w:val="007F68A9"/>
    <w:rsid w:val="008263E3"/>
    <w:rsid w:val="00850674"/>
    <w:rsid w:val="00903E70"/>
    <w:rsid w:val="009269A7"/>
    <w:rsid w:val="0093190B"/>
    <w:rsid w:val="00946EA8"/>
    <w:rsid w:val="009634A4"/>
    <w:rsid w:val="009A24E6"/>
    <w:rsid w:val="009D515A"/>
    <w:rsid w:val="00B41DF6"/>
    <w:rsid w:val="00BE4F13"/>
    <w:rsid w:val="00C56D76"/>
    <w:rsid w:val="00CC6601"/>
    <w:rsid w:val="00CE066F"/>
    <w:rsid w:val="00D76107"/>
    <w:rsid w:val="00D87BAC"/>
    <w:rsid w:val="00D96AD5"/>
    <w:rsid w:val="00E54DCD"/>
    <w:rsid w:val="00E56557"/>
    <w:rsid w:val="00EE27AC"/>
    <w:rsid w:val="00EF09A4"/>
    <w:rsid w:val="00F52CFE"/>
    <w:rsid w:val="00F77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BAC"/>
    <w:pPr>
      <w:ind w:left="720"/>
      <w:contextualSpacing/>
    </w:pPr>
  </w:style>
  <w:style w:type="paragraph" w:styleId="Header">
    <w:name w:val="header"/>
    <w:basedOn w:val="Normal"/>
    <w:link w:val="HeaderChar"/>
    <w:uiPriority w:val="99"/>
    <w:unhideWhenUsed/>
    <w:rsid w:val="00311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1AE"/>
  </w:style>
  <w:style w:type="paragraph" w:styleId="Footer">
    <w:name w:val="footer"/>
    <w:basedOn w:val="Normal"/>
    <w:link w:val="FooterChar"/>
    <w:uiPriority w:val="99"/>
    <w:semiHidden/>
    <w:unhideWhenUsed/>
    <w:rsid w:val="00311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11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1C8B6-1C8F-474C-A156-647D8BFC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6</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17</cp:revision>
  <cp:lastPrinted>2012-07-05T05:33:00Z</cp:lastPrinted>
  <dcterms:created xsi:type="dcterms:W3CDTF">2012-06-28T10:51:00Z</dcterms:created>
  <dcterms:modified xsi:type="dcterms:W3CDTF">2012-07-05T10:21:00Z</dcterms:modified>
</cp:coreProperties>
</file>