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2B1" w:rsidRDefault="002722B1" w:rsidP="00465A1B">
      <w:pPr>
        <w:spacing w:line="360" w:lineRule="auto"/>
        <w:rPr>
          <w:rFonts w:ascii="Arial" w:hAnsi="Arial" w:cs="Arial"/>
          <w:b/>
          <w:sz w:val="28"/>
          <w:szCs w:val="28"/>
          <w:u w:val="single"/>
        </w:rPr>
      </w:pPr>
    </w:p>
    <w:p w:rsidR="008601A4" w:rsidRDefault="00465A1B" w:rsidP="00465A1B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465A1B">
        <w:rPr>
          <w:rFonts w:ascii="Arial" w:hAnsi="Arial" w:cs="Arial"/>
          <w:b/>
          <w:sz w:val="28"/>
          <w:szCs w:val="28"/>
          <w:u w:val="single"/>
        </w:rPr>
        <w:t>IN THE HIGH COURT FOR ZAMBIA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bookmarkStart w:id="0" w:name="_GoBack"/>
      <w:r>
        <w:rPr>
          <w:rFonts w:ascii="Arial" w:hAnsi="Arial" w:cs="Arial"/>
          <w:b/>
          <w:sz w:val="28"/>
          <w:szCs w:val="28"/>
        </w:rPr>
        <w:t>2011/HK/SCA/48</w:t>
      </w:r>
      <w:bookmarkEnd w:id="0"/>
    </w:p>
    <w:p w:rsidR="00465A1B" w:rsidRPr="00465A1B" w:rsidRDefault="00465A1B" w:rsidP="00465A1B">
      <w:pPr>
        <w:spacing w:line="360" w:lineRule="auto"/>
        <w:rPr>
          <w:rFonts w:ascii="Arial" w:hAnsi="Arial" w:cs="Arial"/>
          <w:b/>
          <w:sz w:val="28"/>
          <w:szCs w:val="28"/>
          <w:u w:val="single"/>
        </w:rPr>
      </w:pPr>
      <w:r w:rsidRPr="00465A1B">
        <w:rPr>
          <w:rFonts w:ascii="Arial" w:hAnsi="Arial" w:cs="Arial"/>
          <w:b/>
          <w:sz w:val="28"/>
          <w:szCs w:val="28"/>
          <w:u w:val="single"/>
        </w:rPr>
        <w:t xml:space="preserve">AT THE </w:t>
      </w:r>
      <w:smartTag w:uri="urn:schemas-microsoft-com:office:smarttags" w:element="City">
        <w:smartTag w:uri="urn:schemas-microsoft-com:office:smarttags" w:element="place">
          <w:r w:rsidRPr="00465A1B">
            <w:rPr>
              <w:rFonts w:ascii="Arial" w:hAnsi="Arial" w:cs="Arial"/>
              <w:b/>
              <w:sz w:val="28"/>
              <w:szCs w:val="28"/>
              <w:u w:val="single"/>
            </w:rPr>
            <w:t>KITWE</w:t>
          </w:r>
        </w:smartTag>
      </w:smartTag>
      <w:r w:rsidRPr="00465A1B">
        <w:rPr>
          <w:rFonts w:ascii="Arial" w:hAnsi="Arial" w:cs="Arial"/>
          <w:b/>
          <w:sz w:val="28"/>
          <w:szCs w:val="28"/>
          <w:u w:val="single"/>
        </w:rPr>
        <w:t xml:space="preserve"> DISTRICT REGISTRY</w:t>
      </w:r>
    </w:p>
    <w:p w:rsidR="00465A1B" w:rsidRPr="00465A1B" w:rsidRDefault="00465A1B" w:rsidP="00465A1B">
      <w:pPr>
        <w:spacing w:line="360" w:lineRule="auto"/>
        <w:rPr>
          <w:rFonts w:ascii="Arial" w:hAnsi="Arial" w:cs="Arial"/>
          <w:b/>
          <w:sz w:val="28"/>
          <w:szCs w:val="28"/>
          <w:u w:val="single"/>
        </w:rPr>
      </w:pPr>
      <w:r w:rsidRPr="00465A1B">
        <w:rPr>
          <w:rFonts w:ascii="Arial" w:hAnsi="Arial" w:cs="Arial"/>
          <w:b/>
          <w:sz w:val="28"/>
          <w:szCs w:val="28"/>
          <w:u w:val="single"/>
        </w:rPr>
        <w:t xml:space="preserve">HOLDEN AT </w:t>
      </w:r>
      <w:smartTag w:uri="urn:schemas-microsoft-com:office:smarttags" w:element="City">
        <w:smartTag w:uri="urn:schemas-microsoft-com:office:smarttags" w:element="place">
          <w:r w:rsidRPr="00465A1B">
            <w:rPr>
              <w:rFonts w:ascii="Arial" w:hAnsi="Arial" w:cs="Arial"/>
              <w:b/>
              <w:sz w:val="28"/>
              <w:szCs w:val="28"/>
              <w:u w:val="single"/>
            </w:rPr>
            <w:t>KITWE</w:t>
          </w:r>
        </w:smartTag>
      </w:smartTag>
    </w:p>
    <w:p w:rsidR="00465A1B" w:rsidRDefault="00465A1B" w:rsidP="00465A1B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465A1B">
        <w:rPr>
          <w:rFonts w:ascii="Arial" w:hAnsi="Arial" w:cs="Arial"/>
          <w:b/>
          <w:sz w:val="28"/>
          <w:szCs w:val="28"/>
          <w:u w:val="single"/>
        </w:rPr>
        <w:t>(CIVIL JURISDICTION</w:t>
      </w:r>
      <w:r>
        <w:rPr>
          <w:rFonts w:ascii="Arial" w:hAnsi="Arial" w:cs="Arial"/>
          <w:b/>
          <w:sz w:val="28"/>
          <w:szCs w:val="28"/>
        </w:rPr>
        <w:t>)</w:t>
      </w:r>
    </w:p>
    <w:p w:rsidR="00465A1B" w:rsidRPr="00465A1B" w:rsidRDefault="00465A1B" w:rsidP="00465A1B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465A1B">
        <w:rPr>
          <w:rFonts w:ascii="Arial" w:hAnsi="Arial" w:cs="Arial"/>
          <w:b/>
          <w:sz w:val="28"/>
          <w:szCs w:val="28"/>
        </w:rPr>
        <w:t>B E T W E E N:</w:t>
      </w:r>
    </w:p>
    <w:p w:rsidR="00465A1B" w:rsidRPr="00465A1B" w:rsidRDefault="00465A1B" w:rsidP="00465A1B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465A1B">
        <w:rPr>
          <w:rFonts w:ascii="Arial" w:hAnsi="Arial" w:cs="Arial"/>
          <w:b/>
          <w:sz w:val="28"/>
          <w:szCs w:val="28"/>
        </w:rPr>
        <w:t>PHIRI (MALE)</w:t>
      </w:r>
      <w:r w:rsidRPr="00465A1B">
        <w:rPr>
          <w:rFonts w:ascii="Arial" w:hAnsi="Arial" w:cs="Arial"/>
          <w:b/>
          <w:sz w:val="28"/>
          <w:szCs w:val="28"/>
        </w:rPr>
        <w:tab/>
      </w:r>
      <w:r w:rsidRPr="00465A1B">
        <w:rPr>
          <w:rFonts w:ascii="Arial" w:hAnsi="Arial" w:cs="Arial"/>
          <w:b/>
          <w:sz w:val="28"/>
          <w:szCs w:val="28"/>
        </w:rPr>
        <w:tab/>
      </w:r>
      <w:r w:rsidRPr="00465A1B">
        <w:rPr>
          <w:rFonts w:ascii="Arial" w:hAnsi="Arial" w:cs="Arial"/>
          <w:b/>
          <w:sz w:val="28"/>
          <w:szCs w:val="28"/>
        </w:rPr>
        <w:tab/>
      </w:r>
      <w:r w:rsidRPr="00465A1B">
        <w:rPr>
          <w:rFonts w:ascii="Arial" w:hAnsi="Arial" w:cs="Arial"/>
          <w:b/>
          <w:sz w:val="28"/>
          <w:szCs w:val="28"/>
        </w:rPr>
        <w:tab/>
      </w:r>
      <w:r w:rsidRPr="00465A1B">
        <w:rPr>
          <w:rFonts w:ascii="Arial" w:hAnsi="Arial" w:cs="Arial"/>
          <w:b/>
          <w:sz w:val="28"/>
          <w:szCs w:val="28"/>
        </w:rPr>
        <w:tab/>
      </w:r>
      <w:r w:rsidRPr="00465A1B">
        <w:rPr>
          <w:rFonts w:ascii="Arial" w:hAnsi="Arial" w:cs="Arial"/>
          <w:b/>
          <w:sz w:val="28"/>
          <w:szCs w:val="28"/>
        </w:rPr>
        <w:tab/>
      </w:r>
      <w:r w:rsidRPr="00465A1B">
        <w:rPr>
          <w:rFonts w:ascii="Arial" w:hAnsi="Arial" w:cs="Arial"/>
          <w:b/>
          <w:sz w:val="28"/>
          <w:szCs w:val="28"/>
        </w:rPr>
        <w:tab/>
        <w:t>1</w:t>
      </w:r>
      <w:r w:rsidRPr="00465A1B">
        <w:rPr>
          <w:rFonts w:ascii="Arial" w:hAnsi="Arial" w:cs="Arial"/>
          <w:b/>
          <w:sz w:val="28"/>
          <w:szCs w:val="28"/>
          <w:vertAlign w:val="superscript"/>
        </w:rPr>
        <w:t>ST</w:t>
      </w:r>
      <w:r w:rsidRPr="00465A1B">
        <w:rPr>
          <w:rFonts w:ascii="Arial" w:hAnsi="Arial" w:cs="Arial"/>
          <w:b/>
          <w:sz w:val="28"/>
          <w:szCs w:val="28"/>
        </w:rPr>
        <w:t xml:space="preserve"> </w:t>
      </w:r>
      <w:r w:rsidR="007D6076">
        <w:rPr>
          <w:rFonts w:ascii="Arial" w:hAnsi="Arial" w:cs="Arial"/>
          <w:b/>
          <w:sz w:val="28"/>
          <w:szCs w:val="28"/>
        </w:rPr>
        <w:t>APPELLA</w:t>
      </w:r>
      <w:r w:rsidRPr="00465A1B">
        <w:rPr>
          <w:rFonts w:ascii="Arial" w:hAnsi="Arial" w:cs="Arial"/>
          <w:b/>
          <w:sz w:val="28"/>
          <w:szCs w:val="28"/>
        </w:rPr>
        <w:t>NT</w:t>
      </w:r>
    </w:p>
    <w:p w:rsidR="00465A1B" w:rsidRPr="00465A1B" w:rsidRDefault="00465A1B" w:rsidP="00465A1B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465A1B">
        <w:rPr>
          <w:rFonts w:ascii="Arial" w:hAnsi="Arial" w:cs="Arial"/>
          <w:b/>
          <w:sz w:val="28"/>
          <w:szCs w:val="28"/>
        </w:rPr>
        <w:t>CHISENGA (MALE)</w:t>
      </w:r>
      <w:r w:rsidRPr="00465A1B">
        <w:rPr>
          <w:rFonts w:ascii="Arial" w:hAnsi="Arial" w:cs="Arial"/>
          <w:b/>
          <w:sz w:val="28"/>
          <w:szCs w:val="28"/>
        </w:rPr>
        <w:tab/>
      </w:r>
      <w:r w:rsidRPr="00465A1B">
        <w:rPr>
          <w:rFonts w:ascii="Arial" w:hAnsi="Arial" w:cs="Arial"/>
          <w:b/>
          <w:sz w:val="28"/>
          <w:szCs w:val="28"/>
        </w:rPr>
        <w:tab/>
      </w:r>
      <w:r w:rsidRPr="00465A1B">
        <w:rPr>
          <w:rFonts w:ascii="Arial" w:hAnsi="Arial" w:cs="Arial"/>
          <w:b/>
          <w:sz w:val="28"/>
          <w:szCs w:val="28"/>
        </w:rPr>
        <w:tab/>
      </w:r>
      <w:r w:rsidRPr="00465A1B">
        <w:rPr>
          <w:rFonts w:ascii="Arial" w:hAnsi="Arial" w:cs="Arial"/>
          <w:b/>
          <w:sz w:val="28"/>
          <w:szCs w:val="28"/>
        </w:rPr>
        <w:tab/>
      </w:r>
      <w:r w:rsidRPr="00465A1B">
        <w:rPr>
          <w:rFonts w:ascii="Arial" w:hAnsi="Arial" w:cs="Arial"/>
          <w:b/>
          <w:sz w:val="28"/>
          <w:szCs w:val="28"/>
        </w:rPr>
        <w:tab/>
      </w:r>
      <w:r w:rsidRPr="00465A1B">
        <w:rPr>
          <w:rFonts w:ascii="Arial" w:hAnsi="Arial" w:cs="Arial"/>
          <w:b/>
          <w:sz w:val="28"/>
          <w:szCs w:val="28"/>
        </w:rPr>
        <w:tab/>
        <w:t>2</w:t>
      </w:r>
      <w:r w:rsidRPr="00465A1B">
        <w:rPr>
          <w:rFonts w:ascii="Arial" w:hAnsi="Arial" w:cs="Arial"/>
          <w:b/>
          <w:sz w:val="28"/>
          <w:szCs w:val="28"/>
          <w:vertAlign w:val="superscript"/>
        </w:rPr>
        <w:t>ND</w:t>
      </w:r>
      <w:r w:rsidRPr="00465A1B">
        <w:rPr>
          <w:rFonts w:ascii="Arial" w:hAnsi="Arial" w:cs="Arial"/>
          <w:b/>
          <w:sz w:val="28"/>
          <w:szCs w:val="28"/>
        </w:rPr>
        <w:t xml:space="preserve"> </w:t>
      </w:r>
      <w:r w:rsidR="007D6076">
        <w:rPr>
          <w:rFonts w:ascii="Arial" w:hAnsi="Arial" w:cs="Arial"/>
          <w:b/>
          <w:sz w:val="28"/>
          <w:szCs w:val="28"/>
        </w:rPr>
        <w:t>APPELLANT</w:t>
      </w:r>
    </w:p>
    <w:p w:rsidR="00465A1B" w:rsidRPr="00465A1B" w:rsidRDefault="00465A1B" w:rsidP="00465A1B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465A1B">
        <w:rPr>
          <w:rFonts w:ascii="Arial" w:hAnsi="Arial" w:cs="Arial"/>
          <w:b/>
          <w:sz w:val="28"/>
          <w:szCs w:val="28"/>
        </w:rPr>
        <w:t>MRS. TEMBO (FEMALE)</w:t>
      </w:r>
      <w:r w:rsidRPr="00465A1B">
        <w:rPr>
          <w:rFonts w:ascii="Arial" w:hAnsi="Arial" w:cs="Arial"/>
          <w:b/>
          <w:sz w:val="28"/>
          <w:szCs w:val="28"/>
        </w:rPr>
        <w:tab/>
      </w:r>
      <w:r w:rsidRPr="00465A1B">
        <w:rPr>
          <w:rFonts w:ascii="Arial" w:hAnsi="Arial" w:cs="Arial"/>
          <w:b/>
          <w:sz w:val="28"/>
          <w:szCs w:val="28"/>
        </w:rPr>
        <w:tab/>
      </w:r>
      <w:r w:rsidRPr="00465A1B">
        <w:rPr>
          <w:rFonts w:ascii="Arial" w:hAnsi="Arial" w:cs="Arial"/>
          <w:b/>
          <w:sz w:val="28"/>
          <w:szCs w:val="28"/>
        </w:rPr>
        <w:tab/>
      </w:r>
      <w:r w:rsidRPr="00465A1B">
        <w:rPr>
          <w:rFonts w:ascii="Arial" w:hAnsi="Arial" w:cs="Arial"/>
          <w:b/>
          <w:sz w:val="28"/>
          <w:szCs w:val="28"/>
        </w:rPr>
        <w:tab/>
      </w:r>
      <w:r w:rsidRPr="00465A1B">
        <w:rPr>
          <w:rFonts w:ascii="Arial" w:hAnsi="Arial" w:cs="Arial"/>
          <w:b/>
          <w:sz w:val="28"/>
          <w:szCs w:val="28"/>
        </w:rPr>
        <w:tab/>
        <w:t>3</w:t>
      </w:r>
      <w:r w:rsidRPr="00465A1B">
        <w:rPr>
          <w:rFonts w:ascii="Arial" w:hAnsi="Arial" w:cs="Arial"/>
          <w:b/>
          <w:sz w:val="28"/>
          <w:szCs w:val="28"/>
          <w:vertAlign w:val="superscript"/>
        </w:rPr>
        <w:t>RD</w:t>
      </w:r>
      <w:r w:rsidRPr="00465A1B">
        <w:rPr>
          <w:rFonts w:ascii="Arial" w:hAnsi="Arial" w:cs="Arial"/>
          <w:b/>
          <w:sz w:val="28"/>
          <w:szCs w:val="28"/>
        </w:rPr>
        <w:t xml:space="preserve"> </w:t>
      </w:r>
      <w:r w:rsidR="007D6076">
        <w:rPr>
          <w:rFonts w:ascii="Arial" w:hAnsi="Arial" w:cs="Arial"/>
          <w:b/>
          <w:sz w:val="28"/>
          <w:szCs w:val="28"/>
        </w:rPr>
        <w:t>APPELLANT</w:t>
      </w:r>
    </w:p>
    <w:p w:rsidR="00465A1B" w:rsidRDefault="00465A1B" w:rsidP="00465A1B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:rsidR="00465A1B" w:rsidRPr="00465A1B" w:rsidRDefault="00465A1B" w:rsidP="00465A1B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465A1B">
        <w:rPr>
          <w:rFonts w:ascii="Arial" w:hAnsi="Arial" w:cs="Arial"/>
          <w:b/>
          <w:sz w:val="28"/>
          <w:szCs w:val="28"/>
        </w:rPr>
        <w:t>AND</w:t>
      </w:r>
    </w:p>
    <w:p w:rsidR="007D6076" w:rsidRPr="00465A1B" w:rsidRDefault="007D6076" w:rsidP="007D6076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465A1B">
        <w:rPr>
          <w:rFonts w:ascii="Arial" w:hAnsi="Arial" w:cs="Arial"/>
          <w:b/>
          <w:sz w:val="28"/>
          <w:szCs w:val="28"/>
        </w:rPr>
        <w:t>MPATA HILL MINING COMPANY LIMITED</w:t>
      </w:r>
      <w:r w:rsidRPr="00465A1B">
        <w:rPr>
          <w:rFonts w:ascii="Arial" w:hAnsi="Arial" w:cs="Arial"/>
          <w:b/>
          <w:sz w:val="28"/>
          <w:szCs w:val="28"/>
        </w:rPr>
        <w:tab/>
      </w:r>
      <w:r w:rsidRPr="00465A1B">
        <w:rPr>
          <w:rFonts w:ascii="Arial" w:hAnsi="Arial" w:cs="Arial"/>
          <w:b/>
          <w:sz w:val="28"/>
          <w:szCs w:val="28"/>
        </w:rPr>
        <w:tab/>
        <w:t>1</w:t>
      </w:r>
      <w:r w:rsidRPr="00465A1B">
        <w:rPr>
          <w:rFonts w:ascii="Arial" w:hAnsi="Arial" w:cs="Arial"/>
          <w:b/>
          <w:sz w:val="28"/>
          <w:szCs w:val="28"/>
          <w:vertAlign w:val="superscript"/>
        </w:rPr>
        <w:t>ST</w:t>
      </w:r>
      <w:r w:rsidRPr="00465A1B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RESPONDENT</w:t>
      </w:r>
    </w:p>
    <w:p w:rsidR="007D6076" w:rsidRPr="00465A1B" w:rsidRDefault="007D6076" w:rsidP="007D6076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465A1B">
        <w:rPr>
          <w:rFonts w:ascii="Arial" w:hAnsi="Arial" w:cs="Arial"/>
          <w:b/>
          <w:sz w:val="28"/>
          <w:szCs w:val="28"/>
        </w:rPr>
        <w:t>THENDELIAN MINING COMPANY LIMITED</w:t>
      </w:r>
      <w:r w:rsidRPr="00465A1B">
        <w:rPr>
          <w:rFonts w:ascii="Arial" w:hAnsi="Arial" w:cs="Arial"/>
          <w:b/>
          <w:sz w:val="28"/>
          <w:szCs w:val="28"/>
        </w:rPr>
        <w:tab/>
      </w:r>
      <w:r w:rsidRPr="00465A1B">
        <w:rPr>
          <w:rFonts w:ascii="Arial" w:hAnsi="Arial" w:cs="Arial"/>
          <w:b/>
          <w:sz w:val="28"/>
          <w:szCs w:val="28"/>
        </w:rPr>
        <w:tab/>
        <w:t>2</w:t>
      </w:r>
      <w:r w:rsidRPr="00465A1B">
        <w:rPr>
          <w:rFonts w:ascii="Arial" w:hAnsi="Arial" w:cs="Arial"/>
          <w:b/>
          <w:sz w:val="28"/>
          <w:szCs w:val="28"/>
          <w:vertAlign w:val="superscript"/>
        </w:rPr>
        <w:t>ND</w:t>
      </w:r>
      <w:r w:rsidRPr="00465A1B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RESPONDENT</w:t>
      </w:r>
    </w:p>
    <w:p w:rsidR="007D6076" w:rsidRPr="00465A1B" w:rsidRDefault="007D6076" w:rsidP="007D6076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465A1B">
        <w:rPr>
          <w:rFonts w:ascii="Arial" w:hAnsi="Arial" w:cs="Arial"/>
          <w:b/>
          <w:sz w:val="28"/>
          <w:szCs w:val="28"/>
        </w:rPr>
        <w:t>MICHEAL MISEPO</w:t>
      </w:r>
      <w:r w:rsidRPr="00465A1B">
        <w:rPr>
          <w:rFonts w:ascii="Arial" w:hAnsi="Arial" w:cs="Arial"/>
          <w:b/>
          <w:sz w:val="28"/>
          <w:szCs w:val="28"/>
        </w:rPr>
        <w:tab/>
      </w:r>
      <w:r w:rsidRPr="00465A1B">
        <w:rPr>
          <w:rFonts w:ascii="Arial" w:hAnsi="Arial" w:cs="Arial"/>
          <w:b/>
          <w:sz w:val="28"/>
          <w:szCs w:val="28"/>
        </w:rPr>
        <w:tab/>
      </w:r>
      <w:r w:rsidRPr="00465A1B">
        <w:rPr>
          <w:rFonts w:ascii="Arial" w:hAnsi="Arial" w:cs="Arial"/>
          <w:b/>
          <w:sz w:val="28"/>
          <w:szCs w:val="28"/>
        </w:rPr>
        <w:tab/>
      </w:r>
      <w:r w:rsidRPr="00465A1B">
        <w:rPr>
          <w:rFonts w:ascii="Arial" w:hAnsi="Arial" w:cs="Arial"/>
          <w:b/>
          <w:sz w:val="28"/>
          <w:szCs w:val="28"/>
        </w:rPr>
        <w:tab/>
      </w:r>
      <w:r w:rsidRPr="00465A1B">
        <w:rPr>
          <w:rFonts w:ascii="Arial" w:hAnsi="Arial" w:cs="Arial"/>
          <w:b/>
          <w:sz w:val="28"/>
          <w:szCs w:val="28"/>
        </w:rPr>
        <w:tab/>
      </w:r>
      <w:r w:rsidRPr="00465A1B">
        <w:rPr>
          <w:rFonts w:ascii="Arial" w:hAnsi="Arial" w:cs="Arial"/>
          <w:b/>
          <w:sz w:val="28"/>
          <w:szCs w:val="28"/>
        </w:rPr>
        <w:tab/>
        <w:t>3</w:t>
      </w:r>
      <w:r w:rsidRPr="00465A1B">
        <w:rPr>
          <w:rFonts w:ascii="Arial" w:hAnsi="Arial" w:cs="Arial"/>
          <w:b/>
          <w:sz w:val="28"/>
          <w:szCs w:val="28"/>
          <w:vertAlign w:val="superscript"/>
        </w:rPr>
        <w:t>RD</w:t>
      </w:r>
      <w:r w:rsidRPr="00465A1B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RESPONDENT</w:t>
      </w:r>
    </w:p>
    <w:p w:rsidR="00465A1B" w:rsidRPr="00465A1B" w:rsidRDefault="00465A1B" w:rsidP="00465A1B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465A1B">
        <w:rPr>
          <w:rFonts w:ascii="Arial" w:hAnsi="Arial" w:cs="Arial"/>
          <w:b/>
          <w:sz w:val="28"/>
          <w:szCs w:val="28"/>
        </w:rPr>
        <w:t>Before Honourable Mrs. Justice Judy Z. Mulongoti in chambers on the</w:t>
      </w:r>
      <w:r w:rsidR="009465D3">
        <w:rPr>
          <w:rFonts w:ascii="Arial" w:hAnsi="Arial" w:cs="Arial"/>
          <w:b/>
          <w:sz w:val="28"/>
          <w:szCs w:val="28"/>
        </w:rPr>
        <w:t xml:space="preserve"> 9</w:t>
      </w:r>
      <w:r w:rsidR="009465D3" w:rsidRPr="009465D3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9465D3">
        <w:rPr>
          <w:rFonts w:ascii="Arial" w:hAnsi="Arial" w:cs="Arial"/>
          <w:b/>
          <w:sz w:val="28"/>
          <w:szCs w:val="28"/>
        </w:rPr>
        <w:t xml:space="preserve"> </w:t>
      </w:r>
      <w:r w:rsidRPr="00465A1B">
        <w:rPr>
          <w:rFonts w:ascii="Arial" w:hAnsi="Arial" w:cs="Arial"/>
          <w:b/>
          <w:sz w:val="28"/>
          <w:szCs w:val="28"/>
        </w:rPr>
        <w:t>day of October, 2012</w:t>
      </w:r>
    </w:p>
    <w:p w:rsidR="00465A1B" w:rsidRPr="00465A1B" w:rsidRDefault="00465A1B" w:rsidP="00465A1B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465A1B">
        <w:rPr>
          <w:rFonts w:ascii="Arial" w:hAnsi="Arial" w:cs="Arial"/>
          <w:b/>
          <w:sz w:val="28"/>
          <w:szCs w:val="28"/>
        </w:rPr>
        <w:t xml:space="preserve">For the </w:t>
      </w:r>
      <w:r w:rsidR="00837FE9">
        <w:rPr>
          <w:rFonts w:ascii="Arial" w:hAnsi="Arial" w:cs="Arial"/>
          <w:b/>
          <w:sz w:val="28"/>
          <w:szCs w:val="28"/>
        </w:rPr>
        <w:t>Appellants</w:t>
      </w:r>
      <w:r w:rsidRPr="00465A1B">
        <w:rPr>
          <w:rFonts w:ascii="Arial" w:hAnsi="Arial" w:cs="Arial"/>
          <w:b/>
          <w:sz w:val="28"/>
          <w:szCs w:val="28"/>
        </w:rPr>
        <w:tab/>
        <w:t>:</w:t>
      </w:r>
      <w:r w:rsidRPr="00465A1B">
        <w:rPr>
          <w:rFonts w:ascii="Arial" w:hAnsi="Arial" w:cs="Arial"/>
          <w:b/>
          <w:sz w:val="28"/>
          <w:szCs w:val="28"/>
        </w:rPr>
        <w:tab/>
        <w:t xml:space="preserve">Mr. </w:t>
      </w:r>
      <w:r w:rsidR="00837FE9">
        <w:rPr>
          <w:rFonts w:ascii="Arial" w:hAnsi="Arial" w:cs="Arial"/>
          <w:b/>
          <w:sz w:val="28"/>
          <w:szCs w:val="28"/>
        </w:rPr>
        <w:t xml:space="preserve">C. </w:t>
      </w:r>
      <w:r w:rsidRPr="00465A1B">
        <w:rPr>
          <w:rFonts w:ascii="Arial" w:hAnsi="Arial" w:cs="Arial"/>
          <w:b/>
          <w:sz w:val="28"/>
          <w:szCs w:val="28"/>
        </w:rPr>
        <w:t>Chali of Nkana Chambers</w:t>
      </w:r>
    </w:p>
    <w:p w:rsidR="00465A1B" w:rsidRDefault="00465A1B" w:rsidP="00465A1B">
      <w:pPr>
        <w:pBdr>
          <w:bottom w:val="single" w:sz="6" w:space="1" w:color="auto"/>
        </w:pBdr>
        <w:spacing w:line="360" w:lineRule="auto"/>
        <w:rPr>
          <w:rFonts w:ascii="Arial" w:hAnsi="Arial" w:cs="Arial"/>
          <w:b/>
          <w:sz w:val="28"/>
          <w:szCs w:val="28"/>
        </w:rPr>
      </w:pPr>
      <w:r w:rsidRPr="00465A1B">
        <w:rPr>
          <w:rFonts w:ascii="Arial" w:hAnsi="Arial" w:cs="Arial"/>
          <w:b/>
          <w:sz w:val="28"/>
          <w:szCs w:val="28"/>
        </w:rPr>
        <w:t xml:space="preserve">For the </w:t>
      </w:r>
      <w:r w:rsidR="00837FE9">
        <w:rPr>
          <w:rFonts w:ascii="Arial" w:hAnsi="Arial" w:cs="Arial"/>
          <w:b/>
          <w:sz w:val="28"/>
          <w:szCs w:val="28"/>
        </w:rPr>
        <w:t>Respondents</w:t>
      </w:r>
      <w:r w:rsidRPr="00465A1B">
        <w:rPr>
          <w:rFonts w:ascii="Arial" w:hAnsi="Arial" w:cs="Arial"/>
          <w:b/>
          <w:sz w:val="28"/>
          <w:szCs w:val="28"/>
        </w:rPr>
        <w:tab/>
        <w:t>:</w:t>
      </w:r>
      <w:r w:rsidRPr="00465A1B">
        <w:rPr>
          <w:rFonts w:ascii="Arial" w:hAnsi="Arial" w:cs="Arial"/>
          <w:b/>
          <w:sz w:val="28"/>
          <w:szCs w:val="28"/>
        </w:rPr>
        <w:tab/>
      </w:r>
      <w:r w:rsidR="00C77483">
        <w:rPr>
          <w:rFonts w:ascii="Arial" w:hAnsi="Arial" w:cs="Arial"/>
          <w:b/>
          <w:sz w:val="28"/>
          <w:szCs w:val="28"/>
        </w:rPr>
        <w:t>No Appearance</w:t>
      </w:r>
    </w:p>
    <w:p w:rsidR="003158B1" w:rsidRPr="00465A1B" w:rsidRDefault="003158B1" w:rsidP="00465A1B">
      <w:pPr>
        <w:pBdr>
          <w:bottom w:val="single" w:sz="6" w:space="1" w:color="auto"/>
        </w:pBd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_________________________________________________________</w:t>
      </w:r>
    </w:p>
    <w:p w:rsidR="00465A1B" w:rsidRPr="00465A1B" w:rsidRDefault="00465A1B" w:rsidP="00465A1B">
      <w:pPr>
        <w:pBdr>
          <w:bottom w:val="single" w:sz="6" w:space="1" w:color="auto"/>
        </w:pBdr>
        <w:spacing w:line="360" w:lineRule="auto"/>
        <w:jc w:val="center"/>
        <w:rPr>
          <w:rFonts w:ascii="Arial Black" w:hAnsi="Arial Black" w:cs="Arial"/>
          <w:b/>
          <w:i/>
          <w:sz w:val="32"/>
          <w:szCs w:val="32"/>
        </w:rPr>
      </w:pPr>
      <w:r w:rsidRPr="00465A1B">
        <w:rPr>
          <w:rFonts w:ascii="Arial Black" w:hAnsi="Arial Black" w:cs="Arial"/>
          <w:b/>
          <w:i/>
          <w:sz w:val="32"/>
          <w:szCs w:val="32"/>
        </w:rPr>
        <w:t>R U L I N G</w:t>
      </w:r>
    </w:p>
    <w:p w:rsidR="00465A1B" w:rsidRDefault="00465A1B" w:rsidP="00465A1B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:rsidR="00064E25" w:rsidRDefault="00064E25" w:rsidP="00465A1B">
      <w:pPr>
        <w:spacing w:line="360" w:lineRule="auto"/>
        <w:rPr>
          <w:rFonts w:ascii="Arial" w:hAnsi="Arial" w:cs="Arial"/>
          <w:sz w:val="22"/>
          <w:szCs w:val="22"/>
        </w:rPr>
      </w:pPr>
      <w:r w:rsidRPr="00064E25">
        <w:rPr>
          <w:rFonts w:ascii="Arial" w:hAnsi="Arial" w:cs="Arial"/>
          <w:b/>
          <w:sz w:val="22"/>
          <w:szCs w:val="22"/>
          <w:u w:val="single"/>
        </w:rPr>
        <w:t>CASES REFERRED TO</w:t>
      </w:r>
      <w:r>
        <w:rPr>
          <w:rFonts w:ascii="Arial" w:hAnsi="Arial" w:cs="Arial"/>
          <w:sz w:val="22"/>
          <w:szCs w:val="22"/>
        </w:rPr>
        <w:t>:</w:t>
      </w:r>
    </w:p>
    <w:p w:rsidR="00064E25" w:rsidRDefault="00064E25" w:rsidP="00064E25">
      <w:pPr>
        <w:numPr>
          <w:ilvl w:val="0"/>
          <w:numId w:val="1"/>
        </w:numPr>
        <w:spacing w:line="360" w:lineRule="auto"/>
        <w:rPr>
          <w:rFonts w:ascii="Arial" w:hAnsi="Arial" w:cs="Arial"/>
          <w:i/>
          <w:sz w:val="22"/>
          <w:szCs w:val="22"/>
        </w:rPr>
      </w:pPr>
      <w:r w:rsidRPr="00064E25">
        <w:rPr>
          <w:rFonts w:ascii="Arial" w:hAnsi="Arial" w:cs="Arial"/>
          <w:i/>
          <w:sz w:val="22"/>
          <w:szCs w:val="22"/>
        </w:rPr>
        <w:t>WORKERS DEVELOPMENT CORPORATION LIMITED VS. DAVID MKANDAWIRE</w:t>
      </w:r>
      <w:r w:rsidR="00C77483">
        <w:rPr>
          <w:rFonts w:ascii="Arial" w:hAnsi="Arial" w:cs="Arial"/>
          <w:i/>
          <w:sz w:val="22"/>
          <w:szCs w:val="22"/>
        </w:rPr>
        <w:t xml:space="preserve"> [1999] ZR</w:t>
      </w:r>
      <w:r w:rsidR="000C4001">
        <w:rPr>
          <w:rFonts w:ascii="Arial" w:hAnsi="Arial" w:cs="Arial"/>
          <w:i/>
          <w:sz w:val="22"/>
          <w:szCs w:val="22"/>
        </w:rPr>
        <w:t xml:space="preserve"> 132 (SC)</w:t>
      </w:r>
    </w:p>
    <w:p w:rsidR="00064E25" w:rsidRPr="00C77483" w:rsidRDefault="00064E25" w:rsidP="00064E25">
      <w:pPr>
        <w:numPr>
          <w:ilvl w:val="0"/>
          <w:numId w:val="1"/>
        </w:numPr>
        <w:spacing w:line="360" w:lineRule="auto"/>
        <w:rPr>
          <w:rFonts w:ascii="Arial" w:hAnsi="Arial" w:cs="Arial"/>
          <w:i/>
          <w:sz w:val="22"/>
          <w:szCs w:val="22"/>
        </w:rPr>
      </w:pPr>
      <w:r w:rsidRPr="00C77483">
        <w:rPr>
          <w:rFonts w:ascii="Arial" w:hAnsi="Arial" w:cs="Arial"/>
          <w:i/>
          <w:sz w:val="22"/>
          <w:szCs w:val="22"/>
        </w:rPr>
        <w:t>YAMFWA ENTERPRISES LIMITED VS. MECHANISED MINING SOLUTIONS LIMITED</w:t>
      </w:r>
      <w:r w:rsidR="000C4001">
        <w:rPr>
          <w:rFonts w:ascii="Arial" w:hAnsi="Arial" w:cs="Arial"/>
          <w:i/>
          <w:sz w:val="22"/>
          <w:szCs w:val="22"/>
        </w:rPr>
        <w:t xml:space="preserve"> [2011/HK/330 (HC)</w:t>
      </w:r>
    </w:p>
    <w:p w:rsidR="003158B1" w:rsidRDefault="003158B1" w:rsidP="00465A1B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:rsidR="00614667" w:rsidRPr="00614667" w:rsidRDefault="00614667" w:rsidP="00465A1B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  <w:r w:rsidRPr="00614667">
        <w:rPr>
          <w:rFonts w:ascii="Arial" w:hAnsi="Arial" w:cs="Arial"/>
          <w:b/>
          <w:sz w:val="22"/>
          <w:szCs w:val="22"/>
          <w:u w:val="single"/>
        </w:rPr>
        <w:t>LEGISLATION REFERRED TO</w:t>
      </w:r>
    </w:p>
    <w:p w:rsidR="00614667" w:rsidRDefault="00614667" w:rsidP="00614667">
      <w:pPr>
        <w:numPr>
          <w:ilvl w:val="0"/>
          <w:numId w:val="2"/>
        </w:numPr>
        <w:spacing w:line="360" w:lineRule="auto"/>
        <w:rPr>
          <w:rFonts w:ascii="Arial" w:hAnsi="Arial" w:cs="Arial"/>
          <w:i/>
          <w:sz w:val="22"/>
          <w:szCs w:val="22"/>
        </w:rPr>
      </w:pPr>
      <w:r w:rsidRPr="00614667">
        <w:rPr>
          <w:rFonts w:ascii="Arial" w:hAnsi="Arial" w:cs="Arial"/>
          <w:i/>
          <w:sz w:val="22"/>
          <w:szCs w:val="22"/>
        </w:rPr>
        <w:t>Rules of the Supreme Court</w:t>
      </w:r>
      <w:r w:rsidR="00C77483">
        <w:rPr>
          <w:rFonts w:ascii="Arial" w:hAnsi="Arial" w:cs="Arial"/>
          <w:i/>
          <w:sz w:val="22"/>
          <w:szCs w:val="22"/>
        </w:rPr>
        <w:t xml:space="preserve"> (White Book) 1999 edition</w:t>
      </w:r>
    </w:p>
    <w:p w:rsidR="00614667" w:rsidRPr="00614667" w:rsidRDefault="00C77483" w:rsidP="00C77483">
      <w:pPr>
        <w:numPr>
          <w:ilvl w:val="0"/>
          <w:numId w:val="2"/>
        </w:numPr>
        <w:spacing w:line="360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Section </w:t>
      </w:r>
      <w:smartTag w:uri="urn:schemas-microsoft-com:office:smarttags" w:element="Street">
        <w:smartTag w:uri="urn:schemas-microsoft-com:office:smarttags" w:element="address">
          <w:r>
            <w:rPr>
              <w:rFonts w:ascii="Arial" w:hAnsi="Arial" w:cs="Arial"/>
              <w:i/>
              <w:sz w:val="22"/>
              <w:szCs w:val="22"/>
            </w:rPr>
            <w:t>23 Subordinate Court</w:t>
          </w:r>
        </w:smartTag>
      </w:smartTag>
      <w:r>
        <w:rPr>
          <w:rFonts w:ascii="Arial" w:hAnsi="Arial" w:cs="Arial"/>
          <w:i/>
          <w:sz w:val="22"/>
          <w:szCs w:val="22"/>
        </w:rPr>
        <w:t xml:space="preserve"> Act, Cap 28</w:t>
      </w:r>
    </w:p>
    <w:p w:rsidR="002722B1" w:rsidRDefault="002722B1" w:rsidP="00670A6B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465A1B" w:rsidRDefault="00465A1B" w:rsidP="00670A6B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Ruling relates to a preliminary issue raised by the learned counsel for the appellants, Mr. Chali. According to </w:t>
      </w:r>
      <w:r w:rsidR="007D6076">
        <w:rPr>
          <w:rFonts w:ascii="Arial" w:hAnsi="Arial" w:cs="Arial"/>
          <w:sz w:val="28"/>
          <w:szCs w:val="28"/>
        </w:rPr>
        <w:t>learned</w:t>
      </w:r>
      <w:r>
        <w:rPr>
          <w:rFonts w:ascii="Arial" w:hAnsi="Arial" w:cs="Arial"/>
          <w:sz w:val="28"/>
          <w:szCs w:val="28"/>
        </w:rPr>
        <w:t xml:space="preserve"> counsel, the </w:t>
      </w:r>
      <w:r w:rsidR="00555EA7">
        <w:rPr>
          <w:rFonts w:ascii="Arial" w:hAnsi="Arial" w:cs="Arial"/>
          <w:sz w:val="28"/>
          <w:szCs w:val="28"/>
        </w:rPr>
        <w:t>first</w:t>
      </w:r>
      <w:r w:rsidR="00614667">
        <w:rPr>
          <w:rFonts w:ascii="Arial" w:hAnsi="Arial" w:cs="Arial"/>
          <w:sz w:val="28"/>
          <w:szCs w:val="28"/>
          <w:vertAlign w:val="superscript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and </w:t>
      </w:r>
      <w:r w:rsidR="00555EA7">
        <w:rPr>
          <w:rFonts w:ascii="Arial" w:hAnsi="Arial" w:cs="Arial"/>
          <w:sz w:val="28"/>
          <w:szCs w:val="28"/>
        </w:rPr>
        <w:t>second</w:t>
      </w:r>
      <w:r>
        <w:rPr>
          <w:rFonts w:ascii="Arial" w:hAnsi="Arial" w:cs="Arial"/>
          <w:sz w:val="28"/>
          <w:szCs w:val="28"/>
        </w:rPr>
        <w:t xml:space="preserve"> </w:t>
      </w:r>
      <w:r w:rsidR="00555EA7">
        <w:rPr>
          <w:rFonts w:ascii="Arial" w:hAnsi="Arial" w:cs="Arial"/>
          <w:sz w:val="28"/>
          <w:szCs w:val="28"/>
        </w:rPr>
        <w:t>r</w:t>
      </w:r>
      <w:r>
        <w:rPr>
          <w:rFonts w:ascii="Arial" w:hAnsi="Arial" w:cs="Arial"/>
          <w:sz w:val="28"/>
          <w:szCs w:val="28"/>
        </w:rPr>
        <w:t>espondents are limited liability</w:t>
      </w:r>
      <w:r w:rsidR="007D6076">
        <w:rPr>
          <w:rFonts w:ascii="Arial" w:hAnsi="Arial" w:cs="Arial"/>
          <w:sz w:val="28"/>
          <w:szCs w:val="28"/>
        </w:rPr>
        <w:t xml:space="preserve"> companies and it was procedurally wrong that they commenced proceedings in the court below in person, contrary to the law.  He contended that </w:t>
      </w:r>
      <w:r w:rsidR="00C77483">
        <w:rPr>
          <w:rFonts w:ascii="Arial" w:hAnsi="Arial" w:cs="Arial"/>
          <w:sz w:val="28"/>
          <w:szCs w:val="28"/>
        </w:rPr>
        <w:t>O</w:t>
      </w:r>
      <w:r w:rsidR="007D6076">
        <w:rPr>
          <w:rFonts w:ascii="Arial" w:hAnsi="Arial" w:cs="Arial"/>
          <w:sz w:val="28"/>
          <w:szCs w:val="28"/>
        </w:rPr>
        <w:t xml:space="preserve">rder 5 </w:t>
      </w:r>
      <w:r w:rsidR="00C77483">
        <w:rPr>
          <w:rFonts w:ascii="Arial" w:hAnsi="Arial" w:cs="Arial"/>
          <w:sz w:val="28"/>
          <w:szCs w:val="28"/>
        </w:rPr>
        <w:t>r</w:t>
      </w:r>
      <w:r w:rsidR="007D6076">
        <w:rPr>
          <w:rFonts w:ascii="Arial" w:hAnsi="Arial" w:cs="Arial"/>
          <w:sz w:val="28"/>
          <w:szCs w:val="28"/>
        </w:rPr>
        <w:t xml:space="preserve">ule 6 </w:t>
      </w:r>
      <w:r w:rsidR="00C77483">
        <w:rPr>
          <w:rFonts w:ascii="Arial" w:hAnsi="Arial" w:cs="Arial"/>
          <w:sz w:val="28"/>
          <w:szCs w:val="28"/>
        </w:rPr>
        <w:t>s</w:t>
      </w:r>
      <w:r w:rsidR="007D6076">
        <w:rPr>
          <w:rFonts w:ascii="Arial" w:hAnsi="Arial" w:cs="Arial"/>
          <w:sz w:val="28"/>
          <w:szCs w:val="28"/>
        </w:rPr>
        <w:t>ubrule 2 of the Rules of the Supreme Court 1999 edition</w:t>
      </w:r>
      <w:r w:rsidR="00C77483">
        <w:rPr>
          <w:rFonts w:ascii="Arial" w:hAnsi="Arial" w:cs="Arial"/>
          <w:sz w:val="28"/>
          <w:szCs w:val="28"/>
        </w:rPr>
        <w:t>,</w:t>
      </w:r>
      <w:r w:rsidR="007D6076">
        <w:rPr>
          <w:rFonts w:ascii="Arial" w:hAnsi="Arial" w:cs="Arial"/>
          <w:sz w:val="28"/>
          <w:szCs w:val="28"/>
        </w:rPr>
        <w:t xml:space="preserve"> clearly indicated that a body corporate cannot commence or carry on proceedings in person. The case of </w:t>
      </w:r>
      <w:r w:rsidR="007D6076" w:rsidRPr="007D6076">
        <w:rPr>
          <w:rFonts w:ascii="Arial" w:hAnsi="Arial" w:cs="Arial"/>
          <w:b/>
          <w:sz w:val="28"/>
          <w:szCs w:val="28"/>
        </w:rPr>
        <w:t>WORKERS DEVELOPMENT CORPORATION LIMITED VS. DAVID MKANDAWIRE [1</w:t>
      </w:r>
      <w:r w:rsidR="007D6076">
        <w:rPr>
          <w:rFonts w:ascii="Arial" w:hAnsi="Arial" w:cs="Arial"/>
          <w:sz w:val="28"/>
          <w:szCs w:val="28"/>
        </w:rPr>
        <w:t xml:space="preserve">] was cited in authority.  In that case the Supreme Court held that </w:t>
      </w:r>
      <w:r w:rsidR="007D6076">
        <w:rPr>
          <w:rFonts w:ascii="Arial" w:hAnsi="Arial" w:cs="Arial"/>
          <w:b/>
          <w:sz w:val="28"/>
          <w:szCs w:val="28"/>
        </w:rPr>
        <w:t>“</w:t>
      </w:r>
      <w:r w:rsidR="000C4001">
        <w:rPr>
          <w:rFonts w:ascii="Arial" w:hAnsi="Arial" w:cs="Arial"/>
          <w:b/>
          <w:sz w:val="28"/>
          <w:szCs w:val="28"/>
        </w:rPr>
        <w:t>it is a general rule that</w:t>
      </w:r>
      <w:r w:rsidR="00927CE6">
        <w:rPr>
          <w:rFonts w:ascii="Arial" w:hAnsi="Arial" w:cs="Arial"/>
          <w:b/>
          <w:sz w:val="28"/>
          <w:szCs w:val="28"/>
        </w:rPr>
        <w:t xml:space="preserve"> a</w:t>
      </w:r>
      <w:r w:rsidR="000C4001">
        <w:rPr>
          <w:rFonts w:ascii="Arial" w:hAnsi="Arial" w:cs="Arial"/>
          <w:b/>
          <w:sz w:val="28"/>
          <w:szCs w:val="28"/>
        </w:rPr>
        <w:t xml:space="preserve"> </w:t>
      </w:r>
      <w:r w:rsidR="007D6076">
        <w:rPr>
          <w:rFonts w:ascii="Arial" w:hAnsi="Arial" w:cs="Arial"/>
          <w:b/>
          <w:sz w:val="28"/>
          <w:szCs w:val="28"/>
        </w:rPr>
        <w:t>body corporate must be represented in a civil litigation by an advocate unless leave has been previously obtained from court</w:t>
      </w:r>
      <w:r w:rsidR="00927CE6">
        <w:rPr>
          <w:rFonts w:ascii="Arial" w:hAnsi="Arial" w:cs="Arial"/>
          <w:b/>
          <w:sz w:val="28"/>
          <w:szCs w:val="28"/>
        </w:rPr>
        <w:t xml:space="preserve"> in the exercise of its inherent power to regulate its own proceedings for the body corporate to be represented by a director or other senior person. Leave may be granted in exceptional cases and only for good reasons. Thus, the provisions of section 51 of the Legal Practitioners Act and Order 5 Rule 6 of the Rules of the Supreme Court severely restrict the ability of a body corporate to act in person” </w:t>
      </w:r>
      <w:r w:rsidR="007D6076">
        <w:rPr>
          <w:rFonts w:ascii="Arial" w:hAnsi="Arial" w:cs="Arial"/>
          <w:b/>
          <w:sz w:val="28"/>
          <w:szCs w:val="28"/>
        </w:rPr>
        <w:t>”.</w:t>
      </w:r>
    </w:p>
    <w:p w:rsidR="007D6076" w:rsidRDefault="007D6076" w:rsidP="00670A6B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7D6076" w:rsidRDefault="007D6076" w:rsidP="00670A6B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According to Mr. Chali, the two respondents did not seek leave of the court to proceed in person.  Thus, the proceedings were a nullity and should be quashed accordingly.</w:t>
      </w:r>
    </w:p>
    <w:p w:rsidR="007D6076" w:rsidRDefault="007D6076" w:rsidP="00670A6B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8861A2" w:rsidRDefault="007D6076" w:rsidP="00670A6B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ruling of my brother Justice Chali in the case of </w:t>
      </w:r>
      <w:r w:rsidRPr="008861A2">
        <w:rPr>
          <w:rFonts w:ascii="Arial" w:hAnsi="Arial" w:cs="Arial"/>
          <w:b/>
          <w:sz w:val="28"/>
          <w:szCs w:val="28"/>
        </w:rPr>
        <w:t>YAMFWA ENTE</w:t>
      </w:r>
      <w:r w:rsidR="008861A2" w:rsidRPr="008861A2">
        <w:rPr>
          <w:rFonts w:ascii="Arial" w:hAnsi="Arial" w:cs="Arial"/>
          <w:b/>
          <w:sz w:val="28"/>
          <w:szCs w:val="28"/>
        </w:rPr>
        <w:t>R</w:t>
      </w:r>
      <w:r w:rsidRPr="008861A2">
        <w:rPr>
          <w:rFonts w:ascii="Arial" w:hAnsi="Arial" w:cs="Arial"/>
          <w:b/>
          <w:sz w:val="28"/>
          <w:szCs w:val="28"/>
        </w:rPr>
        <w:t>PRISES LIMITED VS. MECHANISED MINING SOLUTIONS LIMITED</w:t>
      </w:r>
      <w:r>
        <w:rPr>
          <w:rFonts w:ascii="Arial" w:hAnsi="Arial" w:cs="Arial"/>
          <w:sz w:val="28"/>
          <w:szCs w:val="28"/>
        </w:rPr>
        <w:t xml:space="preserve"> </w:t>
      </w:r>
      <w:r w:rsidR="008861A2">
        <w:rPr>
          <w:rFonts w:ascii="Arial" w:hAnsi="Arial" w:cs="Arial"/>
          <w:sz w:val="28"/>
          <w:szCs w:val="28"/>
        </w:rPr>
        <w:t>[</w:t>
      </w:r>
      <w:r w:rsidR="008861A2" w:rsidRPr="008861A2">
        <w:rPr>
          <w:rFonts w:ascii="Arial" w:hAnsi="Arial" w:cs="Arial"/>
          <w:b/>
          <w:sz w:val="28"/>
          <w:szCs w:val="28"/>
        </w:rPr>
        <w:t>2]</w:t>
      </w:r>
      <w:r w:rsidR="008861A2">
        <w:rPr>
          <w:rFonts w:ascii="Arial" w:hAnsi="Arial" w:cs="Arial"/>
          <w:sz w:val="28"/>
          <w:szCs w:val="28"/>
        </w:rPr>
        <w:t xml:space="preserve"> was also cited for persuasive value. </w:t>
      </w:r>
    </w:p>
    <w:p w:rsidR="008861A2" w:rsidRDefault="008861A2" w:rsidP="00670A6B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7D6076" w:rsidRDefault="008861A2" w:rsidP="00670A6B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Let me state</w:t>
      </w:r>
      <w:r w:rsidR="00837FE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before I consider the issue raised</w:t>
      </w:r>
      <w:r w:rsidR="00837FE9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that I did not hear the respondents because the matter was adjourned several times by </w:t>
      </w:r>
      <w:r w:rsidR="00C77483">
        <w:rPr>
          <w:rFonts w:ascii="Arial" w:hAnsi="Arial" w:cs="Arial"/>
          <w:sz w:val="28"/>
          <w:szCs w:val="28"/>
        </w:rPr>
        <w:t>both parties. T</w:t>
      </w:r>
      <w:r>
        <w:rPr>
          <w:rFonts w:ascii="Arial" w:hAnsi="Arial" w:cs="Arial"/>
          <w:sz w:val="28"/>
          <w:szCs w:val="28"/>
        </w:rPr>
        <w:t>he respondents</w:t>
      </w:r>
      <w:r w:rsidR="00C77483">
        <w:rPr>
          <w:rFonts w:ascii="Arial" w:hAnsi="Arial" w:cs="Arial"/>
          <w:sz w:val="28"/>
          <w:szCs w:val="28"/>
        </w:rPr>
        <w:t xml:space="preserve"> appeared on 29</w:t>
      </w:r>
      <w:r w:rsidR="00C77483" w:rsidRPr="00C77483">
        <w:rPr>
          <w:rFonts w:ascii="Arial" w:hAnsi="Arial" w:cs="Arial"/>
          <w:sz w:val="28"/>
          <w:szCs w:val="28"/>
          <w:vertAlign w:val="superscript"/>
        </w:rPr>
        <w:t>th</w:t>
      </w:r>
      <w:r w:rsidR="00C77483">
        <w:rPr>
          <w:rFonts w:ascii="Arial" w:hAnsi="Arial" w:cs="Arial"/>
          <w:sz w:val="28"/>
          <w:szCs w:val="28"/>
        </w:rPr>
        <w:t xml:space="preserve"> May 2012. The 3</w:t>
      </w:r>
      <w:r w:rsidR="00C77483" w:rsidRPr="00C77483">
        <w:rPr>
          <w:rFonts w:ascii="Arial" w:hAnsi="Arial" w:cs="Arial"/>
          <w:sz w:val="28"/>
          <w:szCs w:val="28"/>
          <w:vertAlign w:val="superscript"/>
        </w:rPr>
        <w:t>rd</w:t>
      </w:r>
      <w:r w:rsidR="009118E3">
        <w:rPr>
          <w:rFonts w:ascii="Arial" w:hAnsi="Arial" w:cs="Arial"/>
          <w:sz w:val="28"/>
          <w:szCs w:val="28"/>
        </w:rPr>
        <w:t xml:space="preserve"> respondent</w:t>
      </w:r>
      <w:r w:rsidR="00C77483">
        <w:rPr>
          <w:rFonts w:ascii="Arial" w:hAnsi="Arial" w:cs="Arial"/>
          <w:sz w:val="28"/>
          <w:szCs w:val="28"/>
        </w:rPr>
        <w:t xml:space="preserve"> </w:t>
      </w:r>
      <w:r w:rsidR="00F140E8" w:rsidRPr="00C77483">
        <w:rPr>
          <w:rFonts w:ascii="Arial" w:hAnsi="Arial" w:cs="Arial"/>
          <w:sz w:val="28"/>
          <w:szCs w:val="28"/>
        </w:rPr>
        <w:t>asked that the matter be adjourned</w:t>
      </w:r>
      <w:r w:rsidR="00C77483">
        <w:rPr>
          <w:rFonts w:ascii="Arial" w:hAnsi="Arial" w:cs="Arial"/>
          <w:sz w:val="28"/>
          <w:szCs w:val="28"/>
        </w:rPr>
        <w:t xml:space="preserve"> because their counsel was not before court.  The matter was adjourned to 6</w:t>
      </w:r>
      <w:r w:rsidR="00C77483" w:rsidRPr="00C77483">
        <w:rPr>
          <w:rFonts w:ascii="Arial" w:hAnsi="Arial" w:cs="Arial"/>
          <w:sz w:val="28"/>
          <w:szCs w:val="28"/>
          <w:vertAlign w:val="superscript"/>
        </w:rPr>
        <w:t>th</w:t>
      </w:r>
      <w:r w:rsidR="00C77483">
        <w:rPr>
          <w:rFonts w:ascii="Arial" w:hAnsi="Arial" w:cs="Arial"/>
          <w:sz w:val="28"/>
          <w:szCs w:val="28"/>
        </w:rPr>
        <w:t xml:space="preserve"> July 2012. </w:t>
      </w:r>
      <w:r w:rsidR="00837FE9">
        <w:rPr>
          <w:rFonts w:ascii="Arial" w:hAnsi="Arial" w:cs="Arial"/>
          <w:sz w:val="28"/>
          <w:szCs w:val="28"/>
        </w:rPr>
        <w:t>T</w:t>
      </w:r>
      <w:r w:rsidR="00C77483">
        <w:rPr>
          <w:rFonts w:ascii="Arial" w:hAnsi="Arial" w:cs="Arial"/>
          <w:sz w:val="28"/>
          <w:szCs w:val="28"/>
        </w:rPr>
        <w:t xml:space="preserve">he respondents were absent </w:t>
      </w:r>
      <w:r w:rsidR="0050076C">
        <w:rPr>
          <w:rFonts w:ascii="Arial" w:hAnsi="Arial" w:cs="Arial"/>
          <w:sz w:val="28"/>
          <w:szCs w:val="28"/>
        </w:rPr>
        <w:t xml:space="preserve">on that day </w:t>
      </w:r>
      <w:r w:rsidR="00C77483">
        <w:rPr>
          <w:rFonts w:ascii="Arial" w:hAnsi="Arial" w:cs="Arial"/>
          <w:sz w:val="28"/>
          <w:szCs w:val="28"/>
        </w:rPr>
        <w:t>and the matter was adjourned to 22</w:t>
      </w:r>
      <w:r w:rsidR="00C77483" w:rsidRPr="00C77483">
        <w:rPr>
          <w:rFonts w:ascii="Arial" w:hAnsi="Arial" w:cs="Arial"/>
          <w:sz w:val="28"/>
          <w:szCs w:val="28"/>
          <w:vertAlign w:val="superscript"/>
        </w:rPr>
        <w:t>nd</w:t>
      </w:r>
      <w:r w:rsidR="00C77483">
        <w:rPr>
          <w:rFonts w:ascii="Arial" w:hAnsi="Arial" w:cs="Arial"/>
          <w:sz w:val="28"/>
          <w:szCs w:val="28"/>
        </w:rPr>
        <w:t xml:space="preserve"> August, 2012.</w:t>
      </w:r>
      <w:r w:rsidR="00F140E8" w:rsidRPr="00F140E8">
        <w:rPr>
          <w:rFonts w:ascii="Arial" w:hAnsi="Arial" w:cs="Arial"/>
          <w:i/>
          <w:sz w:val="28"/>
          <w:szCs w:val="28"/>
        </w:rPr>
        <w:t xml:space="preserve">  </w:t>
      </w:r>
    </w:p>
    <w:p w:rsidR="00837FE9" w:rsidRDefault="00837FE9" w:rsidP="00670A6B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F140E8" w:rsidRDefault="00F140E8" w:rsidP="00670A6B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On the 22</w:t>
      </w:r>
      <w:r w:rsidRPr="00F140E8">
        <w:rPr>
          <w:rFonts w:ascii="Arial" w:hAnsi="Arial" w:cs="Arial"/>
          <w:sz w:val="28"/>
          <w:szCs w:val="28"/>
          <w:vertAlign w:val="superscript"/>
        </w:rPr>
        <w:t>nd</w:t>
      </w:r>
      <w:r>
        <w:rPr>
          <w:rFonts w:ascii="Arial" w:hAnsi="Arial" w:cs="Arial"/>
          <w:sz w:val="28"/>
          <w:szCs w:val="28"/>
        </w:rPr>
        <w:t xml:space="preserve"> August, 2012, I decided to hear the appellants’ counsel in the absence of the respondents because they were aware of the </w:t>
      </w:r>
      <w:r w:rsidR="00C77483">
        <w:rPr>
          <w:rFonts w:ascii="Arial" w:hAnsi="Arial" w:cs="Arial"/>
          <w:sz w:val="28"/>
          <w:szCs w:val="28"/>
        </w:rPr>
        <w:t xml:space="preserve">matter </w:t>
      </w:r>
      <w:r>
        <w:rPr>
          <w:rFonts w:ascii="Arial" w:hAnsi="Arial" w:cs="Arial"/>
          <w:sz w:val="28"/>
          <w:szCs w:val="28"/>
        </w:rPr>
        <w:t>and they did not bother to communicate the reasons for their absence in any way.</w:t>
      </w:r>
    </w:p>
    <w:p w:rsidR="0098736F" w:rsidRDefault="0098736F" w:rsidP="00670A6B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C77483" w:rsidRDefault="009118E3" w:rsidP="00670A6B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 have perused the case</w:t>
      </w:r>
      <w:r w:rsidR="0098736F">
        <w:rPr>
          <w:rFonts w:ascii="Arial" w:hAnsi="Arial" w:cs="Arial"/>
          <w:sz w:val="28"/>
          <w:szCs w:val="28"/>
        </w:rPr>
        <w:t xml:space="preserve"> cited herein including </w:t>
      </w:r>
      <w:r w:rsidR="0050076C">
        <w:rPr>
          <w:rFonts w:ascii="Arial" w:hAnsi="Arial" w:cs="Arial"/>
          <w:sz w:val="28"/>
          <w:szCs w:val="28"/>
        </w:rPr>
        <w:t xml:space="preserve">Order 5 Rule 6 of </w:t>
      </w:r>
      <w:r w:rsidR="0098736F">
        <w:rPr>
          <w:rFonts w:ascii="Arial" w:hAnsi="Arial" w:cs="Arial"/>
          <w:sz w:val="28"/>
          <w:szCs w:val="28"/>
        </w:rPr>
        <w:t>the Rules of the Supreme Court</w:t>
      </w:r>
      <w:r w:rsidR="00C77483">
        <w:rPr>
          <w:rFonts w:ascii="Arial" w:hAnsi="Arial" w:cs="Arial"/>
          <w:sz w:val="28"/>
          <w:szCs w:val="28"/>
        </w:rPr>
        <w:t>.</w:t>
      </w:r>
    </w:p>
    <w:p w:rsidR="00C77483" w:rsidRDefault="00C77483" w:rsidP="00670A6B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837FE9" w:rsidRDefault="0098736F" w:rsidP="00670A6B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 note that the issue was not raised in the court below and ye</w:t>
      </w:r>
      <w:r w:rsidR="00D41196">
        <w:rPr>
          <w:rFonts w:ascii="Arial" w:hAnsi="Arial" w:cs="Arial"/>
          <w:sz w:val="28"/>
          <w:szCs w:val="28"/>
        </w:rPr>
        <w:t>t</w:t>
      </w:r>
      <w:r>
        <w:rPr>
          <w:rFonts w:ascii="Arial" w:hAnsi="Arial" w:cs="Arial"/>
          <w:sz w:val="28"/>
          <w:szCs w:val="28"/>
        </w:rPr>
        <w:t xml:space="preserve"> the learned counsel also represented</w:t>
      </w:r>
      <w:r w:rsidR="00837FE9">
        <w:rPr>
          <w:rFonts w:ascii="Arial" w:hAnsi="Arial" w:cs="Arial"/>
          <w:sz w:val="28"/>
          <w:szCs w:val="28"/>
        </w:rPr>
        <w:t xml:space="preserve"> the respondents there. </w:t>
      </w:r>
      <w:r>
        <w:rPr>
          <w:rFonts w:ascii="Arial" w:hAnsi="Arial" w:cs="Arial"/>
          <w:sz w:val="28"/>
          <w:szCs w:val="28"/>
        </w:rPr>
        <w:t>This notwithstanding, I am inclined to uph</w:t>
      </w:r>
      <w:r w:rsidR="00670A6B">
        <w:rPr>
          <w:rFonts w:ascii="Arial" w:hAnsi="Arial" w:cs="Arial"/>
          <w:sz w:val="28"/>
          <w:szCs w:val="28"/>
        </w:rPr>
        <w:t>o</w:t>
      </w:r>
      <w:r>
        <w:rPr>
          <w:rFonts w:ascii="Arial" w:hAnsi="Arial" w:cs="Arial"/>
          <w:sz w:val="28"/>
          <w:szCs w:val="28"/>
        </w:rPr>
        <w:t xml:space="preserve">ld the preliminary issue. </w:t>
      </w:r>
    </w:p>
    <w:p w:rsidR="00837FE9" w:rsidRDefault="00837FE9" w:rsidP="00670A6B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C77483" w:rsidRDefault="00837FE9" w:rsidP="00670A6B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position of the law is as argued by Mr. Chali. Thus, the 1</w:t>
      </w:r>
      <w:r w:rsidRPr="00837FE9">
        <w:rPr>
          <w:rFonts w:ascii="Arial" w:hAnsi="Arial" w:cs="Arial"/>
          <w:sz w:val="28"/>
          <w:szCs w:val="28"/>
          <w:vertAlign w:val="superscript"/>
        </w:rPr>
        <w:t>st</w:t>
      </w:r>
      <w:r>
        <w:rPr>
          <w:rFonts w:ascii="Arial" w:hAnsi="Arial" w:cs="Arial"/>
          <w:sz w:val="28"/>
          <w:szCs w:val="28"/>
        </w:rPr>
        <w:t xml:space="preserve"> and 2</w:t>
      </w:r>
      <w:r w:rsidRPr="00837FE9">
        <w:rPr>
          <w:rFonts w:ascii="Arial" w:hAnsi="Arial" w:cs="Arial"/>
          <w:sz w:val="28"/>
          <w:szCs w:val="28"/>
          <w:vertAlign w:val="superscript"/>
        </w:rPr>
        <w:t>nd</w:t>
      </w:r>
      <w:r>
        <w:rPr>
          <w:rFonts w:ascii="Arial" w:hAnsi="Arial" w:cs="Arial"/>
          <w:sz w:val="28"/>
          <w:szCs w:val="28"/>
        </w:rPr>
        <w:t xml:space="preserve"> respondents should not have appeared in person without leave of the court.</w:t>
      </w:r>
    </w:p>
    <w:p w:rsidR="00C77483" w:rsidRDefault="00C77483" w:rsidP="00670A6B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98736F" w:rsidRDefault="0098736F" w:rsidP="00670A6B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It is also noteworthy that according to </w:t>
      </w:r>
      <w:r w:rsidR="00C77483">
        <w:rPr>
          <w:rFonts w:ascii="Arial" w:hAnsi="Arial" w:cs="Arial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 xml:space="preserve">ection 23 of the Subordinate </w:t>
      </w:r>
      <w:r w:rsidR="009118E3">
        <w:rPr>
          <w:rFonts w:ascii="Arial" w:hAnsi="Arial" w:cs="Arial"/>
          <w:sz w:val="28"/>
          <w:szCs w:val="28"/>
        </w:rPr>
        <w:t xml:space="preserve">Court </w:t>
      </w:r>
      <w:r>
        <w:rPr>
          <w:rFonts w:ascii="Arial" w:hAnsi="Arial" w:cs="Arial"/>
          <w:sz w:val="28"/>
          <w:szCs w:val="28"/>
        </w:rPr>
        <w:t xml:space="preserve">Act, where the matter involves a dispute as to title </w:t>
      </w:r>
      <w:r w:rsidR="00D41196">
        <w:rPr>
          <w:rFonts w:ascii="Arial" w:hAnsi="Arial" w:cs="Arial"/>
          <w:sz w:val="28"/>
          <w:szCs w:val="28"/>
        </w:rPr>
        <w:t>or ownership</w:t>
      </w:r>
      <w:r w:rsidR="009118E3">
        <w:rPr>
          <w:rFonts w:ascii="Arial" w:hAnsi="Arial" w:cs="Arial"/>
          <w:sz w:val="28"/>
          <w:szCs w:val="28"/>
        </w:rPr>
        <w:t xml:space="preserve"> to land, </w:t>
      </w:r>
      <w:r w:rsidR="00D41196">
        <w:rPr>
          <w:rFonts w:ascii="Arial" w:hAnsi="Arial" w:cs="Arial"/>
          <w:sz w:val="28"/>
          <w:szCs w:val="28"/>
        </w:rPr>
        <w:t xml:space="preserve">the </w:t>
      </w:r>
      <w:smartTag w:uri="urn:schemas-microsoft-com:office:smarttags" w:element="Street">
        <w:smartTag w:uri="urn:schemas-microsoft-com:office:smarttags" w:element="address">
          <w:r w:rsidR="00D41196">
            <w:rPr>
              <w:rFonts w:ascii="Arial" w:hAnsi="Arial" w:cs="Arial"/>
              <w:sz w:val="28"/>
              <w:szCs w:val="28"/>
            </w:rPr>
            <w:t>Subordinate Court</w:t>
          </w:r>
        </w:smartTag>
      </w:smartTag>
      <w:r w:rsidR="00D41196">
        <w:rPr>
          <w:rFonts w:ascii="Arial" w:hAnsi="Arial" w:cs="Arial"/>
          <w:sz w:val="28"/>
          <w:szCs w:val="28"/>
        </w:rPr>
        <w:t xml:space="preserve"> can only hear the matter when all parties consent</w:t>
      </w:r>
      <w:r w:rsidR="00670A6B">
        <w:rPr>
          <w:rFonts w:ascii="Arial" w:hAnsi="Arial" w:cs="Arial"/>
          <w:sz w:val="28"/>
          <w:szCs w:val="28"/>
        </w:rPr>
        <w:t>, otherwise</w:t>
      </w:r>
      <w:r w:rsidR="00D41196">
        <w:rPr>
          <w:rFonts w:ascii="Arial" w:hAnsi="Arial" w:cs="Arial"/>
          <w:sz w:val="28"/>
          <w:szCs w:val="28"/>
        </w:rPr>
        <w:t xml:space="preserve"> the Magistrate is obligated to transfer it to the High </w:t>
      </w:r>
      <w:r w:rsidR="00D41196">
        <w:rPr>
          <w:rFonts w:ascii="Arial" w:hAnsi="Arial" w:cs="Arial"/>
          <w:sz w:val="28"/>
          <w:szCs w:val="28"/>
        </w:rPr>
        <w:lastRenderedPageBreak/>
        <w:t>Court.  Perusal of the record reveals that no consent of the parties was obtained before the Magistrate proceeded to hear the matter.</w:t>
      </w:r>
    </w:p>
    <w:p w:rsidR="00064E25" w:rsidRDefault="00064E25" w:rsidP="00670A6B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837FE9" w:rsidRDefault="00064E25" w:rsidP="00670A6B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For the foregoing, </w:t>
      </w:r>
      <w:r w:rsidR="00C77483">
        <w:rPr>
          <w:rFonts w:ascii="Arial" w:hAnsi="Arial" w:cs="Arial"/>
          <w:sz w:val="28"/>
          <w:szCs w:val="28"/>
        </w:rPr>
        <w:t xml:space="preserve">it is my considered view that </w:t>
      </w:r>
      <w:r>
        <w:rPr>
          <w:rFonts w:ascii="Arial" w:hAnsi="Arial" w:cs="Arial"/>
          <w:sz w:val="28"/>
          <w:szCs w:val="28"/>
        </w:rPr>
        <w:t xml:space="preserve">the proceedings in the court below </w:t>
      </w:r>
      <w:r w:rsidR="00C77483">
        <w:rPr>
          <w:rFonts w:ascii="Arial" w:hAnsi="Arial" w:cs="Arial"/>
          <w:sz w:val="28"/>
          <w:szCs w:val="28"/>
        </w:rPr>
        <w:t>were a</w:t>
      </w:r>
      <w:r>
        <w:rPr>
          <w:rFonts w:ascii="Arial" w:hAnsi="Arial" w:cs="Arial"/>
          <w:sz w:val="28"/>
          <w:szCs w:val="28"/>
        </w:rPr>
        <w:t xml:space="preserve"> nullity.</w:t>
      </w:r>
      <w:r w:rsidR="003158B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The parties are at liberty to commence </w:t>
      </w:r>
      <w:r w:rsidR="009118E3">
        <w:rPr>
          <w:rFonts w:ascii="Arial" w:hAnsi="Arial" w:cs="Arial"/>
          <w:sz w:val="28"/>
          <w:szCs w:val="28"/>
        </w:rPr>
        <w:t xml:space="preserve">fresh </w:t>
      </w:r>
      <w:r w:rsidR="003158B1">
        <w:rPr>
          <w:rFonts w:ascii="Arial" w:hAnsi="Arial" w:cs="Arial"/>
          <w:sz w:val="28"/>
          <w:szCs w:val="28"/>
        </w:rPr>
        <w:t xml:space="preserve">proceedings </w:t>
      </w:r>
      <w:r w:rsidR="009118E3">
        <w:rPr>
          <w:rFonts w:ascii="Arial" w:hAnsi="Arial" w:cs="Arial"/>
          <w:sz w:val="28"/>
          <w:szCs w:val="28"/>
        </w:rPr>
        <w:t xml:space="preserve">in the High Court if </w:t>
      </w:r>
      <w:r w:rsidR="003158B1">
        <w:rPr>
          <w:rFonts w:ascii="Arial" w:hAnsi="Arial" w:cs="Arial"/>
          <w:sz w:val="28"/>
          <w:szCs w:val="28"/>
        </w:rPr>
        <w:t>they so wish</w:t>
      </w:r>
      <w:r>
        <w:rPr>
          <w:rFonts w:ascii="Arial" w:hAnsi="Arial" w:cs="Arial"/>
          <w:sz w:val="28"/>
          <w:szCs w:val="28"/>
        </w:rPr>
        <w:t xml:space="preserve">. </w:t>
      </w:r>
      <w:r w:rsidR="009118E3">
        <w:rPr>
          <w:rFonts w:ascii="Arial" w:hAnsi="Arial" w:cs="Arial"/>
          <w:sz w:val="28"/>
          <w:szCs w:val="28"/>
        </w:rPr>
        <w:t xml:space="preserve">Consequently the appeal before me is otiose. </w:t>
      </w:r>
    </w:p>
    <w:p w:rsidR="00837FE9" w:rsidRDefault="00837FE9" w:rsidP="00670A6B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064E25" w:rsidRDefault="00064E25" w:rsidP="00670A6B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Leave to appeal is granted.</w:t>
      </w:r>
    </w:p>
    <w:p w:rsidR="00064E25" w:rsidRDefault="00064E25" w:rsidP="00465A1B">
      <w:pPr>
        <w:spacing w:line="360" w:lineRule="auto"/>
        <w:rPr>
          <w:rFonts w:ascii="Arial" w:hAnsi="Arial" w:cs="Arial"/>
          <w:sz w:val="28"/>
          <w:szCs w:val="28"/>
        </w:rPr>
      </w:pPr>
    </w:p>
    <w:p w:rsidR="00064E25" w:rsidRDefault="00064E25" w:rsidP="00465A1B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Dated at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sz w:val="28"/>
              <w:szCs w:val="28"/>
            </w:rPr>
            <w:t>Kitwe</w:t>
          </w:r>
        </w:smartTag>
      </w:smartTag>
      <w:r>
        <w:rPr>
          <w:rFonts w:ascii="Arial" w:hAnsi="Arial" w:cs="Arial"/>
          <w:sz w:val="28"/>
          <w:szCs w:val="28"/>
        </w:rPr>
        <w:t xml:space="preserve"> this</w:t>
      </w:r>
      <w:r w:rsidR="009465D3">
        <w:rPr>
          <w:rFonts w:ascii="Arial" w:hAnsi="Arial" w:cs="Arial"/>
          <w:sz w:val="28"/>
          <w:szCs w:val="28"/>
        </w:rPr>
        <w:t xml:space="preserve"> 9</w:t>
      </w:r>
      <w:r w:rsidR="009465D3" w:rsidRPr="009465D3">
        <w:rPr>
          <w:rFonts w:ascii="Arial" w:hAnsi="Arial" w:cs="Arial"/>
          <w:sz w:val="28"/>
          <w:szCs w:val="28"/>
          <w:vertAlign w:val="superscript"/>
        </w:rPr>
        <w:t>th</w:t>
      </w:r>
      <w:r w:rsidR="009465D3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day of</w:t>
      </w:r>
      <w:r w:rsidR="009465D3">
        <w:rPr>
          <w:rFonts w:ascii="Arial" w:hAnsi="Arial" w:cs="Arial"/>
          <w:sz w:val="28"/>
          <w:szCs w:val="28"/>
        </w:rPr>
        <w:t xml:space="preserve"> October, </w:t>
      </w:r>
      <w:r>
        <w:rPr>
          <w:rFonts w:ascii="Arial" w:hAnsi="Arial" w:cs="Arial"/>
          <w:sz w:val="28"/>
          <w:szCs w:val="28"/>
        </w:rPr>
        <w:t>2012</w:t>
      </w:r>
    </w:p>
    <w:p w:rsidR="00064E25" w:rsidRDefault="00064E25" w:rsidP="00465A1B">
      <w:pPr>
        <w:spacing w:line="360" w:lineRule="auto"/>
        <w:rPr>
          <w:rFonts w:ascii="Arial" w:hAnsi="Arial" w:cs="Arial"/>
          <w:sz w:val="28"/>
          <w:szCs w:val="28"/>
        </w:rPr>
      </w:pPr>
    </w:p>
    <w:p w:rsidR="00064E25" w:rsidRPr="00064E25" w:rsidRDefault="00064E25" w:rsidP="00064E25">
      <w:pPr>
        <w:jc w:val="center"/>
        <w:rPr>
          <w:rFonts w:ascii="Arial" w:hAnsi="Arial" w:cs="Arial"/>
          <w:b/>
          <w:sz w:val="28"/>
          <w:szCs w:val="28"/>
        </w:rPr>
      </w:pPr>
      <w:r w:rsidRPr="00064E25">
        <w:rPr>
          <w:rFonts w:ascii="Arial" w:hAnsi="Arial" w:cs="Arial"/>
          <w:b/>
          <w:sz w:val="28"/>
          <w:szCs w:val="28"/>
        </w:rPr>
        <w:t>……………………………..</w:t>
      </w:r>
    </w:p>
    <w:p w:rsidR="00064E25" w:rsidRPr="00064E25" w:rsidRDefault="00064E25" w:rsidP="00064E25">
      <w:pPr>
        <w:jc w:val="center"/>
        <w:rPr>
          <w:rFonts w:ascii="Arial" w:hAnsi="Arial" w:cs="Arial"/>
          <w:b/>
          <w:sz w:val="28"/>
          <w:szCs w:val="28"/>
        </w:rPr>
      </w:pPr>
      <w:r w:rsidRPr="00064E25">
        <w:rPr>
          <w:rFonts w:ascii="Arial" w:hAnsi="Arial" w:cs="Arial"/>
          <w:b/>
          <w:sz w:val="28"/>
          <w:szCs w:val="28"/>
        </w:rPr>
        <w:t>Judy Z. Mulongoti</w:t>
      </w:r>
    </w:p>
    <w:p w:rsidR="00064E25" w:rsidRPr="00064E25" w:rsidRDefault="00064E25" w:rsidP="00064E25">
      <w:pPr>
        <w:jc w:val="center"/>
        <w:rPr>
          <w:rFonts w:ascii="Arial" w:hAnsi="Arial" w:cs="Arial"/>
          <w:b/>
          <w:sz w:val="28"/>
          <w:szCs w:val="28"/>
        </w:rPr>
      </w:pPr>
      <w:r w:rsidRPr="00064E25">
        <w:rPr>
          <w:rFonts w:ascii="Arial" w:hAnsi="Arial" w:cs="Arial"/>
          <w:b/>
          <w:sz w:val="28"/>
          <w:szCs w:val="28"/>
        </w:rPr>
        <w:t>HIGH COURT JUDGE</w:t>
      </w:r>
    </w:p>
    <w:p w:rsidR="00465A1B" w:rsidRPr="00465A1B" w:rsidRDefault="00465A1B" w:rsidP="00465A1B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:rsidR="00465A1B" w:rsidRDefault="00465A1B" w:rsidP="00465A1B">
      <w:pPr>
        <w:spacing w:line="360" w:lineRule="auto"/>
        <w:rPr>
          <w:rFonts w:ascii="Arial" w:hAnsi="Arial" w:cs="Arial"/>
          <w:sz w:val="28"/>
          <w:szCs w:val="28"/>
        </w:rPr>
      </w:pPr>
    </w:p>
    <w:p w:rsidR="00465A1B" w:rsidRPr="00465A1B" w:rsidRDefault="00465A1B" w:rsidP="00465A1B">
      <w:pPr>
        <w:spacing w:line="360" w:lineRule="auto"/>
        <w:rPr>
          <w:rFonts w:ascii="Arial" w:hAnsi="Arial" w:cs="Arial"/>
          <w:sz w:val="28"/>
          <w:szCs w:val="28"/>
        </w:rPr>
      </w:pPr>
    </w:p>
    <w:sectPr w:rsidR="00465A1B" w:rsidRPr="00465A1B" w:rsidSect="00AD4678">
      <w:headerReference w:type="even" r:id="rId8"/>
      <w:headerReference w:type="default" r:id="rId9"/>
      <w:pgSz w:w="11909" w:h="16834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DCA" w:rsidRDefault="00FD0DCA">
      <w:r>
        <w:separator/>
      </w:r>
    </w:p>
  </w:endnote>
  <w:endnote w:type="continuationSeparator" w:id="0">
    <w:p w:rsidR="00FD0DCA" w:rsidRDefault="00FD0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DCA" w:rsidRDefault="00FD0DCA">
      <w:r>
        <w:separator/>
      </w:r>
    </w:p>
  </w:footnote>
  <w:footnote w:type="continuationSeparator" w:id="0">
    <w:p w:rsidR="00FD0DCA" w:rsidRDefault="00FD0D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5D3" w:rsidRDefault="009465D3" w:rsidP="00426C7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465D3" w:rsidRDefault="009465D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5D3" w:rsidRPr="00670A6B" w:rsidRDefault="009465D3" w:rsidP="00426C7B">
    <w:pPr>
      <w:pStyle w:val="Header"/>
      <w:framePr w:wrap="around" w:vAnchor="text" w:hAnchor="margin" w:xAlign="center" w:y="1"/>
      <w:rPr>
        <w:rStyle w:val="PageNumber"/>
        <w:b/>
      </w:rPr>
    </w:pPr>
    <w:r w:rsidRPr="00670A6B">
      <w:rPr>
        <w:rStyle w:val="PageNumber"/>
        <w:b/>
      </w:rPr>
      <w:t>-  R</w:t>
    </w:r>
    <w:r w:rsidRPr="00670A6B">
      <w:rPr>
        <w:rStyle w:val="PageNumber"/>
        <w:b/>
      </w:rPr>
      <w:fldChar w:fldCharType="begin"/>
    </w:r>
    <w:r w:rsidRPr="00670A6B">
      <w:rPr>
        <w:rStyle w:val="PageNumber"/>
        <w:b/>
      </w:rPr>
      <w:instrText xml:space="preserve">PAGE  </w:instrText>
    </w:r>
    <w:r w:rsidRPr="00670A6B">
      <w:rPr>
        <w:rStyle w:val="PageNumber"/>
        <w:b/>
      </w:rPr>
      <w:fldChar w:fldCharType="separate"/>
    </w:r>
    <w:r w:rsidR="004E03A6">
      <w:rPr>
        <w:rStyle w:val="PageNumber"/>
        <w:b/>
        <w:noProof/>
      </w:rPr>
      <w:t>4</w:t>
    </w:r>
    <w:r w:rsidRPr="00670A6B">
      <w:rPr>
        <w:rStyle w:val="PageNumber"/>
        <w:b/>
      </w:rPr>
      <w:fldChar w:fldCharType="end"/>
    </w:r>
    <w:r w:rsidRPr="00670A6B">
      <w:rPr>
        <w:rStyle w:val="PageNumber"/>
        <w:b/>
      </w:rPr>
      <w:t xml:space="preserve">   -</w:t>
    </w:r>
  </w:p>
  <w:p w:rsidR="009465D3" w:rsidRDefault="009465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F65DC"/>
    <w:multiLevelType w:val="hybridMultilevel"/>
    <w:tmpl w:val="02D29C92"/>
    <w:lvl w:ilvl="0" w:tplc="542CAB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9E1F79"/>
    <w:multiLevelType w:val="hybridMultilevel"/>
    <w:tmpl w:val="6DB8C6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3A6"/>
    <w:rsid w:val="00064E25"/>
    <w:rsid w:val="000C4001"/>
    <w:rsid w:val="00176829"/>
    <w:rsid w:val="002722B1"/>
    <w:rsid w:val="003158B1"/>
    <w:rsid w:val="00426C7B"/>
    <w:rsid w:val="00465A1B"/>
    <w:rsid w:val="0049558A"/>
    <w:rsid w:val="004E03A6"/>
    <w:rsid w:val="0050076C"/>
    <w:rsid w:val="00555EA7"/>
    <w:rsid w:val="00605F9E"/>
    <w:rsid w:val="00614667"/>
    <w:rsid w:val="00670A6B"/>
    <w:rsid w:val="007049F7"/>
    <w:rsid w:val="007A7A57"/>
    <w:rsid w:val="007D6076"/>
    <w:rsid w:val="00837FE9"/>
    <w:rsid w:val="008601A4"/>
    <w:rsid w:val="008861A2"/>
    <w:rsid w:val="0091076E"/>
    <w:rsid w:val="009118E3"/>
    <w:rsid w:val="00927CE6"/>
    <w:rsid w:val="009465D3"/>
    <w:rsid w:val="0098736F"/>
    <w:rsid w:val="00AD4678"/>
    <w:rsid w:val="00C77483"/>
    <w:rsid w:val="00D41196"/>
    <w:rsid w:val="00E23D50"/>
    <w:rsid w:val="00F140E8"/>
    <w:rsid w:val="00F3118C"/>
    <w:rsid w:val="00FD0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670A6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70A6B"/>
  </w:style>
  <w:style w:type="paragraph" w:styleId="Footer">
    <w:name w:val="footer"/>
    <w:basedOn w:val="Normal"/>
    <w:rsid w:val="00670A6B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670A6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70A6B"/>
  </w:style>
  <w:style w:type="paragraph" w:styleId="Footer">
    <w:name w:val="footer"/>
    <w:basedOn w:val="Normal"/>
    <w:rsid w:val="00670A6B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1\Desktop\ZamLII\2012%20HC%20judgments\Oct%202012\MULO%2013.%20mpata%20hill%209-1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MULO 13. mpata hill 9-10</Template>
  <TotalTime>4</TotalTime>
  <Pages>4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THE HIGH COURT FOR ZAMBIA</vt:lpstr>
    </vt:vector>
  </TitlesOfParts>
  <Company>Judiciary</Company>
  <LinksUpToDate>false</LinksUpToDate>
  <CharactersWithSpaces>4342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THE HIGH COURT FOR ZAMBIA</dc:title>
  <dc:creator>user1</dc:creator>
  <cp:lastModifiedBy>user1</cp:lastModifiedBy>
  <cp:revision>1</cp:revision>
  <cp:lastPrinted>2012-10-09T13:51:00Z</cp:lastPrinted>
  <dcterms:created xsi:type="dcterms:W3CDTF">2014-03-24T12:56:00Z</dcterms:created>
  <dcterms:modified xsi:type="dcterms:W3CDTF">2014-03-24T13:00:00Z</dcterms:modified>
</cp:coreProperties>
</file>