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BC" w:rsidRPr="001C227B" w:rsidRDefault="00AE5DBC" w:rsidP="00113430">
      <w:pPr>
        <w:spacing w:after="0"/>
        <w:rPr>
          <w:rFonts w:ascii="Arial" w:hAnsi="Arial" w:cs="Arial"/>
          <w:b/>
          <w:sz w:val="24"/>
          <w:szCs w:val="24"/>
          <w:u w:val="single"/>
        </w:rPr>
      </w:pPr>
      <w:r w:rsidRPr="001C227B">
        <w:rPr>
          <w:rFonts w:ascii="Arial" w:hAnsi="Arial" w:cs="Arial"/>
          <w:b/>
          <w:sz w:val="24"/>
          <w:szCs w:val="24"/>
          <w:u w:val="single"/>
        </w:rPr>
        <w:t>IN THE HIGH COURT FOR ZAMBIA</w:t>
      </w:r>
      <w:r w:rsidRPr="001C227B">
        <w:rPr>
          <w:rFonts w:ascii="Arial" w:hAnsi="Arial" w:cs="Arial"/>
          <w:b/>
          <w:sz w:val="24"/>
          <w:szCs w:val="24"/>
        </w:rPr>
        <w:tab/>
      </w:r>
      <w:r w:rsidRPr="001C227B">
        <w:rPr>
          <w:rFonts w:ascii="Arial" w:hAnsi="Arial" w:cs="Arial"/>
          <w:b/>
          <w:sz w:val="24"/>
          <w:szCs w:val="24"/>
        </w:rPr>
        <w:tab/>
      </w:r>
      <w:r w:rsidRPr="001C227B">
        <w:rPr>
          <w:rFonts w:ascii="Arial" w:hAnsi="Arial" w:cs="Arial"/>
          <w:b/>
          <w:sz w:val="24"/>
          <w:szCs w:val="24"/>
        </w:rPr>
        <w:tab/>
      </w:r>
      <w:r w:rsidRPr="001C227B">
        <w:rPr>
          <w:rFonts w:ascii="Arial" w:hAnsi="Arial" w:cs="Arial"/>
          <w:b/>
          <w:sz w:val="24"/>
          <w:szCs w:val="24"/>
        </w:rPr>
        <w:tab/>
      </w:r>
      <w:r w:rsidRPr="001C227B">
        <w:rPr>
          <w:rFonts w:ascii="Arial" w:hAnsi="Arial" w:cs="Arial"/>
          <w:b/>
          <w:sz w:val="24"/>
          <w:szCs w:val="24"/>
        </w:rPr>
        <w:tab/>
      </w:r>
      <w:r>
        <w:rPr>
          <w:rFonts w:ascii="Arial" w:hAnsi="Arial" w:cs="Arial"/>
          <w:b/>
          <w:sz w:val="24"/>
          <w:szCs w:val="24"/>
        </w:rPr>
        <w:t xml:space="preserve">     </w:t>
      </w:r>
      <w:r>
        <w:rPr>
          <w:rFonts w:ascii="Arial" w:hAnsi="Arial" w:cs="Arial"/>
          <w:b/>
          <w:sz w:val="24"/>
          <w:szCs w:val="24"/>
          <w:u w:val="single"/>
        </w:rPr>
        <w:t>2006/HK/ARB/1</w:t>
      </w:r>
    </w:p>
    <w:p w:rsidR="00AE5DBC" w:rsidRPr="001C227B" w:rsidRDefault="00AE5DBC" w:rsidP="00113430">
      <w:pPr>
        <w:spacing w:after="0"/>
        <w:rPr>
          <w:rFonts w:ascii="Arial" w:hAnsi="Arial" w:cs="Arial"/>
          <w:b/>
          <w:sz w:val="24"/>
          <w:szCs w:val="24"/>
        </w:rPr>
      </w:pPr>
      <w:r w:rsidRPr="001C227B">
        <w:rPr>
          <w:rFonts w:ascii="Arial" w:hAnsi="Arial" w:cs="Arial"/>
          <w:b/>
          <w:sz w:val="24"/>
          <w:szCs w:val="24"/>
          <w:u w:val="single"/>
        </w:rPr>
        <w:t>AT THE KITWE DISTRICT REGISTRY</w:t>
      </w:r>
    </w:p>
    <w:p w:rsidR="00AE5DBC" w:rsidRDefault="00AE5DBC" w:rsidP="00113430">
      <w:pPr>
        <w:spacing w:after="0"/>
        <w:rPr>
          <w:rFonts w:ascii="Arial" w:hAnsi="Arial" w:cs="Arial"/>
          <w:b/>
          <w:sz w:val="24"/>
          <w:szCs w:val="24"/>
        </w:rPr>
      </w:pPr>
      <w:r w:rsidRPr="001C227B">
        <w:rPr>
          <w:rFonts w:ascii="Arial" w:hAnsi="Arial" w:cs="Arial"/>
          <w:b/>
          <w:sz w:val="24"/>
          <w:szCs w:val="24"/>
        </w:rPr>
        <w:t>(</w:t>
      </w:r>
      <w:r>
        <w:rPr>
          <w:rFonts w:ascii="Arial" w:hAnsi="Arial" w:cs="Arial"/>
          <w:b/>
          <w:sz w:val="24"/>
          <w:szCs w:val="24"/>
        </w:rPr>
        <w:t xml:space="preserve">Civil </w:t>
      </w:r>
      <w:r w:rsidRPr="001C227B">
        <w:rPr>
          <w:rFonts w:ascii="Arial" w:hAnsi="Arial" w:cs="Arial"/>
          <w:b/>
          <w:sz w:val="24"/>
          <w:szCs w:val="24"/>
        </w:rPr>
        <w:t>Jurisdiction)</w:t>
      </w:r>
    </w:p>
    <w:p w:rsidR="00AE5DBC" w:rsidRDefault="00AE5DBC" w:rsidP="00113430">
      <w:pPr>
        <w:spacing w:after="0"/>
        <w:rPr>
          <w:rFonts w:ascii="Arial" w:hAnsi="Arial" w:cs="Arial"/>
          <w:b/>
          <w:sz w:val="24"/>
          <w:szCs w:val="24"/>
        </w:rPr>
      </w:pPr>
    </w:p>
    <w:p w:rsidR="00AE5DBC" w:rsidRDefault="00AE5DBC" w:rsidP="00113430">
      <w:pPr>
        <w:spacing w:after="0"/>
        <w:jc w:val="both"/>
        <w:rPr>
          <w:rFonts w:ascii="Arial" w:hAnsi="Arial" w:cs="Arial"/>
          <w:b/>
          <w:sz w:val="24"/>
          <w:szCs w:val="24"/>
        </w:rPr>
      </w:pPr>
      <w:r>
        <w:rPr>
          <w:rFonts w:ascii="Arial" w:hAnsi="Arial" w:cs="Arial"/>
          <w:b/>
          <w:sz w:val="24"/>
          <w:szCs w:val="24"/>
        </w:rPr>
        <w:t>IN THE MATTER OF:</w:t>
      </w:r>
      <w:r>
        <w:rPr>
          <w:rFonts w:ascii="Arial" w:hAnsi="Arial" w:cs="Arial"/>
          <w:b/>
          <w:sz w:val="24"/>
          <w:szCs w:val="24"/>
        </w:rPr>
        <w:tab/>
        <w:t xml:space="preserve">THE ARBITRATION ACT CHAPTER 40 OF THE LAWS OF </w:t>
      </w:r>
    </w:p>
    <w:p w:rsidR="00AE5DBC" w:rsidRDefault="00AE5DBC" w:rsidP="00113430">
      <w:pPr>
        <w:spacing w:after="0"/>
        <w:ind w:left="2160" w:firstLine="720"/>
        <w:jc w:val="both"/>
        <w:rPr>
          <w:rFonts w:ascii="Arial" w:hAnsi="Arial" w:cs="Arial"/>
          <w:b/>
          <w:sz w:val="24"/>
          <w:szCs w:val="24"/>
        </w:rPr>
      </w:pPr>
      <w:r>
        <w:rPr>
          <w:rFonts w:ascii="Arial" w:hAnsi="Arial" w:cs="Arial"/>
          <w:b/>
          <w:sz w:val="24"/>
          <w:szCs w:val="24"/>
        </w:rPr>
        <w:t>ZAMBIA ACT 19 OF 2000</w:t>
      </w:r>
    </w:p>
    <w:p w:rsidR="00AE5DBC" w:rsidRDefault="00AE5DBC" w:rsidP="00113430">
      <w:pPr>
        <w:spacing w:after="0"/>
        <w:ind w:left="2160" w:firstLine="720"/>
        <w:jc w:val="both"/>
        <w:rPr>
          <w:rFonts w:ascii="Arial" w:hAnsi="Arial" w:cs="Arial"/>
          <w:b/>
          <w:sz w:val="24"/>
          <w:szCs w:val="24"/>
        </w:rPr>
      </w:pPr>
    </w:p>
    <w:p w:rsidR="00AE5DBC" w:rsidRDefault="00AE5DBC" w:rsidP="00113430">
      <w:pPr>
        <w:spacing w:after="0"/>
        <w:rPr>
          <w:rFonts w:ascii="Arial" w:hAnsi="Arial" w:cs="Arial"/>
          <w:b/>
          <w:sz w:val="24"/>
          <w:szCs w:val="24"/>
        </w:rPr>
      </w:pPr>
      <w:r>
        <w:rPr>
          <w:rFonts w:ascii="Arial" w:hAnsi="Arial" w:cs="Arial"/>
          <w:b/>
          <w:sz w:val="24"/>
          <w:szCs w:val="24"/>
        </w:rPr>
        <w:t xml:space="preserve">AND </w:t>
      </w:r>
    </w:p>
    <w:p w:rsidR="00D61949" w:rsidRDefault="00D61949" w:rsidP="00113430">
      <w:pPr>
        <w:spacing w:after="0"/>
        <w:rPr>
          <w:rFonts w:ascii="Arial" w:hAnsi="Arial" w:cs="Arial"/>
          <w:b/>
          <w:sz w:val="24"/>
          <w:szCs w:val="24"/>
        </w:rPr>
      </w:pPr>
    </w:p>
    <w:p w:rsidR="00AE5DBC" w:rsidRDefault="00AE5DBC" w:rsidP="00113430">
      <w:pPr>
        <w:spacing w:after="0"/>
        <w:rPr>
          <w:rFonts w:ascii="Arial" w:hAnsi="Arial" w:cs="Arial"/>
          <w:b/>
          <w:sz w:val="24"/>
          <w:szCs w:val="24"/>
        </w:rPr>
      </w:pPr>
      <w:r>
        <w:rPr>
          <w:rFonts w:ascii="Arial" w:hAnsi="Arial" w:cs="Arial"/>
          <w:b/>
          <w:sz w:val="24"/>
          <w:szCs w:val="24"/>
        </w:rPr>
        <w:t>IN THE MATTER OF:</w:t>
      </w:r>
      <w:r>
        <w:rPr>
          <w:rFonts w:ascii="Arial" w:hAnsi="Arial" w:cs="Arial"/>
          <w:b/>
          <w:sz w:val="24"/>
          <w:szCs w:val="24"/>
        </w:rPr>
        <w:tab/>
        <w:t>ARBITRATION</w:t>
      </w:r>
    </w:p>
    <w:p w:rsidR="00AE5DBC" w:rsidRDefault="00AE5DBC" w:rsidP="00113430">
      <w:pPr>
        <w:spacing w:after="0"/>
        <w:rPr>
          <w:rFonts w:ascii="Arial" w:hAnsi="Arial" w:cs="Arial"/>
          <w:b/>
          <w:sz w:val="24"/>
          <w:szCs w:val="24"/>
        </w:rPr>
      </w:pPr>
    </w:p>
    <w:p w:rsidR="00AE5DBC" w:rsidRDefault="00AE5DBC" w:rsidP="00113430">
      <w:pPr>
        <w:spacing w:after="0"/>
        <w:rPr>
          <w:rFonts w:ascii="Arial" w:hAnsi="Arial" w:cs="Arial"/>
          <w:b/>
          <w:sz w:val="24"/>
          <w:szCs w:val="24"/>
        </w:rPr>
      </w:pPr>
      <w:r>
        <w:rPr>
          <w:rFonts w:ascii="Arial" w:hAnsi="Arial" w:cs="Arial"/>
          <w:b/>
          <w:sz w:val="24"/>
          <w:szCs w:val="24"/>
        </w:rPr>
        <w:t>BETWEEN:</w:t>
      </w:r>
    </w:p>
    <w:p w:rsidR="00AE5DBC" w:rsidRDefault="00AE5DBC" w:rsidP="00113430">
      <w:pPr>
        <w:spacing w:after="0"/>
        <w:rPr>
          <w:rFonts w:ascii="Arial" w:hAnsi="Arial" w:cs="Arial"/>
          <w:b/>
          <w:sz w:val="24"/>
          <w:szCs w:val="24"/>
        </w:rPr>
      </w:pPr>
    </w:p>
    <w:p w:rsidR="00AE5DBC" w:rsidRDefault="00AE5DBC" w:rsidP="00113430">
      <w:pPr>
        <w:spacing w:after="0"/>
        <w:rPr>
          <w:rFonts w:ascii="Arial" w:hAnsi="Arial" w:cs="Arial"/>
          <w:b/>
          <w:sz w:val="24"/>
          <w:szCs w:val="24"/>
        </w:rPr>
      </w:pPr>
      <w:r>
        <w:rPr>
          <w:rFonts w:ascii="Arial" w:hAnsi="Arial" w:cs="Arial"/>
          <w:b/>
          <w:sz w:val="24"/>
          <w:szCs w:val="24"/>
        </w:rPr>
        <w:t xml:space="preserve">E &amp; M STORTI MINING LIMITED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PLAINTIFF</w:t>
      </w:r>
    </w:p>
    <w:p w:rsidR="00AE5DBC" w:rsidRDefault="00AE5DBC" w:rsidP="00113430">
      <w:pPr>
        <w:spacing w:after="0"/>
        <w:rPr>
          <w:rFonts w:ascii="Arial" w:hAnsi="Arial" w:cs="Arial"/>
          <w:b/>
          <w:sz w:val="24"/>
          <w:szCs w:val="24"/>
        </w:rPr>
      </w:pPr>
    </w:p>
    <w:p w:rsidR="00AE5DBC" w:rsidRDefault="00AE5DBC" w:rsidP="00113430">
      <w:pPr>
        <w:spacing w:after="0"/>
        <w:rPr>
          <w:rFonts w:ascii="Arial" w:hAnsi="Arial" w:cs="Arial"/>
          <w:b/>
          <w:sz w:val="24"/>
          <w:szCs w:val="24"/>
        </w:rPr>
      </w:pPr>
      <w:r>
        <w:rPr>
          <w:rFonts w:ascii="Arial" w:hAnsi="Arial" w:cs="Arial"/>
          <w:b/>
          <w:sz w:val="24"/>
          <w:szCs w:val="24"/>
        </w:rPr>
        <w:t>AND</w:t>
      </w:r>
    </w:p>
    <w:p w:rsidR="00AE5DBC" w:rsidRDefault="00AE5DBC" w:rsidP="00113430">
      <w:pPr>
        <w:spacing w:after="0"/>
        <w:rPr>
          <w:rFonts w:ascii="Arial" w:hAnsi="Arial" w:cs="Arial"/>
          <w:b/>
          <w:sz w:val="24"/>
          <w:szCs w:val="24"/>
        </w:rPr>
      </w:pPr>
    </w:p>
    <w:p w:rsidR="00AE5DBC" w:rsidRDefault="00AE5DBC" w:rsidP="00113430">
      <w:pPr>
        <w:spacing w:after="0"/>
        <w:rPr>
          <w:rFonts w:ascii="Arial" w:hAnsi="Arial" w:cs="Arial"/>
          <w:b/>
          <w:sz w:val="24"/>
          <w:szCs w:val="24"/>
        </w:rPr>
      </w:pPr>
      <w:r>
        <w:rPr>
          <w:rFonts w:ascii="Arial" w:hAnsi="Arial" w:cs="Arial"/>
          <w:b/>
          <w:sz w:val="24"/>
          <w:szCs w:val="24"/>
        </w:rPr>
        <w:t>TWAMPANE MINING CO-OPERATIVE</w:t>
      </w:r>
      <w:r>
        <w:rPr>
          <w:rFonts w:ascii="Arial" w:hAnsi="Arial" w:cs="Arial"/>
          <w:b/>
          <w:sz w:val="24"/>
          <w:szCs w:val="24"/>
        </w:rPr>
        <w:tab/>
      </w:r>
      <w:r w:rsidR="00FF64B3">
        <w:rPr>
          <w:rFonts w:ascii="Arial" w:hAnsi="Arial" w:cs="Arial"/>
          <w:b/>
          <w:sz w:val="24"/>
          <w:szCs w:val="24"/>
        </w:rPr>
        <w:t xml:space="preserve"> SOCIETY LIMITED</w:t>
      </w:r>
      <w:r w:rsidR="00FF64B3">
        <w:rPr>
          <w:rFonts w:ascii="Arial" w:hAnsi="Arial" w:cs="Arial"/>
          <w:b/>
          <w:sz w:val="24"/>
          <w:szCs w:val="24"/>
        </w:rPr>
        <w:tab/>
      </w:r>
      <w:r w:rsidR="00FF64B3">
        <w:rPr>
          <w:rFonts w:ascii="Arial" w:hAnsi="Arial" w:cs="Arial"/>
          <w:b/>
          <w:sz w:val="24"/>
          <w:szCs w:val="24"/>
        </w:rPr>
        <w:tab/>
        <w:t xml:space="preserve">        </w:t>
      </w:r>
      <w:r>
        <w:rPr>
          <w:rFonts w:ascii="Arial" w:hAnsi="Arial" w:cs="Arial"/>
          <w:b/>
          <w:sz w:val="24"/>
          <w:szCs w:val="24"/>
        </w:rPr>
        <w:t>DEFENDANT</w:t>
      </w:r>
    </w:p>
    <w:p w:rsidR="00AE5DBC" w:rsidRDefault="00AE5DBC" w:rsidP="00113430">
      <w:pPr>
        <w:spacing w:after="0"/>
        <w:rPr>
          <w:rFonts w:ascii="Arial" w:hAnsi="Arial" w:cs="Arial"/>
          <w:b/>
          <w:sz w:val="24"/>
          <w:szCs w:val="24"/>
        </w:rPr>
      </w:pPr>
    </w:p>
    <w:p w:rsidR="00AE5DBC" w:rsidRDefault="00AE5DBC" w:rsidP="00113430">
      <w:pPr>
        <w:spacing w:after="0"/>
        <w:jc w:val="both"/>
        <w:rPr>
          <w:rFonts w:ascii="Arial" w:hAnsi="Arial" w:cs="Arial"/>
          <w:sz w:val="24"/>
          <w:szCs w:val="24"/>
        </w:rPr>
      </w:pPr>
      <w:r w:rsidRPr="001C227B">
        <w:rPr>
          <w:rFonts w:ascii="Arial" w:hAnsi="Arial" w:cs="Arial"/>
          <w:sz w:val="24"/>
          <w:szCs w:val="24"/>
        </w:rPr>
        <w:t>Before the Honourable Mrs. Justice R.M.C. Kaoma in Ope</w:t>
      </w:r>
      <w:r>
        <w:rPr>
          <w:rFonts w:ascii="Arial" w:hAnsi="Arial" w:cs="Arial"/>
          <w:sz w:val="24"/>
          <w:szCs w:val="24"/>
        </w:rPr>
        <w:t xml:space="preserve">n Court on </w:t>
      </w:r>
      <w:r w:rsidR="00302C3F">
        <w:rPr>
          <w:rFonts w:ascii="Arial" w:hAnsi="Arial" w:cs="Arial"/>
          <w:sz w:val="24"/>
          <w:szCs w:val="24"/>
        </w:rPr>
        <w:t xml:space="preserve">this </w:t>
      </w:r>
      <w:r w:rsidR="004B0BA7">
        <w:rPr>
          <w:rFonts w:ascii="Arial" w:hAnsi="Arial" w:cs="Arial"/>
          <w:sz w:val="24"/>
          <w:szCs w:val="24"/>
        </w:rPr>
        <w:t>22</w:t>
      </w:r>
      <w:r w:rsidR="004B0BA7" w:rsidRPr="004B0BA7">
        <w:rPr>
          <w:rFonts w:ascii="Arial" w:hAnsi="Arial" w:cs="Arial"/>
          <w:sz w:val="24"/>
          <w:szCs w:val="24"/>
          <w:vertAlign w:val="superscript"/>
        </w:rPr>
        <w:t>nd</w:t>
      </w:r>
      <w:r w:rsidR="004B0BA7">
        <w:rPr>
          <w:rFonts w:ascii="Arial" w:hAnsi="Arial" w:cs="Arial"/>
          <w:sz w:val="24"/>
          <w:szCs w:val="24"/>
        </w:rPr>
        <w:t xml:space="preserve"> </w:t>
      </w:r>
      <w:r w:rsidR="00302C3F">
        <w:rPr>
          <w:rFonts w:ascii="Arial" w:hAnsi="Arial" w:cs="Arial"/>
          <w:sz w:val="24"/>
          <w:szCs w:val="24"/>
        </w:rPr>
        <w:t>day</w:t>
      </w:r>
      <w:r>
        <w:rPr>
          <w:rFonts w:ascii="Arial" w:hAnsi="Arial" w:cs="Arial"/>
          <w:sz w:val="24"/>
          <w:szCs w:val="24"/>
        </w:rPr>
        <w:t xml:space="preserve"> of</w:t>
      </w:r>
      <w:r w:rsidRPr="001C227B">
        <w:rPr>
          <w:rFonts w:ascii="Arial" w:hAnsi="Arial" w:cs="Arial"/>
          <w:sz w:val="24"/>
          <w:szCs w:val="24"/>
        </w:rPr>
        <w:t xml:space="preserve"> </w:t>
      </w:r>
      <w:r w:rsidR="00BA30D8">
        <w:rPr>
          <w:rFonts w:ascii="Arial" w:hAnsi="Arial" w:cs="Arial"/>
          <w:sz w:val="24"/>
          <w:szCs w:val="24"/>
        </w:rPr>
        <w:t xml:space="preserve">         </w:t>
      </w:r>
      <w:r w:rsidR="004B0BA7">
        <w:rPr>
          <w:rFonts w:ascii="Arial" w:hAnsi="Arial" w:cs="Arial"/>
          <w:sz w:val="24"/>
          <w:szCs w:val="24"/>
        </w:rPr>
        <w:t>March</w:t>
      </w:r>
      <w:r w:rsidR="00BA30D8">
        <w:rPr>
          <w:rFonts w:ascii="Arial" w:hAnsi="Arial" w:cs="Arial"/>
          <w:sz w:val="24"/>
          <w:szCs w:val="24"/>
        </w:rPr>
        <w:t>, 2013</w:t>
      </w:r>
    </w:p>
    <w:p w:rsidR="00AE5DBC" w:rsidRPr="003C23ED" w:rsidRDefault="00AE5DBC" w:rsidP="00113430">
      <w:pPr>
        <w:spacing w:after="0"/>
        <w:rPr>
          <w:rFonts w:ascii="Arial" w:hAnsi="Arial" w:cs="Arial"/>
          <w:b/>
          <w:sz w:val="24"/>
          <w:szCs w:val="24"/>
        </w:rPr>
      </w:pPr>
    </w:p>
    <w:p w:rsidR="00AE5DBC" w:rsidRDefault="00AE5DBC" w:rsidP="00113430">
      <w:pPr>
        <w:spacing w:after="0"/>
        <w:rPr>
          <w:rFonts w:ascii="Arial" w:hAnsi="Arial" w:cs="Arial"/>
          <w:sz w:val="24"/>
          <w:szCs w:val="24"/>
        </w:rPr>
      </w:pPr>
      <w:r w:rsidRPr="001C227B">
        <w:rPr>
          <w:rFonts w:ascii="Arial" w:hAnsi="Arial" w:cs="Arial"/>
          <w:sz w:val="24"/>
          <w:szCs w:val="24"/>
        </w:rPr>
        <w:t xml:space="preserve">For the </w:t>
      </w:r>
      <w:r w:rsidR="004B0BA7">
        <w:rPr>
          <w:rFonts w:ascii="Arial" w:hAnsi="Arial" w:cs="Arial"/>
          <w:sz w:val="24"/>
          <w:szCs w:val="24"/>
        </w:rPr>
        <w:t>Plaintiff</w:t>
      </w:r>
      <w:r w:rsidR="004B0BA7">
        <w:rPr>
          <w:rFonts w:ascii="Arial" w:hAnsi="Arial" w:cs="Arial"/>
          <w:sz w:val="24"/>
          <w:szCs w:val="24"/>
        </w:rPr>
        <w:tab/>
        <w:t>:</w:t>
      </w:r>
      <w:r w:rsidR="004B0BA7">
        <w:rPr>
          <w:rFonts w:ascii="Arial" w:hAnsi="Arial" w:cs="Arial"/>
          <w:sz w:val="24"/>
          <w:szCs w:val="24"/>
        </w:rPr>
        <w:tab/>
      </w:r>
      <w:r w:rsidR="003E48B9">
        <w:rPr>
          <w:rFonts w:ascii="Arial" w:hAnsi="Arial" w:cs="Arial"/>
          <w:sz w:val="24"/>
          <w:szCs w:val="24"/>
        </w:rPr>
        <w:t>Mr. S.A.G. Twumasi</w:t>
      </w:r>
      <w:r w:rsidR="004263EC">
        <w:rPr>
          <w:rFonts w:ascii="Arial" w:hAnsi="Arial" w:cs="Arial"/>
          <w:sz w:val="24"/>
          <w:szCs w:val="24"/>
        </w:rPr>
        <w:t xml:space="preserve"> - </w:t>
      </w:r>
      <w:r w:rsidR="003E48B9">
        <w:rPr>
          <w:rFonts w:ascii="Arial" w:hAnsi="Arial" w:cs="Arial"/>
          <w:sz w:val="24"/>
          <w:szCs w:val="24"/>
        </w:rPr>
        <w:t>Kitwe Chambers</w:t>
      </w:r>
      <w:r>
        <w:rPr>
          <w:rFonts w:ascii="Arial" w:hAnsi="Arial" w:cs="Arial"/>
          <w:sz w:val="24"/>
          <w:szCs w:val="24"/>
        </w:rPr>
        <w:t xml:space="preserve"> </w:t>
      </w:r>
    </w:p>
    <w:p w:rsidR="00AE5DBC" w:rsidRDefault="00302C3F" w:rsidP="00113430">
      <w:pPr>
        <w:spacing w:after="0"/>
        <w:rPr>
          <w:rFonts w:ascii="Arial" w:hAnsi="Arial" w:cs="Arial"/>
          <w:sz w:val="24"/>
          <w:szCs w:val="24"/>
        </w:rPr>
      </w:pPr>
      <w:r>
        <w:rPr>
          <w:rFonts w:ascii="Arial" w:hAnsi="Arial" w:cs="Arial"/>
          <w:sz w:val="24"/>
          <w:szCs w:val="24"/>
        </w:rPr>
        <w:t>For the Defendant</w:t>
      </w:r>
      <w:r w:rsidR="003E48B9">
        <w:rPr>
          <w:rFonts w:ascii="Arial" w:hAnsi="Arial" w:cs="Arial"/>
          <w:sz w:val="24"/>
          <w:szCs w:val="24"/>
        </w:rPr>
        <w:tab/>
      </w:r>
      <w:r>
        <w:rPr>
          <w:rFonts w:ascii="Arial" w:hAnsi="Arial" w:cs="Arial"/>
          <w:sz w:val="24"/>
          <w:szCs w:val="24"/>
        </w:rPr>
        <w:t xml:space="preserve">: </w:t>
      </w:r>
      <w:r w:rsidR="003E48B9">
        <w:rPr>
          <w:rFonts w:ascii="Arial" w:hAnsi="Arial" w:cs="Arial"/>
          <w:sz w:val="24"/>
          <w:szCs w:val="24"/>
        </w:rPr>
        <w:tab/>
        <w:t>Mr. F. Chalenga</w:t>
      </w:r>
      <w:r w:rsidR="004263EC">
        <w:rPr>
          <w:rFonts w:ascii="Arial" w:hAnsi="Arial" w:cs="Arial"/>
          <w:sz w:val="24"/>
          <w:szCs w:val="24"/>
        </w:rPr>
        <w:t xml:space="preserve"> - </w:t>
      </w:r>
      <w:r w:rsidR="003E48B9">
        <w:rPr>
          <w:rFonts w:ascii="Arial" w:hAnsi="Arial" w:cs="Arial"/>
          <w:sz w:val="24"/>
          <w:szCs w:val="24"/>
        </w:rPr>
        <w:t>Freddie &amp; Company</w:t>
      </w:r>
    </w:p>
    <w:p w:rsidR="00AE5DBC" w:rsidRPr="001C227B" w:rsidRDefault="00AE5DBC" w:rsidP="00113430">
      <w:pPr>
        <w:spacing w:after="0"/>
        <w:rPr>
          <w:rFonts w:ascii="Arial" w:hAnsi="Arial" w:cs="Arial"/>
          <w:sz w:val="24"/>
          <w:szCs w:val="24"/>
        </w:rPr>
      </w:pPr>
    </w:p>
    <w:p w:rsidR="00AE5DBC" w:rsidRDefault="00AE5DBC" w:rsidP="00113430">
      <w:pPr>
        <w:pBdr>
          <w:top w:val="single" w:sz="6" w:space="1" w:color="auto"/>
          <w:bottom w:val="single" w:sz="6" w:space="1" w:color="auto"/>
        </w:pBdr>
        <w:spacing w:after="0"/>
      </w:pPr>
    </w:p>
    <w:p w:rsidR="00AE5DBC" w:rsidRPr="00BB734B" w:rsidRDefault="00AE5DBC" w:rsidP="00113430">
      <w:pPr>
        <w:pBdr>
          <w:top w:val="single" w:sz="6" w:space="1" w:color="auto"/>
          <w:bottom w:val="single" w:sz="6" w:space="1" w:color="auto"/>
        </w:pBdr>
        <w:spacing w:after="0"/>
        <w:jc w:val="center"/>
        <w:rPr>
          <w:rFonts w:ascii="Arial" w:hAnsi="Arial" w:cs="Arial"/>
          <w:b/>
          <w:sz w:val="24"/>
          <w:szCs w:val="24"/>
        </w:rPr>
      </w:pPr>
      <w:r>
        <w:rPr>
          <w:rFonts w:ascii="Arial" w:hAnsi="Arial" w:cs="Arial"/>
          <w:b/>
          <w:sz w:val="24"/>
          <w:szCs w:val="24"/>
        </w:rPr>
        <w:t>R U L I N G</w:t>
      </w:r>
    </w:p>
    <w:p w:rsidR="00AE5DBC" w:rsidRDefault="00AE5DBC" w:rsidP="00113430">
      <w:pPr>
        <w:pBdr>
          <w:top w:val="single" w:sz="6" w:space="1" w:color="auto"/>
          <w:bottom w:val="single" w:sz="6" w:space="1" w:color="auto"/>
        </w:pBdr>
        <w:spacing w:after="0"/>
      </w:pPr>
    </w:p>
    <w:p w:rsidR="00AE5DBC" w:rsidRDefault="00AE5DBC" w:rsidP="00113430">
      <w:pPr>
        <w:spacing w:after="0"/>
        <w:rPr>
          <w:rFonts w:ascii="Arial" w:hAnsi="Arial" w:cs="Arial"/>
          <w:sz w:val="24"/>
          <w:szCs w:val="24"/>
        </w:rPr>
      </w:pPr>
    </w:p>
    <w:p w:rsidR="00113430" w:rsidRDefault="00113430" w:rsidP="00113430">
      <w:pPr>
        <w:spacing w:after="0"/>
        <w:jc w:val="both"/>
        <w:rPr>
          <w:rFonts w:ascii="Arial" w:hAnsi="Arial" w:cs="Arial"/>
          <w:sz w:val="24"/>
          <w:szCs w:val="24"/>
        </w:rPr>
      </w:pPr>
      <w:r w:rsidRPr="00113430">
        <w:rPr>
          <w:rFonts w:ascii="Arial" w:hAnsi="Arial" w:cs="Arial"/>
          <w:b/>
          <w:sz w:val="24"/>
          <w:szCs w:val="24"/>
          <w:u w:val="single"/>
        </w:rPr>
        <w:t>Authorities referred to</w:t>
      </w:r>
      <w:r>
        <w:rPr>
          <w:rFonts w:ascii="Arial" w:hAnsi="Arial" w:cs="Arial"/>
          <w:sz w:val="24"/>
          <w:szCs w:val="24"/>
        </w:rPr>
        <w:t>:</w:t>
      </w:r>
    </w:p>
    <w:p w:rsidR="00113430" w:rsidRDefault="00113430" w:rsidP="00113430">
      <w:pPr>
        <w:pStyle w:val="ListParagraph"/>
        <w:numPr>
          <w:ilvl w:val="0"/>
          <w:numId w:val="7"/>
        </w:numPr>
        <w:spacing w:after="0"/>
        <w:jc w:val="both"/>
        <w:rPr>
          <w:rFonts w:ascii="Arial" w:hAnsi="Arial" w:cs="Arial"/>
          <w:sz w:val="24"/>
          <w:szCs w:val="24"/>
        </w:rPr>
      </w:pPr>
      <w:r>
        <w:rPr>
          <w:rFonts w:ascii="Arial" w:hAnsi="Arial" w:cs="Arial"/>
          <w:sz w:val="24"/>
          <w:szCs w:val="24"/>
        </w:rPr>
        <w:t>Rules of the Supreme Court 1999, Order 29 rule 1A (24,)</w:t>
      </w:r>
      <w:r w:rsidRPr="00113430">
        <w:rPr>
          <w:rFonts w:ascii="Arial" w:hAnsi="Arial" w:cs="Arial"/>
          <w:sz w:val="24"/>
          <w:szCs w:val="24"/>
        </w:rPr>
        <w:t xml:space="preserve"> </w:t>
      </w:r>
      <w:r>
        <w:rPr>
          <w:rFonts w:ascii="Arial" w:hAnsi="Arial" w:cs="Arial"/>
          <w:sz w:val="24"/>
          <w:szCs w:val="24"/>
        </w:rPr>
        <w:t>Order 30 rule 1(7)</w:t>
      </w:r>
      <w:r w:rsidRPr="00113430">
        <w:rPr>
          <w:rFonts w:ascii="Arial" w:hAnsi="Arial" w:cs="Arial"/>
          <w:sz w:val="24"/>
          <w:szCs w:val="24"/>
        </w:rPr>
        <w:t xml:space="preserve"> </w:t>
      </w:r>
      <w:r>
        <w:rPr>
          <w:rFonts w:ascii="Arial" w:hAnsi="Arial" w:cs="Arial"/>
          <w:sz w:val="24"/>
          <w:szCs w:val="24"/>
        </w:rPr>
        <w:t xml:space="preserve">Order 30, rules 2 to 6, Order 51 (3)(1) </w:t>
      </w:r>
    </w:p>
    <w:p w:rsidR="00113430" w:rsidRPr="00113430" w:rsidRDefault="00113430" w:rsidP="00113430">
      <w:pPr>
        <w:pStyle w:val="ListParagraph"/>
        <w:numPr>
          <w:ilvl w:val="0"/>
          <w:numId w:val="7"/>
        </w:numPr>
        <w:spacing w:after="0"/>
        <w:jc w:val="both"/>
        <w:rPr>
          <w:rFonts w:ascii="Arial" w:hAnsi="Arial" w:cs="Arial"/>
          <w:sz w:val="24"/>
          <w:szCs w:val="24"/>
        </w:rPr>
      </w:pPr>
      <w:r>
        <w:rPr>
          <w:rFonts w:ascii="Arial" w:hAnsi="Arial" w:cs="Arial"/>
          <w:sz w:val="24"/>
          <w:szCs w:val="24"/>
        </w:rPr>
        <w:t>Enforcement of Money Judgments, Gray Evans, Butterworths, London 1995 at pages 121 and 122,</w:t>
      </w:r>
      <w:r w:rsidRPr="00113430">
        <w:rPr>
          <w:rFonts w:ascii="Arial" w:hAnsi="Arial" w:cs="Arial"/>
          <w:sz w:val="24"/>
          <w:szCs w:val="24"/>
        </w:rPr>
        <w:t xml:space="preserve"> </w:t>
      </w:r>
      <w:r>
        <w:rPr>
          <w:rFonts w:ascii="Arial" w:hAnsi="Arial" w:cs="Arial"/>
          <w:sz w:val="24"/>
          <w:szCs w:val="24"/>
        </w:rPr>
        <w:t>pages 123-125</w:t>
      </w:r>
    </w:p>
    <w:p w:rsidR="00113430" w:rsidRDefault="00113430" w:rsidP="00113430">
      <w:pPr>
        <w:rPr>
          <w:rFonts w:ascii="Arial" w:hAnsi="Arial" w:cs="Arial"/>
          <w:sz w:val="24"/>
          <w:szCs w:val="24"/>
        </w:rPr>
      </w:pPr>
    </w:p>
    <w:p w:rsidR="00113430" w:rsidRDefault="00B02352" w:rsidP="00D61949">
      <w:pPr>
        <w:spacing w:after="0" w:line="360" w:lineRule="auto"/>
        <w:jc w:val="both"/>
        <w:rPr>
          <w:rFonts w:ascii="Arial" w:hAnsi="Arial" w:cs="Arial"/>
          <w:sz w:val="24"/>
          <w:szCs w:val="24"/>
        </w:rPr>
      </w:pPr>
      <w:r w:rsidRPr="00B02352">
        <w:rPr>
          <w:rFonts w:ascii="Arial" w:hAnsi="Arial" w:cs="Arial"/>
          <w:sz w:val="24"/>
          <w:szCs w:val="24"/>
        </w:rPr>
        <w:t xml:space="preserve">This is an application by the plaintiff for an order of appointment of a receiver by way of </w:t>
      </w:r>
      <w:r>
        <w:rPr>
          <w:rFonts w:ascii="Arial" w:hAnsi="Arial" w:cs="Arial"/>
          <w:sz w:val="24"/>
          <w:szCs w:val="24"/>
        </w:rPr>
        <w:t>equitable execution and an order of injunction restraining the defendant, its servants and/or agents or whosoever from dealing with or transacting with its assets as to dissipate the</w:t>
      </w:r>
      <w:r w:rsidR="00956860">
        <w:rPr>
          <w:rFonts w:ascii="Arial" w:hAnsi="Arial" w:cs="Arial"/>
          <w:sz w:val="24"/>
          <w:szCs w:val="24"/>
        </w:rPr>
        <w:t xml:space="preserve"> same. </w:t>
      </w:r>
    </w:p>
    <w:p w:rsidR="004263EC" w:rsidRDefault="00B02352" w:rsidP="00D61949">
      <w:pPr>
        <w:spacing w:after="0" w:line="360" w:lineRule="auto"/>
        <w:jc w:val="both"/>
        <w:rPr>
          <w:rFonts w:ascii="Arial" w:hAnsi="Arial" w:cs="Arial"/>
          <w:sz w:val="24"/>
          <w:szCs w:val="24"/>
        </w:rPr>
      </w:pPr>
      <w:r>
        <w:rPr>
          <w:rFonts w:ascii="Arial" w:hAnsi="Arial" w:cs="Arial"/>
          <w:sz w:val="24"/>
          <w:szCs w:val="24"/>
        </w:rPr>
        <w:lastRenderedPageBreak/>
        <w:t xml:space="preserve">The application is brought pursuant to </w:t>
      </w:r>
      <w:r w:rsidR="00841BB5">
        <w:rPr>
          <w:rFonts w:ascii="Arial" w:hAnsi="Arial" w:cs="Arial"/>
          <w:sz w:val="24"/>
          <w:szCs w:val="24"/>
        </w:rPr>
        <w:t>O</w:t>
      </w:r>
      <w:r>
        <w:rPr>
          <w:rFonts w:ascii="Arial" w:hAnsi="Arial" w:cs="Arial"/>
          <w:sz w:val="24"/>
          <w:szCs w:val="24"/>
        </w:rPr>
        <w:t>rders 29 and 30 RSC</w:t>
      </w:r>
      <w:r w:rsidR="004263EC">
        <w:rPr>
          <w:rFonts w:ascii="Arial" w:hAnsi="Arial" w:cs="Arial"/>
          <w:sz w:val="24"/>
          <w:szCs w:val="24"/>
        </w:rPr>
        <w:t xml:space="preserve"> 1999</w:t>
      </w:r>
      <w:r>
        <w:rPr>
          <w:rFonts w:ascii="Arial" w:hAnsi="Arial" w:cs="Arial"/>
          <w:sz w:val="24"/>
          <w:szCs w:val="24"/>
        </w:rPr>
        <w:t>.  There is an affidavit in support dated 6</w:t>
      </w:r>
      <w:r w:rsidRPr="00B02352">
        <w:rPr>
          <w:rFonts w:ascii="Arial" w:hAnsi="Arial" w:cs="Arial"/>
          <w:sz w:val="24"/>
          <w:szCs w:val="24"/>
          <w:vertAlign w:val="superscript"/>
        </w:rPr>
        <w:t>th</w:t>
      </w:r>
      <w:r>
        <w:rPr>
          <w:rFonts w:ascii="Arial" w:hAnsi="Arial" w:cs="Arial"/>
          <w:sz w:val="24"/>
          <w:szCs w:val="24"/>
        </w:rPr>
        <w:t xml:space="preserve"> September, 2012 and a further affidavit in support dated 7</w:t>
      </w:r>
      <w:r w:rsidRPr="00B02352">
        <w:rPr>
          <w:rFonts w:ascii="Arial" w:hAnsi="Arial" w:cs="Arial"/>
          <w:sz w:val="24"/>
          <w:szCs w:val="24"/>
          <w:vertAlign w:val="superscript"/>
        </w:rPr>
        <w:t>th</w:t>
      </w:r>
      <w:r>
        <w:rPr>
          <w:rFonts w:ascii="Arial" w:hAnsi="Arial" w:cs="Arial"/>
          <w:sz w:val="24"/>
          <w:szCs w:val="24"/>
        </w:rPr>
        <w:t xml:space="preserve"> September, 2012 sworn by Enrico Storti</w:t>
      </w:r>
      <w:r w:rsidR="004263EC">
        <w:rPr>
          <w:rFonts w:ascii="Arial" w:hAnsi="Arial" w:cs="Arial"/>
          <w:sz w:val="24"/>
          <w:szCs w:val="24"/>
        </w:rPr>
        <w:t>,</w:t>
      </w:r>
      <w:r>
        <w:rPr>
          <w:rFonts w:ascii="Arial" w:hAnsi="Arial" w:cs="Arial"/>
          <w:sz w:val="24"/>
          <w:szCs w:val="24"/>
        </w:rPr>
        <w:t xml:space="preserve"> the </w:t>
      </w:r>
      <w:r w:rsidR="00793D3B">
        <w:rPr>
          <w:rFonts w:ascii="Arial" w:hAnsi="Arial" w:cs="Arial"/>
          <w:sz w:val="24"/>
          <w:szCs w:val="24"/>
        </w:rPr>
        <w:t xml:space="preserve">plaintiff’s Managing Director. </w:t>
      </w:r>
      <w:r>
        <w:rPr>
          <w:rFonts w:ascii="Arial" w:hAnsi="Arial" w:cs="Arial"/>
          <w:sz w:val="24"/>
          <w:szCs w:val="24"/>
        </w:rPr>
        <w:t>A number of documents are exhibited to the</w:t>
      </w:r>
      <w:r w:rsidR="00793D3B">
        <w:rPr>
          <w:rFonts w:ascii="Arial" w:hAnsi="Arial" w:cs="Arial"/>
          <w:sz w:val="24"/>
          <w:szCs w:val="24"/>
        </w:rPr>
        <w:t xml:space="preserve"> affidavits. </w:t>
      </w:r>
      <w:r>
        <w:rPr>
          <w:rFonts w:ascii="Arial" w:hAnsi="Arial" w:cs="Arial"/>
          <w:sz w:val="24"/>
          <w:szCs w:val="24"/>
        </w:rPr>
        <w:t>On 7</w:t>
      </w:r>
      <w:r w:rsidRPr="00B02352">
        <w:rPr>
          <w:rFonts w:ascii="Arial" w:hAnsi="Arial" w:cs="Arial"/>
          <w:sz w:val="24"/>
          <w:szCs w:val="24"/>
          <w:vertAlign w:val="superscript"/>
        </w:rPr>
        <w:t>th</w:t>
      </w:r>
      <w:r>
        <w:rPr>
          <w:rFonts w:ascii="Arial" w:hAnsi="Arial" w:cs="Arial"/>
          <w:sz w:val="24"/>
          <w:szCs w:val="24"/>
        </w:rPr>
        <w:t xml:space="preserve"> September, 2012, the plaintiff also filed </w:t>
      </w:r>
      <w:r w:rsidR="004263EC">
        <w:rPr>
          <w:rFonts w:ascii="Arial" w:hAnsi="Arial" w:cs="Arial"/>
          <w:sz w:val="24"/>
          <w:szCs w:val="24"/>
        </w:rPr>
        <w:t>h</w:t>
      </w:r>
      <w:r>
        <w:rPr>
          <w:rFonts w:ascii="Arial" w:hAnsi="Arial" w:cs="Arial"/>
          <w:sz w:val="24"/>
          <w:szCs w:val="24"/>
        </w:rPr>
        <w:t xml:space="preserve">eads of </w:t>
      </w:r>
      <w:r w:rsidR="004263EC">
        <w:rPr>
          <w:rFonts w:ascii="Arial" w:hAnsi="Arial" w:cs="Arial"/>
          <w:sz w:val="24"/>
          <w:szCs w:val="24"/>
        </w:rPr>
        <w:t>a</w:t>
      </w:r>
      <w:r>
        <w:rPr>
          <w:rFonts w:ascii="Arial" w:hAnsi="Arial" w:cs="Arial"/>
          <w:sz w:val="24"/>
          <w:szCs w:val="24"/>
        </w:rPr>
        <w:t>rg</w:t>
      </w:r>
      <w:r w:rsidR="004263EC">
        <w:rPr>
          <w:rFonts w:ascii="Arial" w:hAnsi="Arial" w:cs="Arial"/>
          <w:sz w:val="24"/>
          <w:szCs w:val="24"/>
        </w:rPr>
        <w:t>ument and l</w:t>
      </w:r>
      <w:r w:rsidR="00793D3B">
        <w:rPr>
          <w:rFonts w:ascii="Arial" w:hAnsi="Arial" w:cs="Arial"/>
          <w:sz w:val="24"/>
          <w:szCs w:val="24"/>
        </w:rPr>
        <w:t xml:space="preserve">ist of </w:t>
      </w:r>
      <w:r w:rsidR="004263EC">
        <w:rPr>
          <w:rFonts w:ascii="Arial" w:hAnsi="Arial" w:cs="Arial"/>
          <w:sz w:val="24"/>
          <w:szCs w:val="24"/>
        </w:rPr>
        <w:t>a</w:t>
      </w:r>
      <w:r w:rsidR="00793D3B">
        <w:rPr>
          <w:rFonts w:ascii="Arial" w:hAnsi="Arial" w:cs="Arial"/>
          <w:sz w:val="24"/>
          <w:szCs w:val="24"/>
        </w:rPr>
        <w:t xml:space="preserve">uthorities. </w:t>
      </w:r>
      <w:r>
        <w:rPr>
          <w:rFonts w:ascii="Arial" w:hAnsi="Arial" w:cs="Arial"/>
          <w:sz w:val="24"/>
          <w:szCs w:val="24"/>
        </w:rPr>
        <w:t>There is no affidavit in opposition or heads of argument filed by the defendant</w:t>
      </w:r>
      <w:r w:rsidR="004263EC">
        <w:rPr>
          <w:rFonts w:ascii="Arial" w:hAnsi="Arial" w:cs="Arial"/>
          <w:sz w:val="24"/>
          <w:szCs w:val="24"/>
        </w:rPr>
        <w:t xml:space="preserve"> company</w:t>
      </w:r>
      <w:r>
        <w:rPr>
          <w:rFonts w:ascii="Arial" w:hAnsi="Arial" w:cs="Arial"/>
          <w:sz w:val="24"/>
          <w:szCs w:val="24"/>
        </w:rPr>
        <w:t>.</w:t>
      </w:r>
    </w:p>
    <w:p w:rsidR="00202487" w:rsidRDefault="00202487" w:rsidP="00D61949">
      <w:pPr>
        <w:spacing w:after="0" w:line="360" w:lineRule="auto"/>
        <w:jc w:val="both"/>
        <w:rPr>
          <w:rFonts w:ascii="Arial" w:hAnsi="Arial" w:cs="Arial"/>
          <w:sz w:val="24"/>
          <w:szCs w:val="24"/>
        </w:rPr>
      </w:pPr>
    </w:p>
    <w:p w:rsidR="00B02352" w:rsidRDefault="00B02352" w:rsidP="00D61949">
      <w:pPr>
        <w:spacing w:after="0" w:line="360" w:lineRule="auto"/>
        <w:jc w:val="both"/>
        <w:rPr>
          <w:rFonts w:ascii="Arial" w:hAnsi="Arial" w:cs="Arial"/>
          <w:sz w:val="24"/>
          <w:szCs w:val="24"/>
        </w:rPr>
      </w:pPr>
      <w:r>
        <w:rPr>
          <w:rFonts w:ascii="Arial" w:hAnsi="Arial" w:cs="Arial"/>
          <w:sz w:val="24"/>
          <w:szCs w:val="24"/>
        </w:rPr>
        <w:t>Before me</w:t>
      </w:r>
      <w:r w:rsidR="00C307D5">
        <w:rPr>
          <w:rFonts w:ascii="Arial" w:hAnsi="Arial" w:cs="Arial"/>
          <w:sz w:val="24"/>
          <w:szCs w:val="24"/>
        </w:rPr>
        <w:t>,</w:t>
      </w:r>
      <w:r>
        <w:rPr>
          <w:rFonts w:ascii="Arial" w:hAnsi="Arial" w:cs="Arial"/>
          <w:sz w:val="24"/>
          <w:szCs w:val="24"/>
        </w:rPr>
        <w:t xml:space="preserve"> Mr. Twumasi, counsel for the plaintiff relied on the affidavit in support and submitted that following the award </w:t>
      </w:r>
      <w:r w:rsidR="004263EC">
        <w:rPr>
          <w:rFonts w:ascii="Arial" w:hAnsi="Arial" w:cs="Arial"/>
          <w:sz w:val="24"/>
          <w:szCs w:val="24"/>
        </w:rPr>
        <w:t xml:space="preserve">(“ES1”) </w:t>
      </w:r>
      <w:r>
        <w:rPr>
          <w:rFonts w:ascii="Arial" w:hAnsi="Arial" w:cs="Arial"/>
          <w:sz w:val="24"/>
          <w:szCs w:val="24"/>
        </w:rPr>
        <w:t xml:space="preserve">by the arbitrator which was registered in this </w:t>
      </w:r>
      <w:r w:rsidR="00841BB5">
        <w:rPr>
          <w:rFonts w:ascii="Arial" w:hAnsi="Arial" w:cs="Arial"/>
          <w:sz w:val="24"/>
          <w:szCs w:val="24"/>
        </w:rPr>
        <w:t>c</w:t>
      </w:r>
      <w:r>
        <w:rPr>
          <w:rFonts w:ascii="Arial" w:hAnsi="Arial" w:cs="Arial"/>
          <w:sz w:val="24"/>
          <w:szCs w:val="24"/>
        </w:rPr>
        <w:t>ourt on 24</w:t>
      </w:r>
      <w:r w:rsidRPr="00B02352">
        <w:rPr>
          <w:rFonts w:ascii="Arial" w:hAnsi="Arial" w:cs="Arial"/>
          <w:sz w:val="24"/>
          <w:szCs w:val="24"/>
          <w:vertAlign w:val="superscript"/>
        </w:rPr>
        <w:t>th</w:t>
      </w:r>
      <w:r>
        <w:rPr>
          <w:rFonts w:ascii="Arial" w:hAnsi="Arial" w:cs="Arial"/>
          <w:sz w:val="24"/>
          <w:szCs w:val="24"/>
        </w:rPr>
        <w:t xml:space="preserve"> </w:t>
      </w:r>
      <w:r w:rsidR="00793D3B">
        <w:rPr>
          <w:rFonts w:ascii="Arial" w:hAnsi="Arial" w:cs="Arial"/>
          <w:sz w:val="24"/>
          <w:szCs w:val="24"/>
        </w:rPr>
        <w:t>April</w:t>
      </w:r>
      <w:r>
        <w:rPr>
          <w:rFonts w:ascii="Arial" w:hAnsi="Arial" w:cs="Arial"/>
          <w:sz w:val="24"/>
          <w:szCs w:val="24"/>
        </w:rPr>
        <w:t xml:space="preserve">, 2009, and the refusal to set aside </w:t>
      </w:r>
      <w:r w:rsidR="00550352">
        <w:rPr>
          <w:rFonts w:ascii="Arial" w:hAnsi="Arial" w:cs="Arial"/>
          <w:sz w:val="24"/>
          <w:szCs w:val="24"/>
        </w:rPr>
        <w:t xml:space="preserve">the award by this </w:t>
      </w:r>
      <w:r w:rsidR="00841BB5">
        <w:rPr>
          <w:rFonts w:ascii="Arial" w:hAnsi="Arial" w:cs="Arial"/>
          <w:sz w:val="24"/>
          <w:szCs w:val="24"/>
        </w:rPr>
        <w:t>c</w:t>
      </w:r>
      <w:r w:rsidR="00550352">
        <w:rPr>
          <w:rFonts w:ascii="Arial" w:hAnsi="Arial" w:cs="Arial"/>
          <w:sz w:val="24"/>
          <w:szCs w:val="24"/>
        </w:rPr>
        <w:t>ourt and the Supreme Court (“ES2”), the plaintiff proceeded to attempt execution by writ of fi</w:t>
      </w:r>
      <w:r w:rsidR="00C307D5">
        <w:rPr>
          <w:rFonts w:ascii="Arial" w:hAnsi="Arial" w:cs="Arial"/>
          <w:sz w:val="24"/>
          <w:szCs w:val="24"/>
        </w:rPr>
        <w:t>.</w:t>
      </w:r>
      <w:r w:rsidR="00550352">
        <w:rPr>
          <w:rFonts w:ascii="Arial" w:hAnsi="Arial" w:cs="Arial"/>
          <w:sz w:val="24"/>
          <w:szCs w:val="24"/>
        </w:rPr>
        <w:t>fa, but the same failed</w:t>
      </w:r>
      <w:r w:rsidR="00BA30D8">
        <w:rPr>
          <w:rFonts w:ascii="Arial" w:hAnsi="Arial" w:cs="Arial"/>
          <w:sz w:val="24"/>
          <w:szCs w:val="24"/>
        </w:rPr>
        <w:t xml:space="preserve">. The </w:t>
      </w:r>
      <w:r w:rsidR="00550352">
        <w:rPr>
          <w:rFonts w:ascii="Arial" w:hAnsi="Arial" w:cs="Arial"/>
          <w:sz w:val="24"/>
          <w:szCs w:val="24"/>
        </w:rPr>
        <w:t xml:space="preserve">report filed by the </w:t>
      </w:r>
      <w:r w:rsidR="00793D3B">
        <w:rPr>
          <w:rFonts w:ascii="Arial" w:hAnsi="Arial" w:cs="Arial"/>
          <w:sz w:val="24"/>
          <w:szCs w:val="24"/>
        </w:rPr>
        <w:t xml:space="preserve">Sherriff is exhibited (“ES3”). </w:t>
      </w:r>
      <w:r w:rsidR="00550352">
        <w:rPr>
          <w:rFonts w:ascii="Arial" w:hAnsi="Arial" w:cs="Arial"/>
          <w:sz w:val="24"/>
          <w:szCs w:val="24"/>
        </w:rPr>
        <w:t xml:space="preserve">Counsel submitted that equitable execution is necessary because of the nature of the business the defendants are engaged in, that of mining emeralds; and that the only asset which is available from which the plaintiff can recover is the mining licence and the mine itself, as the defendants have no property on the premises, but are </w:t>
      </w:r>
      <w:r w:rsidR="00687B7F">
        <w:rPr>
          <w:rFonts w:ascii="Arial" w:hAnsi="Arial" w:cs="Arial"/>
          <w:sz w:val="24"/>
          <w:szCs w:val="24"/>
        </w:rPr>
        <w:t>carrying on a successful business as deposed in para 14 of the first affidavit, from which they are able to raise funds, but they have made no attempt to settle the amounts owing to the plaintiff.</w:t>
      </w:r>
    </w:p>
    <w:p w:rsidR="00687B7F" w:rsidRDefault="00687B7F" w:rsidP="00D61949">
      <w:pPr>
        <w:spacing w:after="0" w:line="360" w:lineRule="auto"/>
        <w:jc w:val="both"/>
        <w:rPr>
          <w:rFonts w:ascii="Arial" w:hAnsi="Arial" w:cs="Arial"/>
          <w:sz w:val="24"/>
          <w:szCs w:val="24"/>
        </w:rPr>
      </w:pPr>
    </w:p>
    <w:p w:rsidR="00113430" w:rsidRDefault="00687B7F" w:rsidP="00D61949">
      <w:pPr>
        <w:spacing w:after="0" w:line="360" w:lineRule="auto"/>
        <w:jc w:val="both"/>
        <w:rPr>
          <w:rFonts w:ascii="Arial" w:hAnsi="Arial" w:cs="Arial"/>
          <w:sz w:val="24"/>
          <w:szCs w:val="24"/>
        </w:rPr>
      </w:pPr>
      <w:r>
        <w:rPr>
          <w:rFonts w:ascii="Arial" w:hAnsi="Arial" w:cs="Arial"/>
          <w:sz w:val="24"/>
          <w:szCs w:val="24"/>
        </w:rPr>
        <w:t>Counsel further submit</w:t>
      </w:r>
      <w:r w:rsidR="00623740">
        <w:rPr>
          <w:rFonts w:ascii="Arial" w:hAnsi="Arial" w:cs="Arial"/>
          <w:sz w:val="24"/>
          <w:szCs w:val="24"/>
        </w:rPr>
        <w:t>t</w:t>
      </w:r>
      <w:r w:rsidR="00BA30D8">
        <w:rPr>
          <w:rFonts w:ascii="Arial" w:hAnsi="Arial" w:cs="Arial"/>
          <w:sz w:val="24"/>
          <w:szCs w:val="24"/>
        </w:rPr>
        <w:t xml:space="preserve">ed that the fact </w:t>
      </w:r>
      <w:r w:rsidR="004263EC">
        <w:rPr>
          <w:rFonts w:ascii="Arial" w:hAnsi="Arial" w:cs="Arial"/>
          <w:sz w:val="24"/>
          <w:szCs w:val="24"/>
        </w:rPr>
        <w:t>that</w:t>
      </w:r>
      <w:r w:rsidR="00BA30D8">
        <w:rPr>
          <w:rFonts w:ascii="Arial" w:hAnsi="Arial" w:cs="Arial"/>
          <w:sz w:val="24"/>
          <w:szCs w:val="24"/>
        </w:rPr>
        <w:t xml:space="preserve"> the defendant</w:t>
      </w:r>
      <w:r>
        <w:rPr>
          <w:rFonts w:ascii="Arial" w:hAnsi="Arial" w:cs="Arial"/>
          <w:sz w:val="24"/>
          <w:szCs w:val="24"/>
        </w:rPr>
        <w:t xml:space="preserve">s </w:t>
      </w:r>
      <w:r w:rsidR="004263EC">
        <w:rPr>
          <w:rFonts w:ascii="Arial" w:hAnsi="Arial" w:cs="Arial"/>
          <w:sz w:val="24"/>
          <w:szCs w:val="24"/>
        </w:rPr>
        <w:t xml:space="preserve">are </w:t>
      </w:r>
      <w:r>
        <w:rPr>
          <w:rFonts w:ascii="Arial" w:hAnsi="Arial" w:cs="Arial"/>
          <w:sz w:val="24"/>
          <w:szCs w:val="24"/>
        </w:rPr>
        <w:t>operating a successful business is evident from the fact that as of March, 2012, they offered to pay the award in the sums of US$100,000</w:t>
      </w:r>
      <w:r w:rsidR="004263EC" w:rsidRPr="004263EC">
        <w:rPr>
          <w:rFonts w:ascii="Arial" w:hAnsi="Arial" w:cs="Arial"/>
          <w:sz w:val="24"/>
          <w:szCs w:val="24"/>
        </w:rPr>
        <w:t xml:space="preserve"> </w:t>
      </w:r>
      <w:r w:rsidR="004263EC">
        <w:rPr>
          <w:rFonts w:ascii="Arial" w:hAnsi="Arial" w:cs="Arial"/>
          <w:sz w:val="24"/>
          <w:szCs w:val="24"/>
        </w:rPr>
        <w:t>and K100,000,000.00</w:t>
      </w:r>
      <w:r>
        <w:rPr>
          <w:rFonts w:ascii="Arial" w:hAnsi="Arial" w:cs="Arial"/>
          <w:sz w:val="24"/>
          <w:szCs w:val="24"/>
        </w:rPr>
        <w:t xml:space="preserve"> by 21</w:t>
      </w:r>
      <w:r w:rsidRPr="00687B7F">
        <w:rPr>
          <w:rFonts w:ascii="Arial" w:hAnsi="Arial" w:cs="Arial"/>
          <w:sz w:val="24"/>
          <w:szCs w:val="24"/>
          <w:vertAlign w:val="superscript"/>
        </w:rPr>
        <w:t>st</w:t>
      </w:r>
      <w:r>
        <w:rPr>
          <w:rFonts w:ascii="Arial" w:hAnsi="Arial" w:cs="Arial"/>
          <w:sz w:val="24"/>
          <w:szCs w:val="24"/>
        </w:rPr>
        <w:t xml:space="preserve"> July, 2012 (“ES8”), but they have neglected to do so, and are willfully</w:t>
      </w:r>
      <w:r w:rsidR="00793D3B">
        <w:rPr>
          <w:rFonts w:ascii="Arial" w:hAnsi="Arial" w:cs="Arial"/>
          <w:sz w:val="24"/>
          <w:szCs w:val="24"/>
        </w:rPr>
        <w:t xml:space="preserve"> refusing to settle the award. </w:t>
      </w:r>
      <w:r>
        <w:rPr>
          <w:rFonts w:ascii="Arial" w:hAnsi="Arial" w:cs="Arial"/>
          <w:sz w:val="24"/>
          <w:szCs w:val="24"/>
        </w:rPr>
        <w:t>He contended that the defendants get third parties to mine and whatever product is mined is moved immediately from the mine and that an equitable execution by appointment of a receiver is necessary.</w:t>
      </w:r>
      <w:r w:rsidR="004263EC">
        <w:rPr>
          <w:rFonts w:ascii="Arial" w:hAnsi="Arial" w:cs="Arial"/>
          <w:sz w:val="24"/>
          <w:szCs w:val="24"/>
        </w:rPr>
        <w:t xml:space="preserve"> </w:t>
      </w:r>
      <w:r>
        <w:rPr>
          <w:rFonts w:ascii="Arial" w:hAnsi="Arial" w:cs="Arial"/>
          <w:sz w:val="24"/>
          <w:szCs w:val="24"/>
        </w:rPr>
        <w:t>Counsel referred to my ruling of 14</w:t>
      </w:r>
      <w:r w:rsidRPr="00687B7F">
        <w:rPr>
          <w:rFonts w:ascii="Arial" w:hAnsi="Arial" w:cs="Arial"/>
          <w:sz w:val="24"/>
          <w:szCs w:val="24"/>
          <w:vertAlign w:val="superscript"/>
        </w:rPr>
        <w:t>th</w:t>
      </w:r>
      <w:r>
        <w:rPr>
          <w:rFonts w:ascii="Arial" w:hAnsi="Arial" w:cs="Arial"/>
          <w:sz w:val="24"/>
          <w:szCs w:val="24"/>
        </w:rPr>
        <w:t xml:space="preserve"> July, 2010, (</w:t>
      </w:r>
      <w:r w:rsidR="004263EC">
        <w:rPr>
          <w:rFonts w:ascii="Arial" w:hAnsi="Arial" w:cs="Arial"/>
          <w:sz w:val="24"/>
          <w:szCs w:val="24"/>
        </w:rPr>
        <w:t>“</w:t>
      </w:r>
      <w:r>
        <w:rPr>
          <w:rFonts w:ascii="Arial" w:hAnsi="Arial" w:cs="Arial"/>
          <w:sz w:val="24"/>
          <w:szCs w:val="24"/>
        </w:rPr>
        <w:t>ES1</w:t>
      </w:r>
      <w:r w:rsidR="004263EC">
        <w:rPr>
          <w:rFonts w:ascii="Arial" w:hAnsi="Arial" w:cs="Arial"/>
          <w:sz w:val="24"/>
          <w:szCs w:val="24"/>
        </w:rPr>
        <w:t>”</w:t>
      </w:r>
      <w:r>
        <w:rPr>
          <w:rFonts w:ascii="Arial" w:hAnsi="Arial" w:cs="Arial"/>
          <w:sz w:val="24"/>
          <w:szCs w:val="24"/>
        </w:rPr>
        <w:t xml:space="preserve"> on further a</w:t>
      </w:r>
      <w:r w:rsidR="00BA30D8">
        <w:rPr>
          <w:rFonts w:ascii="Arial" w:hAnsi="Arial" w:cs="Arial"/>
          <w:sz w:val="24"/>
          <w:szCs w:val="24"/>
        </w:rPr>
        <w:t>ffidavit), and urged that this c</w:t>
      </w:r>
      <w:r>
        <w:rPr>
          <w:rFonts w:ascii="Arial" w:hAnsi="Arial" w:cs="Arial"/>
          <w:sz w:val="24"/>
          <w:szCs w:val="24"/>
        </w:rPr>
        <w:t xml:space="preserve">ourt </w:t>
      </w:r>
      <w:r w:rsidR="004438FA">
        <w:rPr>
          <w:rFonts w:ascii="Arial" w:hAnsi="Arial" w:cs="Arial"/>
          <w:sz w:val="24"/>
          <w:szCs w:val="24"/>
        </w:rPr>
        <w:t xml:space="preserve">had directed, when </w:t>
      </w:r>
      <w:r w:rsidR="004752A0">
        <w:rPr>
          <w:rFonts w:ascii="Arial" w:hAnsi="Arial" w:cs="Arial"/>
          <w:sz w:val="24"/>
          <w:szCs w:val="24"/>
        </w:rPr>
        <w:t>the</w:t>
      </w:r>
      <w:r w:rsidR="004438FA">
        <w:rPr>
          <w:rFonts w:ascii="Arial" w:hAnsi="Arial" w:cs="Arial"/>
          <w:sz w:val="24"/>
          <w:szCs w:val="24"/>
        </w:rPr>
        <w:t xml:space="preserve"> stay of execution of the arbitral award was granted pending determination of the appeal against the order refusing leave to appeal out of time, that the plaintiff </w:t>
      </w:r>
      <w:r w:rsidR="00841BB5">
        <w:rPr>
          <w:rFonts w:ascii="Arial" w:hAnsi="Arial" w:cs="Arial"/>
          <w:sz w:val="24"/>
          <w:szCs w:val="24"/>
        </w:rPr>
        <w:t>be</w:t>
      </w:r>
      <w:r w:rsidR="004438FA">
        <w:rPr>
          <w:rFonts w:ascii="Arial" w:hAnsi="Arial" w:cs="Arial"/>
          <w:sz w:val="24"/>
          <w:szCs w:val="24"/>
        </w:rPr>
        <w:t xml:space="preserve"> paid the full arbitral award withou</w:t>
      </w:r>
      <w:r w:rsidR="00793D3B">
        <w:rPr>
          <w:rFonts w:ascii="Arial" w:hAnsi="Arial" w:cs="Arial"/>
          <w:sz w:val="24"/>
          <w:szCs w:val="24"/>
        </w:rPr>
        <w:t xml:space="preserve">t delay, if the appeal failed. </w:t>
      </w:r>
    </w:p>
    <w:p w:rsidR="00113430" w:rsidRDefault="00113430">
      <w:pPr>
        <w:rPr>
          <w:rFonts w:ascii="Arial" w:hAnsi="Arial" w:cs="Arial"/>
          <w:sz w:val="24"/>
          <w:szCs w:val="24"/>
        </w:rPr>
      </w:pPr>
      <w:r>
        <w:rPr>
          <w:rFonts w:ascii="Arial" w:hAnsi="Arial" w:cs="Arial"/>
          <w:sz w:val="24"/>
          <w:szCs w:val="24"/>
        </w:rPr>
        <w:br w:type="page"/>
      </w:r>
    </w:p>
    <w:p w:rsidR="00C307D5" w:rsidRDefault="004438FA" w:rsidP="00D61949">
      <w:pPr>
        <w:spacing w:after="0" w:line="360" w:lineRule="auto"/>
        <w:jc w:val="both"/>
        <w:rPr>
          <w:rFonts w:ascii="Arial" w:hAnsi="Arial" w:cs="Arial"/>
          <w:sz w:val="24"/>
          <w:szCs w:val="24"/>
        </w:rPr>
      </w:pPr>
      <w:r>
        <w:rPr>
          <w:rFonts w:ascii="Arial" w:hAnsi="Arial" w:cs="Arial"/>
          <w:sz w:val="24"/>
          <w:szCs w:val="24"/>
        </w:rPr>
        <w:lastRenderedPageBreak/>
        <w:t>He stated that the appeal failed on 24</w:t>
      </w:r>
      <w:r w:rsidRPr="004438FA">
        <w:rPr>
          <w:rFonts w:ascii="Arial" w:hAnsi="Arial" w:cs="Arial"/>
          <w:sz w:val="24"/>
          <w:szCs w:val="24"/>
          <w:vertAlign w:val="superscript"/>
        </w:rPr>
        <w:t>th</w:t>
      </w:r>
      <w:r>
        <w:rPr>
          <w:rFonts w:ascii="Arial" w:hAnsi="Arial" w:cs="Arial"/>
          <w:sz w:val="24"/>
          <w:szCs w:val="24"/>
        </w:rPr>
        <w:t xml:space="preserve"> November, 2011, but the defendants have not complied with this </w:t>
      </w:r>
      <w:r w:rsidR="00841BB5">
        <w:rPr>
          <w:rFonts w:ascii="Arial" w:hAnsi="Arial" w:cs="Arial"/>
          <w:sz w:val="24"/>
          <w:szCs w:val="24"/>
        </w:rPr>
        <w:t>c</w:t>
      </w:r>
      <w:r>
        <w:rPr>
          <w:rFonts w:ascii="Arial" w:hAnsi="Arial" w:cs="Arial"/>
          <w:sz w:val="24"/>
          <w:szCs w:val="24"/>
        </w:rPr>
        <w:t>ourt’s order although they are running a successful business.</w:t>
      </w:r>
      <w:r w:rsidR="00C307D5">
        <w:rPr>
          <w:rFonts w:ascii="Arial" w:hAnsi="Arial" w:cs="Arial"/>
          <w:sz w:val="24"/>
          <w:szCs w:val="24"/>
        </w:rPr>
        <w:t xml:space="preserve"> </w:t>
      </w:r>
      <w:r>
        <w:rPr>
          <w:rFonts w:ascii="Arial" w:hAnsi="Arial" w:cs="Arial"/>
          <w:sz w:val="24"/>
          <w:szCs w:val="24"/>
        </w:rPr>
        <w:t xml:space="preserve">Counsel referred me </w:t>
      </w:r>
      <w:r w:rsidR="00841BB5">
        <w:rPr>
          <w:rFonts w:ascii="Arial" w:hAnsi="Arial" w:cs="Arial"/>
          <w:sz w:val="24"/>
          <w:szCs w:val="24"/>
        </w:rPr>
        <w:t xml:space="preserve">also </w:t>
      </w:r>
      <w:r>
        <w:rPr>
          <w:rFonts w:ascii="Arial" w:hAnsi="Arial" w:cs="Arial"/>
          <w:sz w:val="24"/>
          <w:szCs w:val="24"/>
        </w:rPr>
        <w:t xml:space="preserve">to a book by Gray Evans titled Enforcement of Money Judgments, Butterworths, London 1995 at pages 121 and 122, where he says it is indicated that the </w:t>
      </w:r>
      <w:r w:rsidR="00841BB5">
        <w:rPr>
          <w:rFonts w:ascii="Arial" w:hAnsi="Arial" w:cs="Arial"/>
          <w:sz w:val="24"/>
          <w:szCs w:val="24"/>
        </w:rPr>
        <w:t>c</w:t>
      </w:r>
      <w:r>
        <w:rPr>
          <w:rFonts w:ascii="Arial" w:hAnsi="Arial" w:cs="Arial"/>
          <w:sz w:val="24"/>
          <w:szCs w:val="24"/>
        </w:rPr>
        <w:t xml:space="preserve">ourt may appoint a receiver </w:t>
      </w:r>
      <w:r w:rsidR="004752A0">
        <w:rPr>
          <w:rFonts w:ascii="Arial" w:hAnsi="Arial" w:cs="Arial"/>
          <w:sz w:val="24"/>
          <w:szCs w:val="24"/>
        </w:rPr>
        <w:t>i</w:t>
      </w:r>
      <w:r>
        <w:rPr>
          <w:rFonts w:ascii="Arial" w:hAnsi="Arial" w:cs="Arial"/>
          <w:sz w:val="24"/>
          <w:szCs w:val="24"/>
        </w:rPr>
        <w:t>n equitable execution where (a) the common and usual procedure of execution such as a writ of fi</w:t>
      </w:r>
      <w:r w:rsidR="00C307D5">
        <w:rPr>
          <w:rFonts w:ascii="Arial" w:hAnsi="Arial" w:cs="Arial"/>
          <w:sz w:val="24"/>
          <w:szCs w:val="24"/>
        </w:rPr>
        <w:t>.</w:t>
      </w:r>
      <w:r>
        <w:rPr>
          <w:rFonts w:ascii="Arial" w:hAnsi="Arial" w:cs="Arial"/>
          <w:sz w:val="24"/>
          <w:szCs w:val="24"/>
        </w:rPr>
        <w:t>fa has failed</w:t>
      </w:r>
      <w:r w:rsidR="004752A0">
        <w:rPr>
          <w:rFonts w:ascii="Arial" w:hAnsi="Arial" w:cs="Arial"/>
          <w:sz w:val="24"/>
          <w:szCs w:val="24"/>
        </w:rPr>
        <w:t>;</w:t>
      </w:r>
      <w:r>
        <w:rPr>
          <w:rFonts w:ascii="Arial" w:hAnsi="Arial" w:cs="Arial"/>
          <w:sz w:val="24"/>
          <w:szCs w:val="24"/>
        </w:rPr>
        <w:t xml:space="preserve"> and </w:t>
      </w:r>
      <w:r w:rsidR="004752A0">
        <w:rPr>
          <w:rFonts w:ascii="Arial" w:hAnsi="Arial" w:cs="Arial"/>
          <w:sz w:val="24"/>
          <w:szCs w:val="24"/>
        </w:rPr>
        <w:t xml:space="preserve">(b) </w:t>
      </w:r>
      <w:r>
        <w:rPr>
          <w:rFonts w:ascii="Arial" w:hAnsi="Arial" w:cs="Arial"/>
          <w:sz w:val="24"/>
          <w:szCs w:val="24"/>
        </w:rPr>
        <w:t xml:space="preserve">in the instance where the defendant is </w:t>
      </w:r>
      <w:r w:rsidR="00793D3B">
        <w:rPr>
          <w:rFonts w:ascii="Arial" w:hAnsi="Arial" w:cs="Arial"/>
          <w:sz w:val="24"/>
          <w:szCs w:val="24"/>
        </w:rPr>
        <w:t>running a successful business.</w:t>
      </w:r>
    </w:p>
    <w:p w:rsidR="00202487" w:rsidRDefault="00202487" w:rsidP="00D61949">
      <w:pPr>
        <w:spacing w:after="0" w:line="360" w:lineRule="auto"/>
        <w:jc w:val="both"/>
        <w:rPr>
          <w:rFonts w:ascii="Arial" w:hAnsi="Arial" w:cs="Arial"/>
          <w:sz w:val="24"/>
          <w:szCs w:val="24"/>
        </w:rPr>
      </w:pPr>
    </w:p>
    <w:p w:rsidR="004438FA" w:rsidRDefault="004438FA" w:rsidP="00D61949">
      <w:pPr>
        <w:spacing w:after="0" w:line="360" w:lineRule="auto"/>
        <w:jc w:val="both"/>
        <w:rPr>
          <w:rFonts w:ascii="Arial" w:hAnsi="Arial" w:cs="Arial"/>
          <w:sz w:val="24"/>
          <w:szCs w:val="24"/>
        </w:rPr>
      </w:pPr>
      <w:r>
        <w:rPr>
          <w:rFonts w:ascii="Arial" w:hAnsi="Arial" w:cs="Arial"/>
          <w:sz w:val="24"/>
          <w:szCs w:val="24"/>
        </w:rPr>
        <w:t>He also su</w:t>
      </w:r>
      <w:r w:rsidR="00B100B9">
        <w:rPr>
          <w:rFonts w:ascii="Arial" w:hAnsi="Arial" w:cs="Arial"/>
          <w:sz w:val="24"/>
          <w:szCs w:val="24"/>
        </w:rPr>
        <w:t>bmitted that in terms of O</w:t>
      </w:r>
      <w:r>
        <w:rPr>
          <w:rFonts w:ascii="Arial" w:hAnsi="Arial" w:cs="Arial"/>
          <w:sz w:val="24"/>
          <w:szCs w:val="24"/>
        </w:rPr>
        <w:t xml:space="preserve">rder 30 rule 1(1) RSC, the power of the </w:t>
      </w:r>
      <w:r w:rsidR="004752A0">
        <w:rPr>
          <w:rFonts w:ascii="Arial" w:hAnsi="Arial" w:cs="Arial"/>
          <w:sz w:val="24"/>
          <w:szCs w:val="24"/>
        </w:rPr>
        <w:t>c</w:t>
      </w:r>
      <w:r>
        <w:rPr>
          <w:rFonts w:ascii="Arial" w:hAnsi="Arial" w:cs="Arial"/>
          <w:sz w:val="24"/>
          <w:szCs w:val="24"/>
        </w:rPr>
        <w:t xml:space="preserve">ourt to appoint a receiver are very wide and that the </w:t>
      </w:r>
      <w:r w:rsidR="004752A0">
        <w:rPr>
          <w:rFonts w:ascii="Arial" w:hAnsi="Arial" w:cs="Arial"/>
          <w:sz w:val="24"/>
          <w:szCs w:val="24"/>
        </w:rPr>
        <w:t>c</w:t>
      </w:r>
      <w:r>
        <w:rPr>
          <w:rFonts w:ascii="Arial" w:hAnsi="Arial" w:cs="Arial"/>
          <w:sz w:val="24"/>
          <w:szCs w:val="24"/>
        </w:rPr>
        <w:t xml:space="preserve">ourt will do so where it is just and convenient for purposes of ensuring that the orders of the </w:t>
      </w:r>
      <w:r w:rsidR="00841BB5">
        <w:rPr>
          <w:rFonts w:ascii="Arial" w:hAnsi="Arial" w:cs="Arial"/>
          <w:sz w:val="24"/>
          <w:szCs w:val="24"/>
        </w:rPr>
        <w:t>c</w:t>
      </w:r>
      <w:r>
        <w:rPr>
          <w:rFonts w:ascii="Arial" w:hAnsi="Arial" w:cs="Arial"/>
          <w:sz w:val="24"/>
          <w:szCs w:val="24"/>
        </w:rPr>
        <w:t>ourt are enforced.</w:t>
      </w:r>
      <w:r w:rsidR="004752A0">
        <w:rPr>
          <w:rFonts w:ascii="Arial" w:hAnsi="Arial" w:cs="Arial"/>
          <w:sz w:val="24"/>
          <w:szCs w:val="24"/>
        </w:rPr>
        <w:t xml:space="preserve"> </w:t>
      </w:r>
      <w:r>
        <w:rPr>
          <w:rFonts w:ascii="Arial" w:hAnsi="Arial" w:cs="Arial"/>
          <w:sz w:val="24"/>
          <w:szCs w:val="24"/>
        </w:rPr>
        <w:t>Counsel submit</w:t>
      </w:r>
      <w:r w:rsidR="00841BB5">
        <w:rPr>
          <w:rFonts w:ascii="Arial" w:hAnsi="Arial" w:cs="Arial"/>
          <w:sz w:val="24"/>
          <w:szCs w:val="24"/>
        </w:rPr>
        <w:t>ted</w:t>
      </w:r>
      <w:r>
        <w:rPr>
          <w:rFonts w:ascii="Arial" w:hAnsi="Arial" w:cs="Arial"/>
          <w:sz w:val="24"/>
          <w:szCs w:val="24"/>
        </w:rPr>
        <w:t xml:space="preserve"> that the plaintiff has proposed the appointment of Mr. Elijah C. Banda, SC as receiver as he meets the criteria of a fit and proper person as required under the said order and that if he is so appointed, he would comply with any orders that this </w:t>
      </w:r>
      <w:r w:rsidR="00841BB5">
        <w:rPr>
          <w:rFonts w:ascii="Arial" w:hAnsi="Arial" w:cs="Arial"/>
          <w:sz w:val="24"/>
          <w:szCs w:val="24"/>
        </w:rPr>
        <w:t>c</w:t>
      </w:r>
      <w:r>
        <w:rPr>
          <w:rFonts w:ascii="Arial" w:hAnsi="Arial" w:cs="Arial"/>
          <w:sz w:val="24"/>
          <w:szCs w:val="24"/>
        </w:rPr>
        <w:t xml:space="preserve">ourt will grant relating to his appointment as receiver; and that the </w:t>
      </w:r>
      <w:r w:rsidR="00841BB5">
        <w:rPr>
          <w:rFonts w:ascii="Arial" w:hAnsi="Arial" w:cs="Arial"/>
          <w:sz w:val="24"/>
          <w:szCs w:val="24"/>
        </w:rPr>
        <w:t>c</w:t>
      </w:r>
      <w:r>
        <w:rPr>
          <w:rFonts w:ascii="Arial" w:hAnsi="Arial" w:cs="Arial"/>
          <w:sz w:val="24"/>
          <w:szCs w:val="24"/>
        </w:rPr>
        <w:t xml:space="preserve">ourt can regulate a receiver appointed in equitable execution and can give direction to him on how he can proceed to recover </w:t>
      </w:r>
      <w:r w:rsidR="00841BB5">
        <w:rPr>
          <w:rFonts w:ascii="Arial" w:hAnsi="Arial" w:cs="Arial"/>
          <w:sz w:val="24"/>
          <w:szCs w:val="24"/>
        </w:rPr>
        <w:t>the amounts</w:t>
      </w:r>
      <w:r>
        <w:rPr>
          <w:rFonts w:ascii="Arial" w:hAnsi="Arial" w:cs="Arial"/>
          <w:sz w:val="24"/>
          <w:szCs w:val="24"/>
        </w:rPr>
        <w:t xml:space="preserve"> which the plaintiff claims.</w:t>
      </w:r>
    </w:p>
    <w:p w:rsidR="004438FA" w:rsidRDefault="004438FA" w:rsidP="00D61949">
      <w:pPr>
        <w:spacing w:after="0" w:line="360" w:lineRule="auto"/>
        <w:jc w:val="both"/>
        <w:rPr>
          <w:rFonts w:ascii="Arial" w:hAnsi="Arial" w:cs="Arial"/>
          <w:sz w:val="24"/>
          <w:szCs w:val="24"/>
        </w:rPr>
      </w:pPr>
    </w:p>
    <w:p w:rsidR="004438FA" w:rsidRDefault="004438FA" w:rsidP="00D61949">
      <w:pPr>
        <w:spacing w:after="0" w:line="360" w:lineRule="auto"/>
        <w:jc w:val="both"/>
        <w:rPr>
          <w:rFonts w:ascii="Arial" w:hAnsi="Arial" w:cs="Arial"/>
          <w:sz w:val="24"/>
          <w:szCs w:val="24"/>
        </w:rPr>
      </w:pPr>
      <w:r>
        <w:rPr>
          <w:rFonts w:ascii="Arial" w:hAnsi="Arial" w:cs="Arial"/>
          <w:sz w:val="24"/>
          <w:szCs w:val="24"/>
        </w:rPr>
        <w:t>With regard to the second leg of the application, counsel urged that in my judgment of 14</w:t>
      </w:r>
      <w:r w:rsidRPr="004438FA">
        <w:rPr>
          <w:rFonts w:ascii="Arial" w:hAnsi="Arial" w:cs="Arial"/>
          <w:sz w:val="24"/>
          <w:szCs w:val="24"/>
          <w:vertAlign w:val="superscript"/>
        </w:rPr>
        <w:t>th</w:t>
      </w:r>
      <w:r>
        <w:rPr>
          <w:rFonts w:ascii="Arial" w:hAnsi="Arial" w:cs="Arial"/>
          <w:sz w:val="24"/>
          <w:szCs w:val="24"/>
        </w:rPr>
        <w:t xml:space="preserve"> June, 2010, I directed the defendants to refrain from wasting or depleting the mine and that this is a form of injunction which the plaintiff applies that it be enforced.  Counsel argued that a mine is a wasting asset and that if the defendants continue to allow third parties to mine as stated in para</w:t>
      </w:r>
      <w:r w:rsidR="00841BB5">
        <w:rPr>
          <w:rFonts w:ascii="Arial" w:hAnsi="Arial" w:cs="Arial"/>
          <w:sz w:val="24"/>
          <w:szCs w:val="24"/>
        </w:rPr>
        <w:t>s</w:t>
      </w:r>
      <w:r>
        <w:rPr>
          <w:rFonts w:ascii="Arial" w:hAnsi="Arial" w:cs="Arial"/>
          <w:sz w:val="24"/>
          <w:szCs w:val="24"/>
        </w:rPr>
        <w:t xml:space="preserve"> 20 to 22 of the first affidavit, it would be to the detriment and prejudice of the plaintiff.</w:t>
      </w:r>
    </w:p>
    <w:p w:rsidR="004438FA" w:rsidRDefault="004438FA" w:rsidP="00D61949">
      <w:pPr>
        <w:spacing w:after="0" w:line="360" w:lineRule="auto"/>
        <w:jc w:val="both"/>
        <w:rPr>
          <w:rFonts w:ascii="Arial" w:hAnsi="Arial" w:cs="Arial"/>
          <w:sz w:val="24"/>
          <w:szCs w:val="24"/>
        </w:rPr>
      </w:pPr>
    </w:p>
    <w:p w:rsidR="00113430" w:rsidRDefault="004438FA" w:rsidP="00D61949">
      <w:pPr>
        <w:spacing w:after="0" w:line="360" w:lineRule="auto"/>
        <w:jc w:val="both"/>
        <w:rPr>
          <w:rFonts w:ascii="Arial" w:hAnsi="Arial" w:cs="Arial"/>
          <w:sz w:val="24"/>
          <w:szCs w:val="24"/>
        </w:rPr>
      </w:pPr>
      <w:r>
        <w:rPr>
          <w:rFonts w:ascii="Arial" w:hAnsi="Arial" w:cs="Arial"/>
          <w:sz w:val="24"/>
          <w:szCs w:val="24"/>
        </w:rPr>
        <w:t xml:space="preserve">Mr. Chalenga, who has </w:t>
      </w:r>
      <w:r w:rsidR="00405E05">
        <w:rPr>
          <w:rFonts w:ascii="Arial" w:hAnsi="Arial" w:cs="Arial"/>
          <w:sz w:val="24"/>
          <w:szCs w:val="24"/>
        </w:rPr>
        <w:t>since</w:t>
      </w:r>
      <w:r>
        <w:rPr>
          <w:rFonts w:ascii="Arial" w:hAnsi="Arial" w:cs="Arial"/>
          <w:sz w:val="24"/>
          <w:szCs w:val="24"/>
        </w:rPr>
        <w:t xml:space="preserve"> taken over conduct of the matter on behalf of the defendant</w:t>
      </w:r>
      <w:r w:rsidR="004752A0">
        <w:rPr>
          <w:rFonts w:ascii="Arial" w:hAnsi="Arial" w:cs="Arial"/>
          <w:sz w:val="24"/>
          <w:szCs w:val="24"/>
        </w:rPr>
        <w:t>s</w:t>
      </w:r>
      <w:r>
        <w:rPr>
          <w:rFonts w:ascii="Arial" w:hAnsi="Arial" w:cs="Arial"/>
          <w:sz w:val="24"/>
          <w:szCs w:val="24"/>
        </w:rPr>
        <w:t xml:space="preserve">, submitted on what he terms the law, first that this application is anchored on </w:t>
      </w:r>
      <w:r w:rsidR="00841BB5">
        <w:rPr>
          <w:rFonts w:ascii="Arial" w:hAnsi="Arial" w:cs="Arial"/>
          <w:sz w:val="24"/>
          <w:szCs w:val="24"/>
        </w:rPr>
        <w:t>O</w:t>
      </w:r>
      <w:r>
        <w:rPr>
          <w:rFonts w:ascii="Arial" w:hAnsi="Arial" w:cs="Arial"/>
          <w:sz w:val="24"/>
          <w:szCs w:val="24"/>
        </w:rPr>
        <w:t xml:space="preserve">rder 30 Rule 1, RSC and that the application for injunction is </w:t>
      </w:r>
      <w:r w:rsidR="00405E05">
        <w:rPr>
          <w:rFonts w:ascii="Arial" w:hAnsi="Arial" w:cs="Arial"/>
          <w:sz w:val="24"/>
          <w:szCs w:val="24"/>
        </w:rPr>
        <w:t xml:space="preserve">ancillary </w:t>
      </w:r>
      <w:r>
        <w:rPr>
          <w:rFonts w:ascii="Arial" w:hAnsi="Arial" w:cs="Arial"/>
          <w:sz w:val="24"/>
          <w:szCs w:val="24"/>
        </w:rPr>
        <w:t xml:space="preserve">to the </w:t>
      </w:r>
      <w:r w:rsidR="00EE04D3">
        <w:rPr>
          <w:rFonts w:ascii="Arial" w:hAnsi="Arial" w:cs="Arial"/>
          <w:sz w:val="24"/>
          <w:szCs w:val="24"/>
        </w:rPr>
        <w:t xml:space="preserve">appointment of a receiver to manage the property of the defendant.  Counsel contended that it is a requirement under that order for the plaintiff to distinctly disclose to the </w:t>
      </w:r>
      <w:r w:rsidR="004752A0">
        <w:rPr>
          <w:rFonts w:ascii="Arial" w:hAnsi="Arial" w:cs="Arial"/>
          <w:sz w:val="24"/>
          <w:szCs w:val="24"/>
        </w:rPr>
        <w:t>c</w:t>
      </w:r>
      <w:r w:rsidR="00EE04D3">
        <w:rPr>
          <w:rFonts w:ascii="Arial" w:hAnsi="Arial" w:cs="Arial"/>
          <w:sz w:val="24"/>
          <w:szCs w:val="24"/>
        </w:rPr>
        <w:t>ourt the property over which the receiver is to be appointed</w:t>
      </w:r>
      <w:r w:rsidR="00113430">
        <w:rPr>
          <w:rFonts w:ascii="Arial" w:hAnsi="Arial" w:cs="Arial"/>
          <w:sz w:val="24"/>
          <w:szCs w:val="24"/>
        </w:rPr>
        <w:t>.</w:t>
      </w:r>
    </w:p>
    <w:p w:rsidR="004752A0" w:rsidRDefault="00113430" w:rsidP="00D61949">
      <w:pPr>
        <w:spacing w:after="0" w:line="360" w:lineRule="auto"/>
        <w:jc w:val="both"/>
        <w:rPr>
          <w:rFonts w:ascii="Arial" w:hAnsi="Arial" w:cs="Arial"/>
          <w:sz w:val="24"/>
          <w:szCs w:val="24"/>
        </w:rPr>
      </w:pPr>
      <w:r>
        <w:rPr>
          <w:rFonts w:ascii="Arial" w:hAnsi="Arial" w:cs="Arial"/>
          <w:sz w:val="24"/>
          <w:szCs w:val="24"/>
        </w:rPr>
        <w:lastRenderedPageBreak/>
        <w:t xml:space="preserve">Counsel submitted </w:t>
      </w:r>
      <w:r w:rsidR="00EE04D3">
        <w:rPr>
          <w:rFonts w:ascii="Arial" w:hAnsi="Arial" w:cs="Arial"/>
          <w:sz w:val="24"/>
          <w:szCs w:val="24"/>
        </w:rPr>
        <w:t xml:space="preserve">that </w:t>
      </w:r>
      <w:r w:rsidR="00841BB5">
        <w:rPr>
          <w:rFonts w:ascii="Arial" w:hAnsi="Arial" w:cs="Arial"/>
          <w:sz w:val="24"/>
          <w:szCs w:val="24"/>
        </w:rPr>
        <w:t xml:space="preserve">it is </w:t>
      </w:r>
      <w:r>
        <w:rPr>
          <w:rFonts w:ascii="Arial" w:hAnsi="Arial" w:cs="Arial"/>
          <w:sz w:val="24"/>
          <w:szCs w:val="24"/>
        </w:rPr>
        <w:t xml:space="preserve">also </w:t>
      </w:r>
      <w:r w:rsidR="00841BB5">
        <w:rPr>
          <w:rFonts w:ascii="Arial" w:hAnsi="Arial" w:cs="Arial"/>
          <w:sz w:val="24"/>
          <w:szCs w:val="24"/>
        </w:rPr>
        <w:t>a requirement under O</w:t>
      </w:r>
      <w:r w:rsidR="00EE04D3">
        <w:rPr>
          <w:rFonts w:ascii="Arial" w:hAnsi="Arial" w:cs="Arial"/>
          <w:sz w:val="24"/>
          <w:szCs w:val="24"/>
        </w:rPr>
        <w:t xml:space="preserve">rder 30 rule 1(7) for the plaintiff to file an affidavit of fitness for the person named or sought to be appointed as receiver and that this provision makes it mandatory that the affidavit must </w:t>
      </w:r>
      <w:r w:rsidR="00FC035C">
        <w:rPr>
          <w:rFonts w:ascii="Arial" w:hAnsi="Arial" w:cs="Arial"/>
          <w:sz w:val="24"/>
          <w:szCs w:val="24"/>
        </w:rPr>
        <w:t xml:space="preserve">not </w:t>
      </w:r>
      <w:r w:rsidR="00EE04D3">
        <w:rPr>
          <w:rFonts w:ascii="Arial" w:hAnsi="Arial" w:cs="Arial"/>
          <w:sz w:val="24"/>
          <w:szCs w:val="24"/>
        </w:rPr>
        <w:t>be made by the applicant or his solicitor.</w:t>
      </w:r>
      <w:r w:rsidR="00C307D5">
        <w:rPr>
          <w:rFonts w:ascii="Arial" w:hAnsi="Arial" w:cs="Arial"/>
          <w:sz w:val="24"/>
          <w:szCs w:val="24"/>
        </w:rPr>
        <w:t xml:space="preserve"> </w:t>
      </w:r>
    </w:p>
    <w:p w:rsidR="004752A0" w:rsidRDefault="004752A0" w:rsidP="00D61949">
      <w:pPr>
        <w:spacing w:after="0" w:line="360" w:lineRule="auto"/>
        <w:jc w:val="both"/>
        <w:rPr>
          <w:rFonts w:ascii="Arial" w:hAnsi="Arial" w:cs="Arial"/>
          <w:sz w:val="24"/>
          <w:szCs w:val="24"/>
        </w:rPr>
      </w:pPr>
    </w:p>
    <w:p w:rsidR="00EE04D3" w:rsidRDefault="00F847F5" w:rsidP="00D61949">
      <w:pPr>
        <w:spacing w:after="0" w:line="360" w:lineRule="auto"/>
        <w:jc w:val="both"/>
        <w:rPr>
          <w:rFonts w:ascii="Arial" w:hAnsi="Arial" w:cs="Arial"/>
          <w:sz w:val="24"/>
          <w:szCs w:val="24"/>
        </w:rPr>
      </w:pPr>
      <w:r>
        <w:rPr>
          <w:rFonts w:ascii="Arial" w:hAnsi="Arial" w:cs="Arial"/>
          <w:sz w:val="24"/>
          <w:szCs w:val="24"/>
        </w:rPr>
        <w:t>H</w:t>
      </w:r>
      <w:r w:rsidR="00EE04D3">
        <w:rPr>
          <w:rFonts w:ascii="Arial" w:hAnsi="Arial" w:cs="Arial"/>
          <w:sz w:val="24"/>
          <w:szCs w:val="24"/>
        </w:rPr>
        <w:t>e</w:t>
      </w:r>
      <w:r>
        <w:rPr>
          <w:rFonts w:ascii="Arial" w:hAnsi="Arial" w:cs="Arial"/>
          <w:sz w:val="24"/>
          <w:szCs w:val="24"/>
        </w:rPr>
        <w:t xml:space="preserve"> contend</w:t>
      </w:r>
      <w:r w:rsidR="00EE04D3">
        <w:rPr>
          <w:rFonts w:ascii="Arial" w:hAnsi="Arial" w:cs="Arial"/>
          <w:sz w:val="24"/>
          <w:szCs w:val="24"/>
        </w:rPr>
        <w:t>ed that the plaintiff’s affidavit</w:t>
      </w:r>
      <w:r w:rsidR="003E46DD">
        <w:rPr>
          <w:rFonts w:ascii="Arial" w:hAnsi="Arial" w:cs="Arial"/>
          <w:sz w:val="24"/>
          <w:szCs w:val="24"/>
        </w:rPr>
        <w:t>s</w:t>
      </w:r>
      <w:r w:rsidR="00EE04D3">
        <w:rPr>
          <w:rFonts w:ascii="Arial" w:hAnsi="Arial" w:cs="Arial"/>
          <w:sz w:val="24"/>
          <w:szCs w:val="24"/>
        </w:rPr>
        <w:t xml:space="preserve"> do not disclose the property for which the receiver is sought to be appointed and that reference to an emerald mine or a licence is not sufficient or adequate description of the property and that the application will leave the </w:t>
      </w:r>
      <w:r w:rsidR="004752A0">
        <w:rPr>
          <w:rFonts w:ascii="Arial" w:hAnsi="Arial" w:cs="Arial"/>
          <w:sz w:val="24"/>
          <w:szCs w:val="24"/>
        </w:rPr>
        <w:t>c</w:t>
      </w:r>
      <w:r w:rsidR="00EE04D3">
        <w:rPr>
          <w:rFonts w:ascii="Arial" w:hAnsi="Arial" w:cs="Arial"/>
          <w:sz w:val="24"/>
          <w:szCs w:val="24"/>
        </w:rPr>
        <w:t>ourt wondering as to what property the receiver will manage.</w:t>
      </w:r>
      <w:r w:rsidR="004752A0">
        <w:rPr>
          <w:rFonts w:ascii="Arial" w:hAnsi="Arial" w:cs="Arial"/>
          <w:sz w:val="24"/>
          <w:szCs w:val="24"/>
        </w:rPr>
        <w:t xml:space="preserve"> </w:t>
      </w:r>
      <w:r w:rsidR="00C307D5">
        <w:rPr>
          <w:rFonts w:ascii="Arial" w:hAnsi="Arial" w:cs="Arial"/>
          <w:sz w:val="24"/>
          <w:szCs w:val="24"/>
        </w:rPr>
        <w:t>H</w:t>
      </w:r>
      <w:r w:rsidR="00EE04D3">
        <w:rPr>
          <w:rFonts w:ascii="Arial" w:hAnsi="Arial" w:cs="Arial"/>
          <w:sz w:val="24"/>
          <w:szCs w:val="24"/>
        </w:rPr>
        <w:t>e</w:t>
      </w:r>
      <w:r w:rsidR="00D82DB2">
        <w:rPr>
          <w:rFonts w:ascii="Arial" w:hAnsi="Arial" w:cs="Arial"/>
          <w:sz w:val="24"/>
          <w:szCs w:val="24"/>
        </w:rPr>
        <w:t xml:space="preserve"> contended</w:t>
      </w:r>
      <w:r w:rsidR="00C307D5">
        <w:rPr>
          <w:rFonts w:ascii="Arial" w:hAnsi="Arial" w:cs="Arial"/>
          <w:sz w:val="24"/>
          <w:szCs w:val="24"/>
        </w:rPr>
        <w:t xml:space="preserve"> </w:t>
      </w:r>
      <w:r w:rsidR="00EE04D3">
        <w:rPr>
          <w:rFonts w:ascii="Arial" w:hAnsi="Arial" w:cs="Arial"/>
          <w:sz w:val="24"/>
          <w:szCs w:val="24"/>
        </w:rPr>
        <w:t>that the rationale of Order 30 rule 1(7) is not only to allow the Court to know the person it is appointing as receiver, but also to allow the parties to know whether the receiver to be appointed complies with the provisions of section 7(2)</w:t>
      </w:r>
      <w:r w:rsidR="00FB00C0">
        <w:rPr>
          <w:rFonts w:ascii="Arial" w:hAnsi="Arial" w:cs="Arial"/>
          <w:sz w:val="24"/>
          <w:szCs w:val="24"/>
        </w:rPr>
        <w:t xml:space="preserve"> </w:t>
      </w:r>
      <w:r w:rsidR="00EE04D3">
        <w:rPr>
          <w:rFonts w:ascii="Arial" w:hAnsi="Arial" w:cs="Arial"/>
          <w:sz w:val="24"/>
          <w:szCs w:val="24"/>
        </w:rPr>
        <w:t xml:space="preserve">(a) of the Mines and </w:t>
      </w:r>
      <w:r w:rsidR="00793D3B">
        <w:rPr>
          <w:rFonts w:ascii="Arial" w:hAnsi="Arial" w:cs="Arial"/>
          <w:sz w:val="24"/>
          <w:szCs w:val="24"/>
        </w:rPr>
        <w:t xml:space="preserve">Minerals Development Act 2008. </w:t>
      </w:r>
      <w:r w:rsidR="00C307D5">
        <w:rPr>
          <w:rFonts w:ascii="Arial" w:hAnsi="Arial" w:cs="Arial"/>
          <w:sz w:val="24"/>
          <w:szCs w:val="24"/>
        </w:rPr>
        <w:t>H</w:t>
      </w:r>
      <w:r w:rsidR="00EE04D3">
        <w:rPr>
          <w:rFonts w:ascii="Arial" w:hAnsi="Arial" w:cs="Arial"/>
          <w:sz w:val="24"/>
          <w:szCs w:val="24"/>
        </w:rPr>
        <w:t>e</w:t>
      </w:r>
      <w:r w:rsidR="00C307D5">
        <w:rPr>
          <w:rFonts w:ascii="Arial" w:hAnsi="Arial" w:cs="Arial"/>
          <w:sz w:val="24"/>
          <w:szCs w:val="24"/>
        </w:rPr>
        <w:t xml:space="preserve"> </w:t>
      </w:r>
      <w:r w:rsidR="00EE04D3">
        <w:rPr>
          <w:rFonts w:ascii="Arial" w:hAnsi="Arial" w:cs="Arial"/>
          <w:sz w:val="24"/>
          <w:szCs w:val="24"/>
        </w:rPr>
        <w:t>argued that the further affidavit in which Mr. Storti proposes the appointment of Mr. Banda, SC as receiver fal</w:t>
      </w:r>
      <w:r w:rsidR="001F5CC8">
        <w:rPr>
          <w:rFonts w:ascii="Arial" w:hAnsi="Arial" w:cs="Arial"/>
          <w:sz w:val="24"/>
          <w:szCs w:val="24"/>
        </w:rPr>
        <w:t>ls short of the requirement of O</w:t>
      </w:r>
      <w:r w:rsidR="00EE04D3">
        <w:rPr>
          <w:rFonts w:ascii="Arial" w:hAnsi="Arial" w:cs="Arial"/>
          <w:sz w:val="24"/>
          <w:szCs w:val="24"/>
        </w:rPr>
        <w:t xml:space="preserve">rder 30 rule </w:t>
      </w:r>
      <w:r w:rsidR="00FC035C">
        <w:rPr>
          <w:rFonts w:ascii="Arial" w:hAnsi="Arial" w:cs="Arial"/>
          <w:sz w:val="24"/>
          <w:szCs w:val="24"/>
        </w:rPr>
        <w:t>1</w:t>
      </w:r>
      <w:r w:rsidR="00EE04D3">
        <w:rPr>
          <w:rFonts w:ascii="Arial" w:hAnsi="Arial" w:cs="Arial"/>
          <w:sz w:val="24"/>
          <w:szCs w:val="24"/>
        </w:rPr>
        <w:t>(</w:t>
      </w:r>
      <w:r w:rsidR="00FC035C">
        <w:rPr>
          <w:rFonts w:ascii="Arial" w:hAnsi="Arial" w:cs="Arial"/>
          <w:sz w:val="24"/>
          <w:szCs w:val="24"/>
        </w:rPr>
        <w:t>7</w:t>
      </w:r>
      <w:r w:rsidR="00EE04D3">
        <w:rPr>
          <w:rFonts w:ascii="Arial" w:hAnsi="Arial" w:cs="Arial"/>
          <w:sz w:val="24"/>
          <w:szCs w:val="24"/>
        </w:rPr>
        <w:t>) as it is sworn by the Managing Director</w:t>
      </w:r>
      <w:r w:rsidR="00D82DB2">
        <w:rPr>
          <w:rFonts w:ascii="Arial" w:hAnsi="Arial" w:cs="Arial"/>
          <w:sz w:val="24"/>
          <w:szCs w:val="24"/>
        </w:rPr>
        <w:t xml:space="preserve"> a</w:t>
      </w:r>
      <w:r w:rsidR="00EE04D3">
        <w:rPr>
          <w:rFonts w:ascii="Arial" w:hAnsi="Arial" w:cs="Arial"/>
          <w:sz w:val="24"/>
          <w:szCs w:val="24"/>
        </w:rPr>
        <w:t>nd that i</w:t>
      </w:r>
      <w:r w:rsidR="001F5CC8">
        <w:rPr>
          <w:rFonts w:ascii="Arial" w:hAnsi="Arial" w:cs="Arial"/>
          <w:sz w:val="24"/>
          <w:szCs w:val="24"/>
        </w:rPr>
        <w:t>n</w:t>
      </w:r>
      <w:r w:rsidR="00EE04D3">
        <w:rPr>
          <w:rFonts w:ascii="Arial" w:hAnsi="Arial" w:cs="Arial"/>
          <w:sz w:val="24"/>
          <w:szCs w:val="24"/>
        </w:rPr>
        <w:t xml:space="preserve"> the absence of an affidavit of fitness the</w:t>
      </w:r>
      <w:r w:rsidR="00E73204">
        <w:rPr>
          <w:rFonts w:ascii="Arial" w:hAnsi="Arial" w:cs="Arial"/>
          <w:sz w:val="24"/>
          <w:szCs w:val="24"/>
        </w:rPr>
        <w:t xml:space="preserve"> application must fail.</w:t>
      </w:r>
    </w:p>
    <w:p w:rsidR="00E73204" w:rsidRDefault="00E73204" w:rsidP="00D61949">
      <w:pPr>
        <w:spacing w:after="0" w:line="360" w:lineRule="auto"/>
        <w:jc w:val="both"/>
        <w:rPr>
          <w:rFonts w:ascii="Arial" w:hAnsi="Arial" w:cs="Arial"/>
          <w:sz w:val="24"/>
          <w:szCs w:val="24"/>
        </w:rPr>
      </w:pPr>
    </w:p>
    <w:p w:rsidR="00426AB0" w:rsidRDefault="00E73204" w:rsidP="00D61949">
      <w:pPr>
        <w:spacing w:after="0" w:line="360" w:lineRule="auto"/>
        <w:jc w:val="both"/>
        <w:rPr>
          <w:rFonts w:ascii="Arial" w:hAnsi="Arial" w:cs="Arial"/>
          <w:sz w:val="24"/>
          <w:szCs w:val="24"/>
        </w:rPr>
      </w:pPr>
      <w:r>
        <w:rPr>
          <w:rFonts w:ascii="Arial" w:hAnsi="Arial" w:cs="Arial"/>
          <w:sz w:val="24"/>
          <w:szCs w:val="24"/>
        </w:rPr>
        <w:t xml:space="preserve">On the second </w:t>
      </w:r>
      <w:r w:rsidR="00E44670">
        <w:rPr>
          <w:rFonts w:ascii="Arial" w:hAnsi="Arial" w:cs="Arial"/>
          <w:sz w:val="24"/>
          <w:szCs w:val="24"/>
        </w:rPr>
        <w:t xml:space="preserve">leg of the </w:t>
      </w:r>
      <w:r>
        <w:rPr>
          <w:rFonts w:ascii="Arial" w:hAnsi="Arial" w:cs="Arial"/>
          <w:sz w:val="24"/>
          <w:szCs w:val="24"/>
        </w:rPr>
        <w:t xml:space="preserve">application, counsel submitted that the plaintiff has failed to meet the standards and requirements set </w:t>
      </w:r>
      <w:r w:rsidR="001F5CC8">
        <w:rPr>
          <w:rFonts w:ascii="Arial" w:hAnsi="Arial" w:cs="Arial"/>
          <w:sz w:val="24"/>
          <w:szCs w:val="24"/>
        </w:rPr>
        <w:t xml:space="preserve">out </w:t>
      </w:r>
      <w:r>
        <w:rPr>
          <w:rFonts w:ascii="Arial" w:hAnsi="Arial" w:cs="Arial"/>
          <w:sz w:val="24"/>
          <w:szCs w:val="24"/>
        </w:rPr>
        <w:t>under Order 29 RSC</w:t>
      </w:r>
      <w:r w:rsidR="00D82DB2">
        <w:rPr>
          <w:rFonts w:ascii="Arial" w:hAnsi="Arial" w:cs="Arial"/>
          <w:sz w:val="24"/>
          <w:szCs w:val="24"/>
        </w:rPr>
        <w:t>,</w:t>
      </w:r>
      <w:r>
        <w:rPr>
          <w:rFonts w:ascii="Arial" w:hAnsi="Arial" w:cs="Arial"/>
          <w:sz w:val="24"/>
          <w:szCs w:val="24"/>
        </w:rPr>
        <w:t xml:space="preserve"> in that the affidavit</w:t>
      </w:r>
      <w:r w:rsidR="001F5CC8">
        <w:rPr>
          <w:rFonts w:ascii="Arial" w:hAnsi="Arial" w:cs="Arial"/>
          <w:sz w:val="24"/>
          <w:szCs w:val="24"/>
        </w:rPr>
        <w:t>s</w:t>
      </w:r>
      <w:r>
        <w:rPr>
          <w:rFonts w:ascii="Arial" w:hAnsi="Arial" w:cs="Arial"/>
          <w:sz w:val="24"/>
          <w:szCs w:val="24"/>
        </w:rPr>
        <w:t xml:space="preserve"> in support do not contain a full and frank disclosure of the facts.  He stated that the allegations in paras 20 to 22 of the first affidavit are not supported by any documentary proof to show that the defendants have been conducting a successful business or mining to enable them to pay the arbitral award and that the only evidence available is the </w:t>
      </w:r>
      <w:r w:rsidR="004752A0">
        <w:rPr>
          <w:rFonts w:ascii="Arial" w:hAnsi="Arial" w:cs="Arial"/>
          <w:sz w:val="24"/>
          <w:szCs w:val="24"/>
        </w:rPr>
        <w:t>D</w:t>
      </w:r>
      <w:r>
        <w:rPr>
          <w:rFonts w:ascii="Arial" w:hAnsi="Arial" w:cs="Arial"/>
          <w:sz w:val="24"/>
          <w:szCs w:val="24"/>
        </w:rPr>
        <w:t xml:space="preserve">ebit and </w:t>
      </w:r>
      <w:r w:rsidR="004752A0">
        <w:rPr>
          <w:rFonts w:ascii="Arial" w:hAnsi="Arial" w:cs="Arial"/>
          <w:sz w:val="24"/>
          <w:szCs w:val="24"/>
        </w:rPr>
        <w:t>A</w:t>
      </w:r>
      <w:r>
        <w:rPr>
          <w:rFonts w:ascii="Arial" w:hAnsi="Arial" w:cs="Arial"/>
          <w:sz w:val="24"/>
          <w:szCs w:val="24"/>
        </w:rPr>
        <w:t>dvice note by the Sheriff, “EN7” which shows that the defendants have no goods worth seizing.</w:t>
      </w:r>
      <w:r w:rsidR="00D82DB2">
        <w:rPr>
          <w:rFonts w:ascii="Arial" w:hAnsi="Arial" w:cs="Arial"/>
          <w:sz w:val="24"/>
          <w:szCs w:val="24"/>
        </w:rPr>
        <w:t xml:space="preserve"> </w:t>
      </w:r>
      <w:r>
        <w:rPr>
          <w:rFonts w:ascii="Arial" w:hAnsi="Arial" w:cs="Arial"/>
          <w:sz w:val="24"/>
          <w:szCs w:val="24"/>
        </w:rPr>
        <w:t xml:space="preserve">Counsel further </w:t>
      </w:r>
      <w:r w:rsidR="00D82DB2">
        <w:rPr>
          <w:rFonts w:ascii="Arial" w:hAnsi="Arial" w:cs="Arial"/>
          <w:sz w:val="24"/>
          <w:szCs w:val="24"/>
        </w:rPr>
        <w:t>arg</w:t>
      </w:r>
      <w:r>
        <w:rPr>
          <w:rFonts w:ascii="Arial" w:hAnsi="Arial" w:cs="Arial"/>
          <w:sz w:val="24"/>
          <w:szCs w:val="24"/>
        </w:rPr>
        <w:t>ued that there is no evidence to show that the defendants are wasting or depleting the mineral wealth of the mine or that the</w:t>
      </w:r>
      <w:r w:rsidR="001F5CC8">
        <w:rPr>
          <w:rFonts w:ascii="Arial" w:hAnsi="Arial" w:cs="Arial"/>
          <w:sz w:val="24"/>
          <w:szCs w:val="24"/>
        </w:rPr>
        <w:t>y are failing to comply with the</w:t>
      </w:r>
      <w:r>
        <w:rPr>
          <w:rFonts w:ascii="Arial" w:hAnsi="Arial" w:cs="Arial"/>
          <w:sz w:val="24"/>
          <w:szCs w:val="24"/>
        </w:rPr>
        <w:t xml:space="preserve"> ruling of 14</w:t>
      </w:r>
      <w:r w:rsidRPr="00E73204">
        <w:rPr>
          <w:rFonts w:ascii="Arial" w:hAnsi="Arial" w:cs="Arial"/>
          <w:sz w:val="24"/>
          <w:szCs w:val="24"/>
          <w:vertAlign w:val="superscript"/>
        </w:rPr>
        <w:t>th</w:t>
      </w:r>
      <w:r w:rsidR="00793D3B">
        <w:rPr>
          <w:rFonts w:ascii="Arial" w:hAnsi="Arial" w:cs="Arial"/>
          <w:sz w:val="24"/>
          <w:szCs w:val="24"/>
        </w:rPr>
        <w:t xml:space="preserve"> June, 2010. </w:t>
      </w:r>
      <w:r>
        <w:rPr>
          <w:rFonts w:ascii="Arial" w:hAnsi="Arial" w:cs="Arial"/>
          <w:sz w:val="24"/>
          <w:szCs w:val="24"/>
        </w:rPr>
        <w:t xml:space="preserve">He </w:t>
      </w:r>
      <w:r w:rsidR="009813E3">
        <w:rPr>
          <w:rFonts w:ascii="Arial" w:hAnsi="Arial" w:cs="Arial"/>
          <w:sz w:val="24"/>
          <w:szCs w:val="24"/>
        </w:rPr>
        <w:t>argu</w:t>
      </w:r>
      <w:r>
        <w:rPr>
          <w:rFonts w:ascii="Arial" w:hAnsi="Arial" w:cs="Arial"/>
          <w:sz w:val="24"/>
          <w:szCs w:val="24"/>
        </w:rPr>
        <w:t xml:space="preserve">ed also that </w:t>
      </w:r>
      <w:r w:rsidR="001F5CC8">
        <w:rPr>
          <w:rFonts w:ascii="Arial" w:hAnsi="Arial" w:cs="Arial"/>
          <w:sz w:val="24"/>
          <w:szCs w:val="24"/>
        </w:rPr>
        <w:t>O</w:t>
      </w:r>
      <w:r>
        <w:rPr>
          <w:rFonts w:ascii="Arial" w:hAnsi="Arial" w:cs="Arial"/>
          <w:sz w:val="24"/>
          <w:szCs w:val="24"/>
        </w:rPr>
        <w:t xml:space="preserve">rder 29 rule 1A </w:t>
      </w:r>
      <w:r w:rsidR="00D82DB2">
        <w:rPr>
          <w:rFonts w:ascii="Arial" w:hAnsi="Arial" w:cs="Arial"/>
          <w:sz w:val="24"/>
          <w:szCs w:val="24"/>
        </w:rPr>
        <w:t>(</w:t>
      </w:r>
      <w:r>
        <w:rPr>
          <w:rFonts w:ascii="Arial" w:hAnsi="Arial" w:cs="Arial"/>
          <w:sz w:val="24"/>
          <w:szCs w:val="24"/>
        </w:rPr>
        <w:t>24</w:t>
      </w:r>
      <w:r w:rsidR="00D82DB2">
        <w:rPr>
          <w:rFonts w:ascii="Arial" w:hAnsi="Arial" w:cs="Arial"/>
          <w:sz w:val="24"/>
          <w:szCs w:val="24"/>
        </w:rPr>
        <w:t>)</w:t>
      </w:r>
      <w:r>
        <w:rPr>
          <w:rFonts w:ascii="Arial" w:hAnsi="Arial" w:cs="Arial"/>
          <w:sz w:val="24"/>
          <w:szCs w:val="24"/>
        </w:rPr>
        <w:t xml:space="preserve"> require</w:t>
      </w:r>
      <w:r w:rsidR="00D82DB2">
        <w:rPr>
          <w:rFonts w:ascii="Arial" w:hAnsi="Arial" w:cs="Arial"/>
          <w:sz w:val="24"/>
          <w:szCs w:val="24"/>
        </w:rPr>
        <w:t>s</w:t>
      </w:r>
      <w:r>
        <w:rPr>
          <w:rFonts w:ascii="Arial" w:hAnsi="Arial" w:cs="Arial"/>
          <w:sz w:val="24"/>
          <w:szCs w:val="24"/>
        </w:rPr>
        <w:t xml:space="preserve"> the applicant to make a full and frank disclosure in order to be entitled to an injunction</w:t>
      </w:r>
      <w:r w:rsidR="009813E3">
        <w:rPr>
          <w:rFonts w:ascii="Arial" w:hAnsi="Arial" w:cs="Arial"/>
          <w:sz w:val="24"/>
          <w:szCs w:val="24"/>
        </w:rPr>
        <w:t>;</w:t>
      </w:r>
      <w:r>
        <w:rPr>
          <w:rFonts w:ascii="Arial" w:hAnsi="Arial" w:cs="Arial"/>
          <w:sz w:val="24"/>
          <w:szCs w:val="24"/>
        </w:rPr>
        <w:t xml:space="preserve"> that w</w:t>
      </w:r>
      <w:r w:rsidR="00D82DB2">
        <w:rPr>
          <w:rFonts w:ascii="Arial" w:hAnsi="Arial" w:cs="Arial"/>
          <w:sz w:val="24"/>
          <w:szCs w:val="24"/>
        </w:rPr>
        <w:t>ith the defendant</w:t>
      </w:r>
      <w:r>
        <w:rPr>
          <w:rFonts w:ascii="Arial" w:hAnsi="Arial" w:cs="Arial"/>
          <w:sz w:val="24"/>
          <w:szCs w:val="24"/>
        </w:rPr>
        <w:t>s</w:t>
      </w:r>
      <w:r w:rsidR="00D82DB2">
        <w:rPr>
          <w:rFonts w:ascii="Arial" w:hAnsi="Arial" w:cs="Arial"/>
          <w:sz w:val="24"/>
          <w:szCs w:val="24"/>
        </w:rPr>
        <w:t>’</w:t>
      </w:r>
      <w:r>
        <w:rPr>
          <w:rFonts w:ascii="Arial" w:hAnsi="Arial" w:cs="Arial"/>
          <w:sz w:val="24"/>
          <w:szCs w:val="24"/>
        </w:rPr>
        <w:t xml:space="preserve"> submission that the plaintiff has failed to show proof that the defendants </w:t>
      </w:r>
      <w:r w:rsidR="00D82DB2">
        <w:rPr>
          <w:rFonts w:ascii="Arial" w:hAnsi="Arial" w:cs="Arial"/>
          <w:sz w:val="24"/>
          <w:szCs w:val="24"/>
        </w:rPr>
        <w:t xml:space="preserve">are </w:t>
      </w:r>
      <w:r>
        <w:rPr>
          <w:rFonts w:ascii="Arial" w:hAnsi="Arial" w:cs="Arial"/>
          <w:sz w:val="24"/>
          <w:szCs w:val="24"/>
        </w:rPr>
        <w:t xml:space="preserve">running a successful </w:t>
      </w:r>
      <w:r w:rsidR="00940493">
        <w:rPr>
          <w:rFonts w:ascii="Arial" w:hAnsi="Arial" w:cs="Arial"/>
          <w:sz w:val="24"/>
          <w:szCs w:val="24"/>
        </w:rPr>
        <w:t xml:space="preserve">business, the plaintiff is </w:t>
      </w:r>
      <w:r w:rsidR="00793D3B">
        <w:rPr>
          <w:rFonts w:ascii="Arial" w:hAnsi="Arial" w:cs="Arial"/>
          <w:sz w:val="24"/>
          <w:szCs w:val="24"/>
        </w:rPr>
        <w:t xml:space="preserve">not entitled to an injunction. </w:t>
      </w:r>
    </w:p>
    <w:p w:rsidR="00D82DB2" w:rsidRDefault="00426AB0" w:rsidP="00D61949">
      <w:pPr>
        <w:spacing w:after="0" w:line="360" w:lineRule="auto"/>
        <w:jc w:val="both"/>
        <w:rPr>
          <w:rFonts w:ascii="Arial" w:hAnsi="Arial" w:cs="Arial"/>
          <w:sz w:val="24"/>
          <w:szCs w:val="24"/>
        </w:rPr>
      </w:pPr>
      <w:r>
        <w:rPr>
          <w:rFonts w:ascii="Arial" w:hAnsi="Arial" w:cs="Arial"/>
          <w:sz w:val="24"/>
          <w:szCs w:val="24"/>
        </w:rPr>
        <w:lastRenderedPageBreak/>
        <w:t xml:space="preserve">Counsel </w:t>
      </w:r>
      <w:r w:rsidR="00940493">
        <w:rPr>
          <w:rFonts w:ascii="Arial" w:hAnsi="Arial" w:cs="Arial"/>
          <w:sz w:val="24"/>
          <w:szCs w:val="24"/>
        </w:rPr>
        <w:t>urged that the proposal by the defendants to pay US$100,000 and K100,000,000, is not a basis on which th</w:t>
      </w:r>
      <w:r w:rsidR="009813E3">
        <w:rPr>
          <w:rFonts w:ascii="Arial" w:hAnsi="Arial" w:cs="Arial"/>
          <w:sz w:val="24"/>
          <w:szCs w:val="24"/>
        </w:rPr>
        <w:t>e</w:t>
      </w:r>
      <w:r w:rsidR="00940493">
        <w:rPr>
          <w:rFonts w:ascii="Arial" w:hAnsi="Arial" w:cs="Arial"/>
          <w:sz w:val="24"/>
          <w:szCs w:val="24"/>
        </w:rPr>
        <w:t xml:space="preserve"> </w:t>
      </w:r>
      <w:r w:rsidR="009813E3">
        <w:rPr>
          <w:rFonts w:ascii="Arial" w:hAnsi="Arial" w:cs="Arial"/>
          <w:sz w:val="24"/>
          <w:szCs w:val="24"/>
        </w:rPr>
        <w:t>c</w:t>
      </w:r>
      <w:r w:rsidR="00940493">
        <w:rPr>
          <w:rFonts w:ascii="Arial" w:hAnsi="Arial" w:cs="Arial"/>
          <w:sz w:val="24"/>
          <w:szCs w:val="24"/>
        </w:rPr>
        <w:t>ourt c</w:t>
      </w:r>
      <w:r w:rsidR="009813E3">
        <w:rPr>
          <w:rFonts w:ascii="Arial" w:hAnsi="Arial" w:cs="Arial"/>
          <w:sz w:val="24"/>
          <w:szCs w:val="24"/>
        </w:rPr>
        <w:t>an</w:t>
      </w:r>
      <w:r w:rsidR="00940493">
        <w:rPr>
          <w:rFonts w:ascii="Arial" w:hAnsi="Arial" w:cs="Arial"/>
          <w:sz w:val="24"/>
          <w:szCs w:val="24"/>
        </w:rPr>
        <w:t xml:space="preserve"> rule that the defendants are running a successful business, more so that the</w:t>
      </w:r>
      <w:r w:rsidR="00793D3B">
        <w:rPr>
          <w:rFonts w:ascii="Arial" w:hAnsi="Arial" w:cs="Arial"/>
          <w:sz w:val="24"/>
          <w:szCs w:val="24"/>
        </w:rPr>
        <w:t xml:space="preserve"> proposal was not even met. </w:t>
      </w:r>
      <w:r w:rsidR="009813E3">
        <w:rPr>
          <w:rFonts w:ascii="Arial" w:hAnsi="Arial" w:cs="Arial"/>
          <w:sz w:val="24"/>
          <w:szCs w:val="24"/>
        </w:rPr>
        <w:t>H</w:t>
      </w:r>
      <w:r w:rsidR="00940493">
        <w:rPr>
          <w:rFonts w:ascii="Arial" w:hAnsi="Arial" w:cs="Arial"/>
          <w:sz w:val="24"/>
          <w:szCs w:val="24"/>
        </w:rPr>
        <w:t>e</w:t>
      </w:r>
      <w:r w:rsidR="009813E3">
        <w:rPr>
          <w:rFonts w:ascii="Arial" w:hAnsi="Arial" w:cs="Arial"/>
          <w:sz w:val="24"/>
          <w:szCs w:val="24"/>
        </w:rPr>
        <w:t xml:space="preserve"> </w:t>
      </w:r>
      <w:r w:rsidR="00940493">
        <w:rPr>
          <w:rFonts w:ascii="Arial" w:hAnsi="Arial" w:cs="Arial"/>
          <w:sz w:val="24"/>
          <w:szCs w:val="24"/>
        </w:rPr>
        <w:t>urged that the application be dismissed with costs.</w:t>
      </w:r>
      <w:r w:rsidR="00D82DB2">
        <w:rPr>
          <w:rFonts w:ascii="Arial" w:hAnsi="Arial" w:cs="Arial"/>
          <w:sz w:val="24"/>
          <w:szCs w:val="24"/>
        </w:rPr>
        <w:t xml:space="preserve"> </w:t>
      </w:r>
    </w:p>
    <w:p w:rsidR="00D82DB2" w:rsidRDefault="00D82DB2" w:rsidP="00D61949">
      <w:pPr>
        <w:spacing w:after="0" w:line="360" w:lineRule="auto"/>
        <w:jc w:val="both"/>
        <w:rPr>
          <w:rFonts w:ascii="Arial" w:hAnsi="Arial" w:cs="Arial"/>
          <w:sz w:val="24"/>
          <w:szCs w:val="24"/>
        </w:rPr>
      </w:pPr>
    </w:p>
    <w:p w:rsidR="00940493" w:rsidRDefault="00940493" w:rsidP="00D61949">
      <w:pPr>
        <w:spacing w:after="0" w:line="360" w:lineRule="auto"/>
        <w:jc w:val="both"/>
        <w:rPr>
          <w:rFonts w:ascii="Arial" w:hAnsi="Arial" w:cs="Arial"/>
          <w:sz w:val="24"/>
          <w:szCs w:val="24"/>
        </w:rPr>
      </w:pPr>
      <w:r>
        <w:rPr>
          <w:rFonts w:ascii="Arial" w:hAnsi="Arial" w:cs="Arial"/>
          <w:sz w:val="24"/>
          <w:szCs w:val="24"/>
        </w:rPr>
        <w:t>Mr. T</w:t>
      </w:r>
      <w:r w:rsidR="001F5CC8">
        <w:rPr>
          <w:rFonts w:ascii="Arial" w:hAnsi="Arial" w:cs="Arial"/>
          <w:sz w:val="24"/>
          <w:szCs w:val="24"/>
        </w:rPr>
        <w:t>w</w:t>
      </w:r>
      <w:r>
        <w:rPr>
          <w:rFonts w:ascii="Arial" w:hAnsi="Arial" w:cs="Arial"/>
          <w:sz w:val="24"/>
          <w:szCs w:val="24"/>
        </w:rPr>
        <w:t xml:space="preserve">umasi replied first </w:t>
      </w:r>
      <w:r w:rsidR="00E44670">
        <w:rPr>
          <w:rFonts w:ascii="Arial" w:hAnsi="Arial" w:cs="Arial"/>
          <w:sz w:val="24"/>
          <w:szCs w:val="24"/>
        </w:rPr>
        <w:t xml:space="preserve">that </w:t>
      </w:r>
      <w:r>
        <w:rPr>
          <w:rFonts w:ascii="Arial" w:hAnsi="Arial" w:cs="Arial"/>
          <w:sz w:val="24"/>
          <w:szCs w:val="24"/>
        </w:rPr>
        <w:t>the matters deposed to by Mr. Storti in the two affidavits have in no way been contested by the defendants as there is no affidavit in opposition and that the defendants cannot be heard to say that there is no evidence showing that they have for example not obeyed the orders of this Court.</w:t>
      </w:r>
      <w:r w:rsidR="00825180">
        <w:rPr>
          <w:rFonts w:ascii="Arial" w:hAnsi="Arial" w:cs="Arial"/>
          <w:sz w:val="24"/>
          <w:szCs w:val="24"/>
        </w:rPr>
        <w:t xml:space="preserve"> </w:t>
      </w:r>
      <w:r>
        <w:rPr>
          <w:rFonts w:ascii="Arial" w:hAnsi="Arial" w:cs="Arial"/>
          <w:sz w:val="24"/>
          <w:szCs w:val="24"/>
        </w:rPr>
        <w:t xml:space="preserve">Counsel </w:t>
      </w:r>
      <w:r w:rsidR="00825180">
        <w:rPr>
          <w:rFonts w:ascii="Arial" w:hAnsi="Arial" w:cs="Arial"/>
          <w:sz w:val="24"/>
          <w:szCs w:val="24"/>
        </w:rPr>
        <w:t>also stated</w:t>
      </w:r>
      <w:r>
        <w:rPr>
          <w:rFonts w:ascii="Arial" w:hAnsi="Arial" w:cs="Arial"/>
          <w:sz w:val="24"/>
          <w:szCs w:val="24"/>
        </w:rPr>
        <w:t xml:space="preserve"> that the facts deposed to by the plaintiff clearly show that the defendants are running a successful business and that the letter from the defendant’s own counsel marked “ES8” on the first affidavit clearly shows that there can be no other interpretation that they could raise such sums of money to pay towards the debt and that the input of that letter is clear evidence that the defendants ar</w:t>
      </w:r>
      <w:r w:rsidR="00B9512B">
        <w:rPr>
          <w:rFonts w:ascii="Arial" w:hAnsi="Arial" w:cs="Arial"/>
          <w:sz w:val="24"/>
          <w:szCs w:val="24"/>
        </w:rPr>
        <w:t>e running a successful business. He said</w:t>
      </w:r>
      <w:r>
        <w:rPr>
          <w:rFonts w:ascii="Arial" w:hAnsi="Arial" w:cs="Arial"/>
          <w:sz w:val="24"/>
          <w:szCs w:val="24"/>
        </w:rPr>
        <w:t xml:space="preserve"> that paras 20 to 21 of the first affidavit state that third parties are mining and a name is mentioned which facts have not been opposed.</w:t>
      </w:r>
    </w:p>
    <w:p w:rsidR="00940493" w:rsidRDefault="00940493" w:rsidP="00D61949">
      <w:pPr>
        <w:spacing w:after="0" w:line="360" w:lineRule="auto"/>
        <w:jc w:val="both"/>
        <w:rPr>
          <w:rFonts w:ascii="Arial" w:hAnsi="Arial" w:cs="Arial"/>
          <w:sz w:val="24"/>
          <w:szCs w:val="24"/>
        </w:rPr>
      </w:pPr>
    </w:p>
    <w:p w:rsidR="00940493" w:rsidRDefault="00825180" w:rsidP="00D61949">
      <w:pPr>
        <w:spacing w:after="0" w:line="360" w:lineRule="auto"/>
        <w:jc w:val="both"/>
        <w:rPr>
          <w:rFonts w:ascii="Arial" w:hAnsi="Arial" w:cs="Arial"/>
          <w:sz w:val="24"/>
          <w:szCs w:val="24"/>
        </w:rPr>
      </w:pPr>
      <w:r>
        <w:rPr>
          <w:rFonts w:ascii="Arial" w:hAnsi="Arial" w:cs="Arial"/>
          <w:sz w:val="24"/>
          <w:szCs w:val="24"/>
        </w:rPr>
        <w:t>H</w:t>
      </w:r>
      <w:r w:rsidR="00940493">
        <w:rPr>
          <w:rFonts w:ascii="Arial" w:hAnsi="Arial" w:cs="Arial"/>
          <w:sz w:val="24"/>
          <w:szCs w:val="24"/>
        </w:rPr>
        <w:t>e</w:t>
      </w:r>
      <w:r>
        <w:rPr>
          <w:rFonts w:ascii="Arial" w:hAnsi="Arial" w:cs="Arial"/>
          <w:sz w:val="24"/>
          <w:szCs w:val="24"/>
        </w:rPr>
        <w:t xml:space="preserve"> </w:t>
      </w:r>
      <w:r w:rsidR="00940493">
        <w:rPr>
          <w:rFonts w:ascii="Arial" w:hAnsi="Arial" w:cs="Arial"/>
          <w:sz w:val="24"/>
          <w:szCs w:val="24"/>
        </w:rPr>
        <w:t xml:space="preserve">further urged that the affidavit of fitness of the person to be appointed in terms of </w:t>
      </w:r>
      <w:r w:rsidR="001F5CC8">
        <w:rPr>
          <w:rFonts w:ascii="Arial" w:hAnsi="Arial" w:cs="Arial"/>
          <w:sz w:val="24"/>
          <w:szCs w:val="24"/>
        </w:rPr>
        <w:t>O</w:t>
      </w:r>
      <w:r w:rsidR="00940493">
        <w:rPr>
          <w:rFonts w:ascii="Arial" w:hAnsi="Arial" w:cs="Arial"/>
          <w:sz w:val="24"/>
          <w:szCs w:val="24"/>
        </w:rPr>
        <w:t>rder 30 rule 1(7) can be dispensed with which is made clear in paras 5 and 6 of the first affidavit where a senior lawyer is proposed; that the further affidavit is not that of the fitness of the person to be appointed, but a further affidavit to the earlier one</w:t>
      </w:r>
      <w:r w:rsidR="001F5CC8">
        <w:rPr>
          <w:rFonts w:ascii="Arial" w:hAnsi="Arial" w:cs="Arial"/>
          <w:sz w:val="24"/>
          <w:szCs w:val="24"/>
        </w:rPr>
        <w:t>;</w:t>
      </w:r>
      <w:r w:rsidR="00940493">
        <w:rPr>
          <w:rFonts w:ascii="Arial" w:hAnsi="Arial" w:cs="Arial"/>
          <w:sz w:val="24"/>
          <w:szCs w:val="24"/>
        </w:rPr>
        <w:t xml:space="preserve"> and that the deponent was entitled to swear that affidavit</w:t>
      </w:r>
      <w:r w:rsidR="00D11D7D">
        <w:rPr>
          <w:rFonts w:ascii="Arial" w:hAnsi="Arial" w:cs="Arial"/>
          <w:sz w:val="24"/>
          <w:szCs w:val="24"/>
        </w:rPr>
        <w:t>. He stated that</w:t>
      </w:r>
      <w:r w:rsidR="00940493">
        <w:rPr>
          <w:rFonts w:ascii="Arial" w:hAnsi="Arial" w:cs="Arial"/>
          <w:sz w:val="24"/>
          <w:szCs w:val="24"/>
        </w:rPr>
        <w:t xml:space="preserve"> the absence of the affidavit of fitness does not prejudice the plaintiff’s application as the fact </w:t>
      </w:r>
      <w:r w:rsidR="002A43D2">
        <w:rPr>
          <w:rFonts w:ascii="Arial" w:hAnsi="Arial" w:cs="Arial"/>
          <w:sz w:val="24"/>
          <w:szCs w:val="24"/>
        </w:rPr>
        <w:t>that the proposed person is a fit and proper person has not been objected to in an affidavit.  Counsel urged that the affidavit of fitness should be dispensed with.</w:t>
      </w:r>
    </w:p>
    <w:p w:rsidR="002A43D2" w:rsidRDefault="002A43D2" w:rsidP="00D61949">
      <w:pPr>
        <w:spacing w:after="0" w:line="360" w:lineRule="auto"/>
        <w:jc w:val="both"/>
        <w:rPr>
          <w:rFonts w:ascii="Arial" w:hAnsi="Arial" w:cs="Arial"/>
          <w:sz w:val="24"/>
          <w:szCs w:val="24"/>
        </w:rPr>
      </w:pPr>
    </w:p>
    <w:p w:rsidR="00426AB0" w:rsidRDefault="002A43D2" w:rsidP="00D61949">
      <w:pPr>
        <w:spacing w:after="0" w:line="360" w:lineRule="auto"/>
        <w:jc w:val="both"/>
        <w:rPr>
          <w:rFonts w:ascii="Arial" w:hAnsi="Arial" w:cs="Arial"/>
          <w:sz w:val="24"/>
          <w:szCs w:val="24"/>
        </w:rPr>
      </w:pPr>
      <w:r>
        <w:rPr>
          <w:rFonts w:ascii="Arial" w:hAnsi="Arial" w:cs="Arial"/>
          <w:sz w:val="24"/>
          <w:szCs w:val="24"/>
        </w:rPr>
        <w:t xml:space="preserve">Counsel also argued that the requirement of </w:t>
      </w:r>
      <w:r w:rsidR="001F5CC8">
        <w:rPr>
          <w:rFonts w:ascii="Arial" w:hAnsi="Arial" w:cs="Arial"/>
          <w:sz w:val="24"/>
          <w:szCs w:val="24"/>
        </w:rPr>
        <w:t>O</w:t>
      </w:r>
      <w:r>
        <w:rPr>
          <w:rFonts w:ascii="Arial" w:hAnsi="Arial" w:cs="Arial"/>
          <w:sz w:val="24"/>
          <w:szCs w:val="24"/>
        </w:rPr>
        <w:t>rder 30 rule 1</w:t>
      </w:r>
      <w:r w:rsidR="009813E3">
        <w:rPr>
          <w:rFonts w:ascii="Arial" w:hAnsi="Arial" w:cs="Arial"/>
          <w:sz w:val="24"/>
          <w:szCs w:val="24"/>
        </w:rPr>
        <w:t>(</w:t>
      </w:r>
      <w:r>
        <w:rPr>
          <w:rFonts w:ascii="Arial" w:hAnsi="Arial" w:cs="Arial"/>
          <w:sz w:val="24"/>
          <w:szCs w:val="24"/>
        </w:rPr>
        <w:t>7</w:t>
      </w:r>
      <w:r w:rsidR="009813E3">
        <w:rPr>
          <w:rFonts w:ascii="Arial" w:hAnsi="Arial" w:cs="Arial"/>
          <w:sz w:val="24"/>
          <w:szCs w:val="24"/>
        </w:rPr>
        <w:t>)</w:t>
      </w:r>
      <w:r>
        <w:rPr>
          <w:rFonts w:ascii="Arial" w:hAnsi="Arial" w:cs="Arial"/>
          <w:sz w:val="24"/>
          <w:szCs w:val="24"/>
        </w:rPr>
        <w:t xml:space="preserve"> is to give a general nature of the property over which the receiver is to be appointed and that </w:t>
      </w:r>
      <w:r w:rsidR="009813E3">
        <w:rPr>
          <w:rFonts w:ascii="Arial" w:hAnsi="Arial" w:cs="Arial"/>
          <w:sz w:val="24"/>
          <w:szCs w:val="24"/>
        </w:rPr>
        <w:t>by</w:t>
      </w:r>
      <w:r>
        <w:rPr>
          <w:rFonts w:ascii="Arial" w:hAnsi="Arial" w:cs="Arial"/>
          <w:sz w:val="24"/>
          <w:szCs w:val="24"/>
        </w:rPr>
        <w:t xml:space="preserve"> </w:t>
      </w:r>
      <w:r w:rsidR="001F5CC8">
        <w:rPr>
          <w:rFonts w:ascii="Arial" w:hAnsi="Arial" w:cs="Arial"/>
          <w:sz w:val="24"/>
          <w:szCs w:val="24"/>
        </w:rPr>
        <w:t>O</w:t>
      </w:r>
      <w:r>
        <w:rPr>
          <w:rFonts w:ascii="Arial" w:hAnsi="Arial" w:cs="Arial"/>
          <w:sz w:val="24"/>
          <w:szCs w:val="24"/>
        </w:rPr>
        <w:t xml:space="preserve">rder 30 rule 9 </w:t>
      </w:r>
      <w:r w:rsidR="009813E3">
        <w:rPr>
          <w:rFonts w:ascii="Arial" w:hAnsi="Arial" w:cs="Arial"/>
          <w:sz w:val="24"/>
          <w:szCs w:val="24"/>
        </w:rPr>
        <w:t xml:space="preserve">it is </w:t>
      </w:r>
      <w:r>
        <w:rPr>
          <w:rFonts w:ascii="Arial" w:hAnsi="Arial" w:cs="Arial"/>
          <w:sz w:val="24"/>
          <w:szCs w:val="24"/>
        </w:rPr>
        <w:t>in the order appointing the receiver where the property should be distinctly described</w:t>
      </w:r>
      <w:r w:rsidR="00150822">
        <w:rPr>
          <w:rFonts w:ascii="Arial" w:hAnsi="Arial" w:cs="Arial"/>
          <w:sz w:val="24"/>
          <w:szCs w:val="24"/>
        </w:rPr>
        <w:t>. He urged</w:t>
      </w:r>
      <w:r>
        <w:rPr>
          <w:rFonts w:ascii="Arial" w:hAnsi="Arial" w:cs="Arial"/>
          <w:sz w:val="24"/>
          <w:szCs w:val="24"/>
        </w:rPr>
        <w:t xml:space="preserve"> that the plaintiff complied in giving a description of the general nature of the property in para 14 of the first affidavit.</w:t>
      </w:r>
      <w:r w:rsidR="00825180">
        <w:rPr>
          <w:rFonts w:ascii="Arial" w:hAnsi="Arial" w:cs="Arial"/>
          <w:sz w:val="24"/>
          <w:szCs w:val="24"/>
        </w:rPr>
        <w:t xml:space="preserve"> </w:t>
      </w:r>
    </w:p>
    <w:p w:rsidR="00825180" w:rsidRDefault="006911F8" w:rsidP="00D61949">
      <w:pPr>
        <w:spacing w:after="0" w:line="360" w:lineRule="auto"/>
        <w:jc w:val="both"/>
        <w:rPr>
          <w:rFonts w:ascii="Arial" w:hAnsi="Arial" w:cs="Arial"/>
          <w:sz w:val="24"/>
          <w:szCs w:val="24"/>
        </w:rPr>
      </w:pPr>
      <w:r>
        <w:rPr>
          <w:rFonts w:ascii="Arial" w:hAnsi="Arial" w:cs="Arial"/>
          <w:sz w:val="24"/>
          <w:szCs w:val="24"/>
        </w:rPr>
        <w:lastRenderedPageBreak/>
        <w:t xml:space="preserve">Finally </w:t>
      </w:r>
      <w:r w:rsidR="009813E3">
        <w:rPr>
          <w:rFonts w:ascii="Arial" w:hAnsi="Arial" w:cs="Arial"/>
          <w:sz w:val="24"/>
          <w:szCs w:val="24"/>
        </w:rPr>
        <w:t>h</w:t>
      </w:r>
      <w:r>
        <w:rPr>
          <w:rFonts w:ascii="Arial" w:hAnsi="Arial" w:cs="Arial"/>
          <w:sz w:val="24"/>
          <w:szCs w:val="24"/>
        </w:rPr>
        <w:t>e</w:t>
      </w:r>
      <w:r w:rsidR="009813E3">
        <w:rPr>
          <w:rFonts w:ascii="Arial" w:hAnsi="Arial" w:cs="Arial"/>
          <w:sz w:val="24"/>
          <w:szCs w:val="24"/>
        </w:rPr>
        <w:t xml:space="preserve"> urg</w:t>
      </w:r>
      <w:r>
        <w:rPr>
          <w:rFonts w:ascii="Arial" w:hAnsi="Arial" w:cs="Arial"/>
          <w:sz w:val="24"/>
          <w:szCs w:val="24"/>
        </w:rPr>
        <w:t>ed that the order of 14</w:t>
      </w:r>
      <w:r w:rsidRPr="006911F8">
        <w:rPr>
          <w:rFonts w:ascii="Arial" w:hAnsi="Arial" w:cs="Arial"/>
          <w:sz w:val="24"/>
          <w:szCs w:val="24"/>
          <w:vertAlign w:val="superscript"/>
        </w:rPr>
        <w:t>th</w:t>
      </w:r>
      <w:r>
        <w:rPr>
          <w:rFonts w:ascii="Arial" w:hAnsi="Arial" w:cs="Arial"/>
          <w:sz w:val="24"/>
          <w:szCs w:val="24"/>
        </w:rPr>
        <w:t xml:space="preserve"> June, 2010 was an injunction to prevent the defendants from w</w:t>
      </w:r>
      <w:r w:rsidR="00150822">
        <w:rPr>
          <w:rFonts w:ascii="Arial" w:hAnsi="Arial" w:cs="Arial"/>
          <w:sz w:val="24"/>
          <w:szCs w:val="24"/>
        </w:rPr>
        <w:t>asting and depleting the assets</w:t>
      </w:r>
      <w:r>
        <w:rPr>
          <w:rFonts w:ascii="Arial" w:hAnsi="Arial" w:cs="Arial"/>
          <w:sz w:val="24"/>
          <w:szCs w:val="24"/>
        </w:rPr>
        <w:t xml:space="preserve"> </w:t>
      </w:r>
      <w:r w:rsidR="009813E3">
        <w:rPr>
          <w:rFonts w:ascii="Arial" w:hAnsi="Arial" w:cs="Arial"/>
          <w:sz w:val="24"/>
          <w:szCs w:val="24"/>
        </w:rPr>
        <w:t>w</w:t>
      </w:r>
      <w:r>
        <w:rPr>
          <w:rFonts w:ascii="Arial" w:hAnsi="Arial" w:cs="Arial"/>
          <w:sz w:val="24"/>
          <w:szCs w:val="24"/>
        </w:rPr>
        <w:t>hi</w:t>
      </w:r>
      <w:r w:rsidR="009813E3">
        <w:rPr>
          <w:rFonts w:ascii="Arial" w:hAnsi="Arial" w:cs="Arial"/>
          <w:sz w:val="24"/>
          <w:szCs w:val="24"/>
        </w:rPr>
        <w:t>ch</w:t>
      </w:r>
      <w:r>
        <w:rPr>
          <w:rFonts w:ascii="Arial" w:hAnsi="Arial" w:cs="Arial"/>
          <w:sz w:val="24"/>
          <w:szCs w:val="24"/>
        </w:rPr>
        <w:t xml:space="preserve"> order must be enforced</w:t>
      </w:r>
      <w:r w:rsidR="00150822">
        <w:rPr>
          <w:rFonts w:ascii="Arial" w:hAnsi="Arial" w:cs="Arial"/>
          <w:sz w:val="24"/>
          <w:szCs w:val="24"/>
        </w:rPr>
        <w:t>. He stated</w:t>
      </w:r>
      <w:r>
        <w:rPr>
          <w:rFonts w:ascii="Arial" w:hAnsi="Arial" w:cs="Arial"/>
          <w:sz w:val="24"/>
          <w:szCs w:val="24"/>
        </w:rPr>
        <w:t xml:space="preserve"> that the circumstances under which th</w:t>
      </w:r>
      <w:r w:rsidR="009813E3">
        <w:rPr>
          <w:rFonts w:ascii="Arial" w:hAnsi="Arial" w:cs="Arial"/>
          <w:sz w:val="24"/>
          <w:szCs w:val="24"/>
        </w:rPr>
        <w:t>e</w:t>
      </w:r>
      <w:r>
        <w:rPr>
          <w:rFonts w:ascii="Arial" w:hAnsi="Arial" w:cs="Arial"/>
          <w:sz w:val="24"/>
          <w:szCs w:val="24"/>
        </w:rPr>
        <w:t xml:space="preserve"> order was made showed full disclosure of the facts and that the two affidavits have </w:t>
      </w:r>
      <w:r w:rsidR="009813E3">
        <w:rPr>
          <w:rFonts w:ascii="Arial" w:hAnsi="Arial" w:cs="Arial"/>
          <w:sz w:val="24"/>
          <w:szCs w:val="24"/>
        </w:rPr>
        <w:t xml:space="preserve">also </w:t>
      </w:r>
      <w:r w:rsidR="007B2698">
        <w:rPr>
          <w:rFonts w:ascii="Arial" w:hAnsi="Arial" w:cs="Arial"/>
          <w:sz w:val="24"/>
          <w:szCs w:val="24"/>
        </w:rPr>
        <w:t xml:space="preserve">given a full and </w:t>
      </w:r>
      <w:r w:rsidR="00592F30">
        <w:rPr>
          <w:rFonts w:ascii="Arial" w:hAnsi="Arial" w:cs="Arial"/>
          <w:sz w:val="24"/>
          <w:szCs w:val="24"/>
        </w:rPr>
        <w:t xml:space="preserve">frank disclosure of the facts. </w:t>
      </w:r>
      <w:r w:rsidR="007B2698">
        <w:rPr>
          <w:rFonts w:ascii="Arial" w:hAnsi="Arial" w:cs="Arial"/>
          <w:sz w:val="24"/>
          <w:szCs w:val="24"/>
        </w:rPr>
        <w:t>He urged me to grant the applications.</w:t>
      </w:r>
    </w:p>
    <w:p w:rsidR="009813E3" w:rsidRDefault="009813E3" w:rsidP="00D61949">
      <w:pPr>
        <w:spacing w:after="0" w:line="360" w:lineRule="auto"/>
        <w:jc w:val="both"/>
        <w:rPr>
          <w:rFonts w:ascii="Arial" w:hAnsi="Arial" w:cs="Arial"/>
          <w:sz w:val="24"/>
          <w:szCs w:val="24"/>
        </w:rPr>
      </w:pPr>
    </w:p>
    <w:p w:rsidR="00426AB0" w:rsidRDefault="007B2698" w:rsidP="00D61949">
      <w:pPr>
        <w:spacing w:after="0" w:line="360" w:lineRule="auto"/>
        <w:jc w:val="both"/>
        <w:rPr>
          <w:rFonts w:ascii="Arial" w:hAnsi="Arial" w:cs="Arial"/>
          <w:sz w:val="24"/>
          <w:szCs w:val="24"/>
        </w:rPr>
      </w:pPr>
      <w:r>
        <w:rPr>
          <w:rFonts w:ascii="Arial" w:hAnsi="Arial" w:cs="Arial"/>
          <w:sz w:val="24"/>
          <w:szCs w:val="24"/>
        </w:rPr>
        <w:t>I have considered the affidavit evidence and the submiss</w:t>
      </w:r>
      <w:r w:rsidR="00592F30">
        <w:rPr>
          <w:rFonts w:ascii="Arial" w:hAnsi="Arial" w:cs="Arial"/>
          <w:sz w:val="24"/>
          <w:szCs w:val="24"/>
        </w:rPr>
        <w:t xml:space="preserve">ions. </w:t>
      </w:r>
      <w:r w:rsidR="009813E3">
        <w:rPr>
          <w:rFonts w:ascii="Arial" w:hAnsi="Arial" w:cs="Arial"/>
          <w:sz w:val="24"/>
          <w:szCs w:val="24"/>
        </w:rPr>
        <w:t>I</w:t>
      </w:r>
      <w:r>
        <w:rPr>
          <w:rFonts w:ascii="Arial" w:hAnsi="Arial" w:cs="Arial"/>
          <w:sz w:val="24"/>
          <w:szCs w:val="24"/>
        </w:rPr>
        <w:t>t</w:t>
      </w:r>
      <w:r w:rsidR="009813E3">
        <w:rPr>
          <w:rFonts w:ascii="Arial" w:hAnsi="Arial" w:cs="Arial"/>
          <w:sz w:val="24"/>
          <w:szCs w:val="24"/>
        </w:rPr>
        <w:t xml:space="preserve"> </w:t>
      </w:r>
      <w:r>
        <w:rPr>
          <w:rFonts w:ascii="Arial" w:hAnsi="Arial" w:cs="Arial"/>
          <w:sz w:val="24"/>
          <w:szCs w:val="24"/>
        </w:rPr>
        <w:t xml:space="preserve">is </w:t>
      </w:r>
      <w:r w:rsidR="009813E3">
        <w:rPr>
          <w:rFonts w:ascii="Arial" w:hAnsi="Arial" w:cs="Arial"/>
          <w:sz w:val="24"/>
          <w:szCs w:val="24"/>
        </w:rPr>
        <w:t>a fa</w:t>
      </w:r>
      <w:r>
        <w:rPr>
          <w:rFonts w:ascii="Arial" w:hAnsi="Arial" w:cs="Arial"/>
          <w:sz w:val="24"/>
          <w:szCs w:val="24"/>
        </w:rPr>
        <w:t>c</w:t>
      </w:r>
      <w:r w:rsidR="009813E3">
        <w:rPr>
          <w:rFonts w:ascii="Arial" w:hAnsi="Arial" w:cs="Arial"/>
          <w:sz w:val="24"/>
          <w:szCs w:val="24"/>
        </w:rPr>
        <w:t>t</w:t>
      </w:r>
      <w:r w:rsidR="00B120A6">
        <w:rPr>
          <w:rFonts w:ascii="Arial" w:hAnsi="Arial" w:cs="Arial"/>
          <w:sz w:val="24"/>
          <w:szCs w:val="24"/>
        </w:rPr>
        <w:t xml:space="preserve"> that the plaintiff has an arbitral</w:t>
      </w:r>
      <w:r>
        <w:rPr>
          <w:rFonts w:ascii="Arial" w:hAnsi="Arial" w:cs="Arial"/>
          <w:sz w:val="24"/>
          <w:szCs w:val="24"/>
        </w:rPr>
        <w:t xml:space="preserve"> </w:t>
      </w:r>
      <w:r w:rsidR="00B120A6">
        <w:rPr>
          <w:rFonts w:ascii="Arial" w:hAnsi="Arial" w:cs="Arial"/>
          <w:sz w:val="24"/>
          <w:szCs w:val="24"/>
        </w:rPr>
        <w:t>award in its favour made by Mrs. Abha Patel on 28</w:t>
      </w:r>
      <w:r w:rsidR="00B120A6" w:rsidRPr="00B120A6">
        <w:rPr>
          <w:rFonts w:ascii="Arial" w:hAnsi="Arial" w:cs="Arial"/>
          <w:sz w:val="24"/>
          <w:szCs w:val="24"/>
          <w:vertAlign w:val="superscript"/>
        </w:rPr>
        <w:t>th</w:t>
      </w:r>
      <w:r w:rsidR="00B120A6">
        <w:rPr>
          <w:rFonts w:ascii="Arial" w:hAnsi="Arial" w:cs="Arial"/>
          <w:sz w:val="24"/>
          <w:szCs w:val="24"/>
        </w:rPr>
        <w:t xml:space="preserve"> August, 2008 in the sums of US$310,000 with interest at 2% above </w:t>
      </w:r>
      <w:r w:rsidR="002B09FC">
        <w:rPr>
          <w:rFonts w:ascii="Arial" w:hAnsi="Arial" w:cs="Arial"/>
          <w:sz w:val="24"/>
          <w:szCs w:val="24"/>
        </w:rPr>
        <w:t xml:space="preserve">LIBOR </w:t>
      </w:r>
      <w:r w:rsidR="00B120A6">
        <w:rPr>
          <w:rFonts w:ascii="Arial" w:hAnsi="Arial" w:cs="Arial"/>
          <w:sz w:val="24"/>
          <w:szCs w:val="24"/>
        </w:rPr>
        <w:t>from 30</w:t>
      </w:r>
      <w:r w:rsidR="00B120A6" w:rsidRPr="00B120A6">
        <w:rPr>
          <w:rFonts w:ascii="Arial" w:hAnsi="Arial" w:cs="Arial"/>
          <w:sz w:val="24"/>
          <w:szCs w:val="24"/>
          <w:vertAlign w:val="superscript"/>
        </w:rPr>
        <w:t>th</w:t>
      </w:r>
      <w:r w:rsidR="00B120A6">
        <w:rPr>
          <w:rFonts w:ascii="Arial" w:hAnsi="Arial" w:cs="Arial"/>
          <w:sz w:val="24"/>
          <w:szCs w:val="24"/>
        </w:rPr>
        <w:t xml:space="preserve"> June, 2006 the date of the appointment of the arbitrator to the date of payment</w:t>
      </w:r>
      <w:r w:rsidR="00426AB0">
        <w:rPr>
          <w:rFonts w:ascii="Arial" w:hAnsi="Arial" w:cs="Arial"/>
          <w:sz w:val="24"/>
          <w:szCs w:val="24"/>
        </w:rPr>
        <w:t xml:space="preserve"> and the sum of</w:t>
      </w:r>
      <w:r w:rsidR="00B120A6">
        <w:rPr>
          <w:rFonts w:ascii="Arial" w:hAnsi="Arial" w:cs="Arial"/>
          <w:sz w:val="24"/>
          <w:szCs w:val="24"/>
        </w:rPr>
        <w:t xml:space="preserve"> K292,657,390 with interest at the rate specified in the Judgments Act also from 30</w:t>
      </w:r>
      <w:r w:rsidR="00B120A6" w:rsidRPr="00B120A6">
        <w:rPr>
          <w:rFonts w:ascii="Arial" w:hAnsi="Arial" w:cs="Arial"/>
          <w:sz w:val="24"/>
          <w:szCs w:val="24"/>
          <w:vertAlign w:val="superscript"/>
        </w:rPr>
        <w:t>th</w:t>
      </w:r>
      <w:r w:rsidR="00B120A6">
        <w:rPr>
          <w:rFonts w:ascii="Arial" w:hAnsi="Arial" w:cs="Arial"/>
          <w:sz w:val="24"/>
          <w:szCs w:val="24"/>
        </w:rPr>
        <w:t xml:space="preserve"> June 2006 to the date of </w:t>
      </w:r>
      <w:r w:rsidR="00192F87">
        <w:rPr>
          <w:rFonts w:ascii="Arial" w:hAnsi="Arial" w:cs="Arial"/>
          <w:sz w:val="24"/>
          <w:szCs w:val="24"/>
        </w:rPr>
        <w:t>payment</w:t>
      </w:r>
      <w:r w:rsidR="00592F30">
        <w:rPr>
          <w:rFonts w:ascii="Arial" w:hAnsi="Arial" w:cs="Arial"/>
          <w:sz w:val="24"/>
          <w:szCs w:val="24"/>
        </w:rPr>
        <w:t xml:space="preserve">. </w:t>
      </w:r>
    </w:p>
    <w:p w:rsidR="00426AB0" w:rsidRDefault="00426AB0" w:rsidP="00D61949">
      <w:pPr>
        <w:spacing w:after="0" w:line="360" w:lineRule="auto"/>
        <w:jc w:val="both"/>
        <w:rPr>
          <w:rFonts w:ascii="Arial" w:hAnsi="Arial" w:cs="Arial"/>
          <w:sz w:val="24"/>
          <w:szCs w:val="24"/>
        </w:rPr>
      </w:pPr>
    </w:p>
    <w:p w:rsidR="00426AB0" w:rsidRDefault="00B120A6" w:rsidP="00D61949">
      <w:pPr>
        <w:spacing w:after="0" w:line="360" w:lineRule="auto"/>
        <w:jc w:val="both"/>
        <w:rPr>
          <w:rFonts w:ascii="Arial" w:hAnsi="Arial" w:cs="Arial"/>
          <w:sz w:val="24"/>
          <w:szCs w:val="24"/>
        </w:rPr>
      </w:pPr>
      <w:r>
        <w:rPr>
          <w:rFonts w:ascii="Arial" w:hAnsi="Arial" w:cs="Arial"/>
          <w:sz w:val="24"/>
          <w:szCs w:val="24"/>
        </w:rPr>
        <w:t xml:space="preserve">It is </w:t>
      </w:r>
      <w:r w:rsidR="00426AB0">
        <w:rPr>
          <w:rFonts w:ascii="Arial" w:hAnsi="Arial" w:cs="Arial"/>
          <w:sz w:val="24"/>
          <w:szCs w:val="24"/>
        </w:rPr>
        <w:t>n</w:t>
      </w:r>
      <w:r>
        <w:rPr>
          <w:rFonts w:ascii="Arial" w:hAnsi="Arial" w:cs="Arial"/>
          <w:sz w:val="24"/>
          <w:szCs w:val="24"/>
        </w:rPr>
        <w:t>o</w:t>
      </w:r>
      <w:r w:rsidR="00426AB0">
        <w:rPr>
          <w:rFonts w:ascii="Arial" w:hAnsi="Arial" w:cs="Arial"/>
          <w:sz w:val="24"/>
          <w:szCs w:val="24"/>
        </w:rPr>
        <w:t>t i</w:t>
      </w:r>
      <w:r>
        <w:rPr>
          <w:rFonts w:ascii="Arial" w:hAnsi="Arial" w:cs="Arial"/>
          <w:sz w:val="24"/>
          <w:szCs w:val="24"/>
        </w:rPr>
        <w:t xml:space="preserve">n </w:t>
      </w:r>
      <w:r w:rsidR="00426AB0">
        <w:rPr>
          <w:rFonts w:ascii="Arial" w:hAnsi="Arial" w:cs="Arial"/>
          <w:sz w:val="24"/>
          <w:szCs w:val="24"/>
        </w:rPr>
        <w:t>disput</w:t>
      </w:r>
      <w:r>
        <w:rPr>
          <w:rFonts w:ascii="Arial" w:hAnsi="Arial" w:cs="Arial"/>
          <w:sz w:val="24"/>
          <w:szCs w:val="24"/>
        </w:rPr>
        <w:t xml:space="preserve">e that the final </w:t>
      </w:r>
      <w:r w:rsidR="001F5CC8">
        <w:rPr>
          <w:rFonts w:ascii="Arial" w:hAnsi="Arial" w:cs="Arial"/>
          <w:sz w:val="24"/>
          <w:szCs w:val="24"/>
        </w:rPr>
        <w:t xml:space="preserve">arbitral </w:t>
      </w:r>
      <w:r>
        <w:rPr>
          <w:rFonts w:ascii="Arial" w:hAnsi="Arial" w:cs="Arial"/>
          <w:sz w:val="24"/>
          <w:szCs w:val="24"/>
        </w:rPr>
        <w:t>award has not been met by the defendant</w:t>
      </w:r>
      <w:r w:rsidR="00192F87">
        <w:rPr>
          <w:rFonts w:ascii="Arial" w:hAnsi="Arial" w:cs="Arial"/>
          <w:sz w:val="24"/>
          <w:szCs w:val="24"/>
        </w:rPr>
        <w:t>s</w:t>
      </w:r>
      <w:r w:rsidR="001F5CC8">
        <w:rPr>
          <w:rFonts w:ascii="Arial" w:hAnsi="Arial" w:cs="Arial"/>
          <w:sz w:val="24"/>
          <w:szCs w:val="24"/>
        </w:rPr>
        <w:t xml:space="preserve">. </w:t>
      </w:r>
      <w:r w:rsidR="00426AB0">
        <w:rPr>
          <w:rFonts w:ascii="Arial" w:hAnsi="Arial" w:cs="Arial"/>
          <w:sz w:val="24"/>
          <w:szCs w:val="24"/>
        </w:rPr>
        <w:t>I refused t</w:t>
      </w:r>
      <w:r>
        <w:rPr>
          <w:rFonts w:ascii="Arial" w:hAnsi="Arial" w:cs="Arial"/>
          <w:sz w:val="24"/>
          <w:szCs w:val="24"/>
        </w:rPr>
        <w:t>he</w:t>
      </w:r>
      <w:r w:rsidR="00426AB0">
        <w:rPr>
          <w:rFonts w:ascii="Arial" w:hAnsi="Arial" w:cs="Arial"/>
          <w:sz w:val="24"/>
          <w:szCs w:val="24"/>
        </w:rPr>
        <w:t>ir</w:t>
      </w:r>
      <w:r>
        <w:rPr>
          <w:rFonts w:ascii="Arial" w:hAnsi="Arial" w:cs="Arial"/>
          <w:sz w:val="24"/>
          <w:szCs w:val="24"/>
        </w:rPr>
        <w:t xml:space="preserve"> attempt to set aside the arbitral award o</w:t>
      </w:r>
      <w:r w:rsidR="00426AB0">
        <w:rPr>
          <w:rFonts w:ascii="Arial" w:hAnsi="Arial" w:cs="Arial"/>
          <w:sz w:val="24"/>
          <w:szCs w:val="24"/>
        </w:rPr>
        <w:t>n</w:t>
      </w:r>
      <w:r>
        <w:rPr>
          <w:rFonts w:ascii="Arial" w:hAnsi="Arial" w:cs="Arial"/>
          <w:sz w:val="24"/>
          <w:szCs w:val="24"/>
        </w:rPr>
        <w:t xml:space="preserve"> </w:t>
      </w:r>
      <w:r w:rsidR="001F5CC8">
        <w:rPr>
          <w:rFonts w:ascii="Arial" w:hAnsi="Arial" w:cs="Arial"/>
          <w:sz w:val="24"/>
          <w:szCs w:val="24"/>
        </w:rPr>
        <w:t>1</w:t>
      </w:r>
      <w:r>
        <w:rPr>
          <w:rFonts w:ascii="Arial" w:hAnsi="Arial" w:cs="Arial"/>
          <w:sz w:val="24"/>
          <w:szCs w:val="24"/>
        </w:rPr>
        <w:t>6</w:t>
      </w:r>
      <w:r w:rsidRPr="00B120A6">
        <w:rPr>
          <w:rFonts w:ascii="Arial" w:hAnsi="Arial" w:cs="Arial"/>
          <w:sz w:val="24"/>
          <w:szCs w:val="24"/>
          <w:vertAlign w:val="superscript"/>
        </w:rPr>
        <w:t>th</w:t>
      </w:r>
      <w:r w:rsidR="00592F30">
        <w:rPr>
          <w:rFonts w:ascii="Arial" w:hAnsi="Arial" w:cs="Arial"/>
          <w:sz w:val="24"/>
          <w:szCs w:val="24"/>
        </w:rPr>
        <w:t xml:space="preserve"> April, 2009. </w:t>
      </w:r>
      <w:r>
        <w:rPr>
          <w:rFonts w:ascii="Arial" w:hAnsi="Arial" w:cs="Arial"/>
          <w:sz w:val="24"/>
          <w:szCs w:val="24"/>
        </w:rPr>
        <w:t>On 16</w:t>
      </w:r>
      <w:r w:rsidRPr="00B120A6">
        <w:rPr>
          <w:rFonts w:ascii="Arial" w:hAnsi="Arial" w:cs="Arial"/>
          <w:sz w:val="24"/>
          <w:szCs w:val="24"/>
          <w:vertAlign w:val="superscript"/>
        </w:rPr>
        <w:t>th</w:t>
      </w:r>
      <w:r>
        <w:rPr>
          <w:rFonts w:ascii="Arial" w:hAnsi="Arial" w:cs="Arial"/>
          <w:sz w:val="24"/>
          <w:szCs w:val="24"/>
        </w:rPr>
        <w:t xml:space="preserve"> July, 2009 I rejected an ex</w:t>
      </w:r>
      <w:r w:rsidR="00825180">
        <w:rPr>
          <w:rFonts w:ascii="Arial" w:hAnsi="Arial" w:cs="Arial"/>
          <w:sz w:val="24"/>
          <w:szCs w:val="24"/>
        </w:rPr>
        <w:t xml:space="preserve"> </w:t>
      </w:r>
      <w:r>
        <w:rPr>
          <w:rFonts w:ascii="Arial" w:hAnsi="Arial" w:cs="Arial"/>
          <w:sz w:val="24"/>
          <w:szCs w:val="24"/>
        </w:rPr>
        <w:t>parte order for stay of execution</w:t>
      </w:r>
      <w:r w:rsidR="00192F87">
        <w:rPr>
          <w:rFonts w:ascii="Arial" w:hAnsi="Arial" w:cs="Arial"/>
          <w:sz w:val="24"/>
          <w:szCs w:val="24"/>
        </w:rPr>
        <w:t>,</w:t>
      </w:r>
      <w:r>
        <w:rPr>
          <w:rFonts w:ascii="Arial" w:hAnsi="Arial" w:cs="Arial"/>
          <w:sz w:val="24"/>
          <w:szCs w:val="24"/>
        </w:rPr>
        <w:t xml:space="preserve"> but I granted an interim order for stay on 4</w:t>
      </w:r>
      <w:r w:rsidRPr="00B120A6">
        <w:rPr>
          <w:rFonts w:ascii="Arial" w:hAnsi="Arial" w:cs="Arial"/>
          <w:sz w:val="24"/>
          <w:szCs w:val="24"/>
          <w:vertAlign w:val="superscript"/>
        </w:rPr>
        <w:t>th</w:t>
      </w:r>
      <w:r>
        <w:rPr>
          <w:rFonts w:ascii="Arial" w:hAnsi="Arial" w:cs="Arial"/>
          <w:sz w:val="24"/>
          <w:szCs w:val="24"/>
        </w:rPr>
        <w:t xml:space="preserve"> August, 2009 after the parties indicated that they were trying to settle</w:t>
      </w:r>
      <w:r w:rsidR="00592F30">
        <w:rPr>
          <w:rFonts w:ascii="Arial" w:hAnsi="Arial" w:cs="Arial"/>
          <w:sz w:val="24"/>
          <w:szCs w:val="24"/>
        </w:rPr>
        <w:t xml:space="preserve"> the matter ex</w:t>
      </w:r>
      <w:r w:rsidR="00825180">
        <w:rPr>
          <w:rFonts w:ascii="Arial" w:hAnsi="Arial" w:cs="Arial"/>
          <w:sz w:val="24"/>
          <w:szCs w:val="24"/>
        </w:rPr>
        <w:t xml:space="preserve"> </w:t>
      </w:r>
      <w:r w:rsidR="00592F30">
        <w:rPr>
          <w:rFonts w:ascii="Arial" w:hAnsi="Arial" w:cs="Arial"/>
          <w:sz w:val="24"/>
          <w:szCs w:val="24"/>
        </w:rPr>
        <w:t xml:space="preserve">curial. </w:t>
      </w:r>
      <w:r w:rsidR="00192F87">
        <w:rPr>
          <w:rFonts w:ascii="Arial" w:hAnsi="Arial" w:cs="Arial"/>
          <w:sz w:val="24"/>
          <w:szCs w:val="24"/>
        </w:rPr>
        <w:t xml:space="preserve">On </w:t>
      </w:r>
      <w:r>
        <w:rPr>
          <w:rFonts w:ascii="Arial" w:hAnsi="Arial" w:cs="Arial"/>
          <w:sz w:val="24"/>
          <w:szCs w:val="24"/>
        </w:rPr>
        <w:t>15</w:t>
      </w:r>
      <w:r w:rsidRPr="00B120A6">
        <w:rPr>
          <w:rFonts w:ascii="Arial" w:hAnsi="Arial" w:cs="Arial"/>
          <w:sz w:val="24"/>
          <w:szCs w:val="24"/>
          <w:vertAlign w:val="superscript"/>
        </w:rPr>
        <w:t>th</w:t>
      </w:r>
      <w:r>
        <w:rPr>
          <w:rFonts w:ascii="Arial" w:hAnsi="Arial" w:cs="Arial"/>
          <w:sz w:val="24"/>
          <w:szCs w:val="24"/>
        </w:rPr>
        <w:t xml:space="preserve"> March, 2010, I refused </w:t>
      </w:r>
      <w:r w:rsidR="001F5CC8">
        <w:rPr>
          <w:rFonts w:ascii="Arial" w:hAnsi="Arial" w:cs="Arial"/>
          <w:sz w:val="24"/>
          <w:szCs w:val="24"/>
        </w:rPr>
        <w:t xml:space="preserve">an </w:t>
      </w:r>
      <w:r>
        <w:rPr>
          <w:rFonts w:ascii="Arial" w:hAnsi="Arial" w:cs="Arial"/>
          <w:sz w:val="24"/>
          <w:szCs w:val="24"/>
        </w:rPr>
        <w:t xml:space="preserve">application by the defendant for extension of time to appeal to the Supreme Court for reasons clearly stated in the </w:t>
      </w:r>
      <w:r w:rsidR="00592F30">
        <w:rPr>
          <w:rFonts w:ascii="Arial" w:hAnsi="Arial" w:cs="Arial"/>
          <w:sz w:val="24"/>
          <w:szCs w:val="24"/>
        </w:rPr>
        <w:t xml:space="preserve">ruling delivered on that date. </w:t>
      </w:r>
      <w:r>
        <w:rPr>
          <w:rFonts w:ascii="Arial" w:hAnsi="Arial" w:cs="Arial"/>
          <w:sz w:val="24"/>
          <w:szCs w:val="24"/>
        </w:rPr>
        <w:t>However I granted the defendant</w:t>
      </w:r>
      <w:r w:rsidR="00192F87">
        <w:rPr>
          <w:rFonts w:ascii="Arial" w:hAnsi="Arial" w:cs="Arial"/>
          <w:sz w:val="24"/>
          <w:szCs w:val="24"/>
        </w:rPr>
        <w:t>s</w:t>
      </w:r>
      <w:r>
        <w:rPr>
          <w:rFonts w:ascii="Arial" w:hAnsi="Arial" w:cs="Arial"/>
          <w:sz w:val="24"/>
          <w:szCs w:val="24"/>
        </w:rPr>
        <w:t xml:space="preserve"> leave to appeal against the dismissal of the application</w:t>
      </w:r>
      <w:r w:rsidR="00592F30">
        <w:rPr>
          <w:rFonts w:ascii="Arial" w:hAnsi="Arial" w:cs="Arial"/>
          <w:sz w:val="24"/>
          <w:szCs w:val="24"/>
        </w:rPr>
        <w:t xml:space="preserve">. </w:t>
      </w:r>
      <w:r>
        <w:rPr>
          <w:rFonts w:ascii="Arial" w:hAnsi="Arial" w:cs="Arial"/>
          <w:sz w:val="24"/>
          <w:szCs w:val="24"/>
        </w:rPr>
        <w:t>The appeal was filed on 22</w:t>
      </w:r>
      <w:r w:rsidRPr="00B120A6">
        <w:rPr>
          <w:rFonts w:ascii="Arial" w:hAnsi="Arial" w:cs="Arial"/>
          <w:sz w:val="24"/>
          <w:szCs w:val="24"/>
          <w:vertAlign w:val="superscript"/>
        </w:rPr>
        <w:t>nd</w:t>
      </w:r>
      <w:r>
        <w:rPr>
          <w:rFonts w:ascii="Arial" w:hAnsi="Arial" w:cs="Arial"/>
          <w:sz w:val="24"/>
          <w:szCs w:val="24"/>
        </w:rPr>
        <w:t xml:space="preserve"> March, 2010.</w:t>
      </w:r>
      <w:r w:rsidR="00426AB0">
        <w:rPr>
          <w:rFonts w:ascii="Arial" w:hAnsi="Arial" w:cs="Arial"/>
          <w:sz w:val="24"/>
          <w:szCs w:val="24"/>
        </w:rPr>
        <w:t xml:space="preserve"> </w:t>
      </w:r>
      <w:r w:rsidR="00F23C33">
        <w:rPr>
          <w:rFonts w:ascii="Arial" w:hAnsi="Arial" w:cs="Arial"/>
          <w:sz w:val="24"/>
          <w:szCs w:val="24"/>
        </w:rPr>
        <w:t>O</w:t>
      </w:r>
      <w:r>
        <w:rPr>
          <w:rFonts w:ascii="Arial" w:hAnsi="Arial" w:cs="Arial"/>
          <w:sz w:val="24"/>
          <w:szCs w:val="24"/>
        </w:rPr>
        <w:t>n</w:t>
      </w:r>
      <w:r w:rsidR="00F23C33">
        <w:rPr>
          <w:rFonts w:ascii="Arial" w:hAnsi="Arial" w:cs="Arial"/>
          <w:sz w:val="24"/>
          <w:szCs w:val="24"/>
        </w:rPr>
        <w:t xml:space="preserve"> </w:t>
      </w:r>
      <w:r>
        <w:rPr>
          <w:rFonts w:ascii="Arial" w:hAnsi="Arial" w:cs="Arial"/>
          <w:sz w:val="24"/>
          <w:szCs w:val="24"/>
        </w:rPr>
        <w:t xml:space="preserve">the same date a writ of </w:t>
      </w:r>
      <w:r w:rsidR="00192F87">
        <w:rPr>
          <w:rFonts w:ascii="Arial" w:hAnsi="Arial" w:cs="Arial"/>
          <w:sz w:val="24"/>
          <w:szCs w:val="24"/>
        </w:rPr>
        <w:t>fi.fa</w:t>
      </w:r>
      <w:r>
        <w:rPr>
          <w:rFonts w:ascii="Arial" w:hAnsi="Arial" w:cs="Arial"/>
          <w:sz w:val="24"/>
          <w:szCs w:val="24"/>
        </w:rPr>
        <w:t xml:space="preserve"> was filed into </w:t>
      </w:r>
      <w:r w:rsidR="00192F87">
        <w:rPr>
          <w:rFonts w:ascii="Arial" w:hAnsi="Arial" w:cs="Arial"/>
          <w:sz w:val="24"/>
          <w:szCs w:val="24"/>
        </w:rPr>
        <w:t>c</w:t>
      </w:r>
      <w:r>
        <w:rPr>
          <w:rFonts w:ascii="Arial" w:hAnsi="Arial" w:cs="Arial"/>
          <w:sz w:val="24"/>
          <w:szCs w:val="24"/>
        </w:rPr>
        <w:t>ourt by the plaintiff while the defendant</w:t>
      </w:r>
      <w:r w:rsidR="00192F87">
        <w:rPr>
          <w:rFonts w:ascii="Arial" w:hAnsi="Arial" w:cs="Arial"/>
          <w:sz w:val="24"/>
          <w:szCs w:val="24"/>
        </w:rPr>
        <w:t>s</w:t>
      </w:r>
      <w:r>
        <w:rPr>
          <w:rFonts w:ascii="Arial" w:hAnsi="Arial" w:cs="Arial"/>
          <w:sz w:val="24"/>
          <w:szCs w:val="24"/>
        </w:rPr>
        <w:t xml:space="preserve"> filed an ex</w:t>
      </w:r>
      <w:r w:rsidR="00192F87">
        <w:rPr>
          <w:rFonts w:ascii="Arial" w:hAnsi="Arial" w:cs="Arial"/>
          <w:sz w:val="24"/>
          <w:szCs w:val="24"/>
        </w:rPr>
        <w:t xml:space="preserve"> </w:t>
      </w:r>
      <w:r>
        <w:rPr>
          <w:rFonts w:ascii="Arial" w:hAnsi="Arial" w:cs="Arial"/>
          <w:sz w:val="24"/>
          <w:szCs w:val="24"/>
        </w:rPr>
        <w:t>parte summons</w:t>
      </w:r>
      <w:r w:rsidR="00972C72">
        <w:rPr>
          <w:rFonts w:ascii="Arial" w:hAnsi="Arial" w:cs="Arial"/>
          <w:sz w:val="24"/>
          <w:szCs w:val="24"/>
        </w:rPr>
        <w:t xml:space="preserve"> for stay of execution. Another summons was filed on 15</w:t>
      </w:r>
      <w:r w:rsidR="00972C72" w:rsidRPr="00972C72">
        <w:rPr>
          <w:rFonts w:ascii="Arial" w:hAnsi="Arial" w:cs="Arial"/>
          <w:sz w:val="24"/>
          <w:szCs w:val="24"/>
          <w:vertAlign w:val="superscript"/>
        </w:rPr>
        <w:t>th</w:t>
      </w:r>
      <w:r w:rsidR="00972C72">
        <w:rPr>
          <w:rFonts w:ascii="Arial" w:hAnsi="Arial" w:cs="Arial"/>
          <w:sz w:val="24"/>
          <w:szCs w:val="24"/>
        </w:rPr>
        <w:t xml:space="preserve"> April, 2010. </w:t>
      </w:r>
    </w:p>
    <w:p w:rsidR="00426AB0" w:rsidRDefault="00426AB0" w:rsidP="00D61949">
      <w:pPr>
        <w:spacing w:after="0" w:line="360" w:lineRule="auto"/>
        <w:jc w:val="both"/>
        <w:rPr>
          <w:rFonts w:ascii="Arial" w:hAnsi="Arial" w:cs="Arial"/>
          <w:sz w:val="24"/>
          <w:szCs w:val="24"/>
        </w:rPr>
      </w:pPr>
    </w:p>
    <w:p w:rsidR="00426AB0" w:rsidRDefault="00972C72" w:rsidP="00D61949">
      <w:pPr>
        <w:spacing w:after="0" w:line="360" w:lineRule="auto"/>
        <w:jc w:val="both"/>
        <w:rPr>
          <w:rFonts w:ascii="Arial" w:hAnsi="Arial" w:cs="Arial"/>
          <w:sz w:val="24"/>
          <w:szCs w:val="24"/>
        </w:rPr>
      </w:pPr>
      <w:r>
        <w:rPr>
          <w:rFonts w:ascii="Arial" w:hAnsi="Arial" w:cs="Arial"/>
          <w:sz w:val="24"/>
          <w:szCs w:val="24"/>
        </w:rPr>
        <w:t>On 14</w:t>
      </w:r>
      <w:r w:rsidRPr="00972C72">
        <w:rPr>
          <w:rFonts w:ascii="Arial" w:hAnsi="Arial" w:cs="Arial"/>
          <w:sz w:val="24"/>
          <w:szCs w:val="24"/>
          <w:vertAlign w:val="superscript"/>
        </w:rPr>
        <w:t>th</w:t>
      </w:r>
      <w:r>
        <w:rPr>
          <w:rFonts w:ascii="Arial" w:hAnsi="Arial" w:cs="Arial"/>
          <w:sz w:val="24"/>
          <w:szCs w:val="24"/>
        </w:rPr>
        <w:t xml:space="preserve"> June, 2010 I granted a stay of execution of the arbitral award pending the determination of </w:t>
      </w:r>
      <w:r w:rsidR="0060781B">
        <w:rPr>
          <w:rFonts w:ascii="Arial" w:hAnsi="Arial" w:cs="Arial"/>
          <w:sz w:val="24"/>
          <w:szCs w:val="24"/>
        </w:rPr>
        <w:t>the appeal to the Supreme Court</w:t>
      </w:r>
      <w:r w:rsidR="00220D2E">
        <w:rPr>
          <w:rFonts w:ascii="Arial" w:hAnsi="Arial" w:cs="Arial"/>
          <w:sz w:val="24"/>
          <w:szCs w:val="24"/>
        </w:rPr>
        <w:t xml:space="preserve">, </w:t>
      </w:r>
      <w:r w:rsidR="00825180">
        <w:rPr>
          <w:rFonts w:ascii="Arial" w:hAnsi="Arial" w:cs="Arial"/>
          <w:sz w:val="24"/>
          <w:szCs w:val="24"/>
        </w:rPr>
        <w:t>on condition</w:t>
      </w:r>
      <w:r>
        <w:rPr>
          <w:rFonts w:ascii="Arial" w:hAnsi="Arial" w:cs="Arial"/>
          <w:sz w:val="24"/>
          <w:szCs w:val="24"/>
        </w:rPr>
        <w:t xml:space="preserve"> that the plaintiff </w:t>
      </w:r>
      <w:r w:rsidR="00192F87">
        <w:rPr>
          <w:rFonts w:ascii="Arial" w:hAnsi="Arial" w:cs="Arial"/>
          <w:sz w:val="24"/>
          <w:szCs w:val="24"/>
        </w:rPr>
        <w:t>be</w:t>
      </w:r>
      <w:r>
        <w:rPr>
          <w:rFonts w:ascii="Arial" w:hAnsi="Arial" w:cs="Arial"/>
          <w:sz w:val="24"/>
          <w:szCs w:val="24"/>
        </w:rPr>
        <w:t xml:space="preserve"> paid the full arbitral award without delay i</w:t>
      </w:r>
      <w:r w:rsidR="00825180">
        <w:rPr>
          <w:rFonts w:ascii="Arial" w:hAnsi="Arial" w:cs="Arial"/>
          <w:sz w:val="24"/>
          <w:szCs w:val="24"/>
        </w:rPr>
        <w:t xml:space="preserve">f the appeal failed. </w:t>
      </w:r>
      <w:r w:rsidR="00192F87">
        <w:rPr>
          <w:rFonts w:ascii="Arial" w:hAnsi="Arial" w:cs="Arial"/>
          <w:sz w:val="24"/>
          <w:szCs w:val="24"/>
        </w:rPr>
        <w:t xml:space="preserve">I </w:t>
      </w:r>
      <w:r w:rsidR="00426AB0">
        <w:rPr>
          <w:rFonts w:ascii="Arial" w:hAnsi="Arial" w:cs="Arial"/>
          <w:sz w:val="24"/>
          <w:szCs w:val="24"/>
        </w:rPr>
        <w:t>also</w:t>
      </w:r>
      <w:r w:rsidR="00825180">
        <w:rPr>
          <w:rFonts w:ascii="Arial" w:hAnsi="Arial" w:cs="Arial"/>
          <w:sz w:val="24"/>
          <w:szCs w:val="24"/>
        </w:rPr>
        <w:t xml:space="preserve"> </w:t>
      </w:r>
      <w:r>
        <w:rPr>
          <w:rFonts w:ascii="Arial" w:hAnsi="Arial" w:cs="Arial"/>
          <w:sz w:val="24"/>
          <w:szCs w:val="24"/>
        </w:rPr>
        <w:t>d</w:t>
      </w:r>
      <w:r w:rsidR="00825180">
        <w:rPr>
          <w:rFonts w:ascii="Arial" w:hAnsi="Arial" w:cs="Arial"/>
          <w:sz w:val="24"/>
          <w:szCs w:val="24"/>
        </w:rPr>
        <w:t>irected the defendant</w:t>
      </w:r>
      <w:r w:rsidR="00192F87">
        <w:rPr>
          <w:rFonts w:ascii="Arial" w:hAnsi="Arial" w:cs="Arial"/>
          <w:sz w:val="24"/>
          <w:szCs w:val="24"/>
        </w:rPr>
        <w:t>s</w:t>
      </w:r>
      <w:r w:rsidR="00825180">
        <w:rPr>
          <w:rFonts w:ascii="Arial" w:hAnsi="Arial" w:cs="Arial"/>
          <w:sz w:val="24"/>
          <w:szCs w:val="24"/>
        </w:rPr>
        <w:t xml:space="preserve"> n</w:t>
      </w:r>
      <w:r>
        <w:rPr>
          <w:rFonts w:ascii="Arial" w:hAnsi="Arial" w:cs="Arial"/>
          <w:sz w:val="24"/>
          <w:szCs w:val="24"/>
        </w:rPr>
        <w:t>o</w:t>
      </w:r>
      <w:r w:rsidR="00825180">
        <w:rPr>
          <w:rFonts w:ascii="Arial" w:hAnsi="Arial" w:cs="Arial"/>
          <w:sz w:val="24"/>
          <w:szCs w:val="24"/>
        </w:rPr>
        <w:t>t</w:t>
      </w:r>
      <w:r>
        <w:rPr>
          <w:rFonts w:ascii="Arial" w:hAnsi="Arial" w:cs="Arial"/>
          <w:sz w:val="24"/>
          <w:szCs w:val="24"/>
        </w:rPr>
        <w:t xml:space="preserve"> </w:t>
      </w:r>
      <w:r w:rsidR="00825180">
        <w:rPr>
          <w:rFonts w:ascii="Arial" w:hAnsi="Arial" w:cs="Arial"/>
          <w:sz w:val="24"/>
          <w:szCs w:val="24"/>
        </w:rPr>
        <w:t xml:space="preserve">to </w:t>
      </w:r>
      <w:r>
        <w:rPr>
          <w:rFonts w:ascii="Arial" w:hAnsi="Arial" w:cs="Arial"/>
          <w:sz w:val="24"/>
          <w:szCs w:val="24"/>
        </w:rPr>
        <w:t>wast</w:t>
      </w:r>
      <w:r w:rsidR="00825180">
        <w:rPr>
          <w:rFonts w:ascii="Arial" w:hAnsi="Arial" w:cs="Arial"/>
          <w:sz w:val="24"/>
          <w:szCs w:val="24"/>
        </w:rPr>
        <w:t xml:space="preserve">e </w:t>
      </w:r>
      <w:r>
        <w:rPr>
          <w:rFonts w:ascii="Arial" w:hAnsi="Arial" w:cs="Arial"/>
          <w:sz w:val="24"/>
          <w:szCs w:val="24"/>
        </w:rPr>
        <w:t>or deplet</w:t>
      </w:r>
      <w:r w:rsidR="00825180">
        <w:rPr>
          <w:rFonts w:ascii="Arial" w:hAnsi="Arial" w:cs="Arial"/>
          <w:sz w:val="24"/>
          <w:szCs w:val="24"/>
        </w:rPr>
        <w:t>e</w:t>
      </w:r>
      <w:r>
        <w:rPr>
          <w:rFonts w:ascii="Arial" w:hAnsi="Arial" w:cs="Arial"/>
          <w:sz w:val="24"/>
          <w:szCs w:val="24"/>
        </w:rPr>
        <w:t xml:space="preserve"> </w:t>
      </w:r>
      <w:r w:rsidR="00F23C33">
        <w:rPr>
          <w:rFonts w:ascii="Arial" w:hAnsi="Arial" w:cs="Arial"/>
          <w:sz w:val="24"/>
          <w:szCs w:val="24"/>
        </w:rPr>
        <w:t xml:space="preserve">their </w:t>
      </w:r>
      <w:r>
        <w:rPr>
          <w:rFonts w:ascii="Arial" w:hAnsi="Arial" w:cs="Arial"/>
          <w:sz w:val="24"/>
          <w:szCs w:val="24"/>
        </w:rPr>
        <w:t>assets except for legitimate and necessary expenditure</w:t>
      </w:r>
      <w:r w:rsidR="000311A3">
        <w:rPr>
          <w:rFonts w:ascii="Arial" w:hAnsi="Arial" w:cs="Arial"/>
          <w:sz w:val="24"/>
          <w:szCs w:val="24"/>
        </w:rPr>
        <w:t>.</w:t>
      </w:r>
      <w:r w:rsidR="00426AB0">
        <w:rPr>
          <w:rFonts w:ascii="Arial" w:hAnsi="Arial" w:cs="Arial"/>
          <w:sz w:val="24"/>
          <w:szCs w:val="24"/>
        </w:rPr>
        <w:t xml:space="preserve"> T</w:t>
      </w:r>
      <w:r>
        <w:rPr>
          <w:rFonts w:ascii="Arial" w:hAnsi="Arial" w:cs="Arial"/>
          <w:sz w:val="24"/>
          <w:szCs w:val="24"/>
        </w:rPr>
        <w:t>he</w:t>
      </w:r>
      <w:r w:rsidR="00426AB0">
        <w:rPr>
          <w:rFonts w:ascii="Arial" w:hAnsi="Arial" w:cs="Arial"/>
          <w:sz w:val="24"/>
          <w:szCs w:val="24"/>
        </w:rPr>
        <w:t xml:space="preserve"> </w:t>
      </w:r>
      <w:r>
        <w:rPr>
          <w:rFonts w:ascii="Arial" w:hAnsi="Arial" w:cs="Arial"/>
          <w:sz w:val="24"/>
          <w:szCs w:val="24"/>
        </w:rPr>
        <w:t>Supreme Court dismissed the defendants</w:t>
      </w:r>
      <w:r w:rsidR="00F23C33">
        <w:rPr>
          <w:rFonts w:ascii="Arial" w:hAnsi="Arial" w:cs="Arial"/>
          <w:sz w:val="24"/>
          <w:szCs w:val="24"/>
        </w:rPr>
        <w:t>’</w:t>
      </w:r>
      <w:r>
        <w:rPr>
          <w:rFonts w:ascii="Arial" w:hAnsi="Arial" w:cs="Arial"/>
          <w:sz w:val="24"/>
          <w:szCs w:val="24"/>
        </w:rPr>
        <w:t xml:space="preserve"> appeal</w:t>
      </w:r>
      <w:r w:rsidR="00952F4D">
        <w:rPr>
          <w:rFonts w:ascii="Arial" w:hAnsi="Arial" w:cs="Arial"/>
          <w:sz w:val="24"/>
          <w:szCs w:val="24"/>
        </w:rPr>
        <w:t xml:space="preserve"> </w:t>
      </w:r>
      <w:r w:rsidR="00F23C33">
        <w:rPr>
          <w:rFonts w:ascii="Arial" w:hAnsi="Arial" w:cs="Arial"/>
          <w:sz w:val="24"/>
          <w:szCs w:val="24"/>
        </w:rPr>
        <w:t>in the j</w:t>
      </w:r>
      <w:r w:rsidR="00952F4D">
        <w:rPr>
          <w:rFonts w:ascii="Arial" w:hAnsi="Arial" w:cs="Arial"/>
          <w:sz w:val="24"/>
          <w:szCs w:val="24"/>
        </w:rPr>
        <w:t>udgment exhibited as “ES2”</w:t>
      </w:r>
      <w:r>
        <w:rPr>
          <w:rFonts w:ascii="Arial" w:hAnsi="Arial" w:cs="Arial"/>
          <w:sz w:val="24"/>
          <w:szCs w:val="24"/>
        </w:rPr>
        <w:t>. It is quite clear that after the dismissal of the appeal the defendant</w:t>
      </w:r>
      <w:r w:rsidR="00F23C33">
        <w:rPr>
          <w:rFonts w:ascii="Arial" w:hAnsi="Arial" w:cs="Arial"/>
          <w:sz w:val="24"/>
          <w:szCs w:val="24"/>
        </w:rPr>
        <w:t>s</w:t>
      </w:r>
      <w:r>
        <w:rPr>
          <w:rFonts w:ascii="Arial" w:hAnsi="Arial" w:cs="Arial"/>
          <w:sz w:val="24"/>
          <w:szCs w:val="24"/>
        </w:rPr>
        <w:t xml:space="preserve"> did not endeavour to settle the arbitral award as </w:t>
      </w:r>
      <w:r w:rsidR="00952F4D">
        <w:rPr>
          <w:rFonts w:ascii="Arial" w:hAnsi="Arial" w:cs="Arial"/>
          <w:sz w:val="24"/>
          <w:szCs w:val="24"/>
        </w:rPr>
        <w:t xml:space="preserve">I </w:t>
      </w:r>
      <w:r>
        <w:rPr>
          <w:rFonts w:ascii="Arial" w:hAnsi="Arial" w:cs="Arial"/>
          <w:sz w:val="24"/>
          <w:szCs w:val="24"/>
        </w:rPr>
        <w:t>directed in the ruling of 14</w:t>
      </w:r>
      <w:r w:rsidRPr="00972C72">
        <w:rPr>
          <w:rFonts w:ascii="Arial" w:hAnsi="Arial" w:cs="Arial"/>
          <w:sz w:val="24"/>
          <w:szCs w:val="24"/>
          <w:vertAlign w:val="superscript"/>
        </w:rPr>
        <w:t>th</w:t>
      </w:r>
      <w:r>
        <w:rPr>
          <w:rFonts w:ascii="Arial" w:hAnsi="Arial" w:cs="Arial"/>
          <w:sz w:val="24"/>
          <w:szCs w:val="24"/>
        </w:rPr>
        <w:t xml:space="preserve"> June, 2010. </w:t>
      </w:r>
    </w:p>
    <w:p w:rsidR="000311A3" w:rsidRDefault="00972C72" w:rsidP="00D61949">
      <w:pPr>
        <w:spacing w:after="0" w:line="360" w:lineRule="auto"/>
        <w:jc w:val="both"/>
        <w:rPr>
          <w:rFonts w:ascii="Arial" w:hAnsi="Arial" w:cs="Arial"/>
          <w:sz w:val="24"/>
          <w:szCs w:val="24"/>
        </w:rPr>
      </w:pPr>
      <w:r>
        <w:rPr>
          <w:rFonts w:ascii="Arial" w:hAnsi="Arial" w:cs="Arial"/>
          <w:sz w:val="24"/>
          <w:szCs w:val="24"/>
        </w:rPr>
        <w:lastRenderedPageBreak/>
        <w:t>There is no dispute that on 23</w:t>
      </w:r>
      <w:r w:rsidRPr="00972C72">
        <w:rPr>
          <w:rFonts w:ascii="Arial" w:hAnsi="Arial" w:cs="Arial"/>
          <w:sz w:val="24"/>
          <w:szCs w:val="24"/>
          <w:vertAlign w:val="superscript"/>
        </w:rPr>
        <w:t>rd</w:t>
      </w:r>
      <w:r>
        <w:rPr>
          <w:rFonts w:ascii="Arial" w:hAnsi="Arial" w:cs="Arial"/>
          <w:sz w:val="24"/>
          <w:szCs w:val="24"/>
        </w:rPr>
        <w:t xml:space="preserve"> April, 2012 the plaintiff was granted leave by the learned Deputy Registrar to reissue the writ of fi</w:t>
      </w:r>
      <w:r w:rsidR="00825180">
        <w:rPr>
          <w:rFonts w:ascii="Arial" w:hAnsi="Arial" w:cs="Arial"/>
          <w:sz w:val="24"/>
          <w:szCs w:val="24"/>
        </w:rPr>
        <w:t>.</w:t>
      </w:r>
      <w:r>
        <w:rPr>
          <w:rFonts w:ascii="Arial" w:hAnsi="Arial" w:cs="Arial"/>
          <w:sz w:val="24"/>
          <w:szCs w:val="24"/>
        </w:rPr>
        <w:t>fa (“ES3”). The fi</w:t>
      </w:r>
      <w:r w:rsidR="00825180">
        <w:rPr>
          <w:rFonts w:ascii="Arial" w:hAnsi="Arial" w:cs="Arial"/>
          <w:sz w:val="24"/>
          <w:szCs w:val="24"/>
        </w:rPr>
        <w:t>.</w:t>
      </w:r>
      <w:r>
        <w:rPr>
          <w:rFonts w:ascii="Arial" w:hAnsi="Arial" w:cs="Arial"/>
          <w:sz w:val="24"/>
          <w:szCs w:val="24"/>
        </w:rPr>
        <w:t>fa was reissued for the total sum of US$399,124.99 and K780,663.587.8</w:t>
      </w:r>
      <w:r w:rsidR="0060781B">
        <w:rPr>
          <w:rFonts w:ascii="Arial" w:hAnsi="Arial" w:cs="Arial"/>
          <w:sz w:val="24"/>
          <w:szCs w:val="24"/>
        </w:rPr>
        <w:t>2 inclusive of interest (</w:t>
      </w:r>
      <w:r w:rsidR="00F23C33">
        <w:rPr>
          <w:rFonts w:ascii="Arial" w:hAnsi="Arial" w:cs="Arial"/>
          <w:sz w:val="24"/>
          <w:szCs w:val="24"/>
        </w:rPr>
        <w:t>“</w:t>
      </w:r>
      <w:r w:rsidR="0060781B">
        <w:rPr>
          <w:rFonts w:ascii="Arial" w:hAnsi="Arial" w:cs="Arial"/>
          <w:sz w:val="24"/>
          <w:szCs w:val="24"/>
        </w:rPr>
        <w:t>ES4</w:t>
      </w:r>
      <w:r w:rsidR="00F23C33">
        <w:rPr>
          <w:rFonts w:ascii="Arial" w:hAnsi="Arial" w:cs="Arial"/>
          <w:sz w:val="24"/>
          <w:szCs w:val="24"/>
        </w:rPr>
        <w:t>”</w:t>
      </w:r>
      <w:r w:rsidR="0060781B">
        <w:rPr>
          <w:rFonts w:ascii="Arial" w:hAnsi="Arial" w:cs="Arial"/>
          <w:sz w:val="24"/>
          <w:szCs w:val="24"/>
        </w:rPr>
        <w:t xml:space="preserve">). </w:t>
      </w:r>
      <w:r>
        <w:rPr>
          <w:rFonts w:ascii="Arial" w:hAnsi="Arial" w:cs="Arial"/>
          <w:sz w:val="24"/>
          <w:szCs w:val="24"/>
        </w:rPr>
        <w:t>So far these amounts are not disputed</w:t>
      </w:r>
      <w:r w:rsidR="00F23C33">
        <w:rPr>
          <w:rFonts w:ascii="Arial" w:hAnsi="Arial" w:cs="Arial"/>
          <w:sz w:val="24"/>
          <w:szCs w:val="24"/>
        </w:rPr>
        <w:t xml:space="preserve"> by the defendants</w:t>
      </w:r>
      <w:r>
        <w:rPr>
          <w:rFonts w:ascii="Arial" w:hAnsi="Arial" w:cs="Arial"/>
          <w:sz w:val="24"/>
          <w:szCs w:val="24"/>
        </w:rPr>
        <w:t xml:space="preserve">. The </w:t>
      </w:r>
      <w:r w:rsidR="00F23C33">
        <w:rPr>
          <w:rFonts w:ascii="Arial" w:hAnsi="Arial" w:cs="Arial"/>
          <w:sz w:val="24"/>
          <w:szCs w:val="24"/>
        </w:rPr>
        <w:t xml:space="preserve">writ of </w:t>
      </w:r>
      <w:r>
        <w:rPr>
          <w:rFonts w:ascii="Arial" w:hAnsi="Arial" w:cs="Arial"/>
          <w:sz w:val="24"/>
          <w:szCs w:val="24"/>
        </w:rPr>
        <w:t>fi</w:t>
      </w:r>
      <w:r w:rsidR="00F23C33">
        <w:rPr>
          <w:rFonts w:ascii="Arial" w:hAnsi="Arial" w:cs="Arial"/>
          <w:sz w:val="24"/>
          <w:szCs w:val="24"/>
        </w:rPr>
        <w:t>.</w:t>
      </w:r>
      <w:r>
        <w:rPr>
          <w:rFonts w:ascii="Arial" w:hAnsi="Arial" w:cs="Arial"/>
          <w:sz w:val="24"/>
          <w:szCs w:val="24"/>
        </w:rPr>
        <w:t>fa was executed on 24</w:t>
      </w:r>
      <w:r w:rsidRPr="00972C72">
        <w:rPr>
          <w:rFonts w:ascii="Arial" w:hAnsi="Arial" w:cs="Arial"/>
          <w:sz w:val="24"/>
          <w:szCs w:val="24"/>
          <w:vertAlign w:val="superscript"/>
        </w:rPr>
        <w:t>th</w:t>
      </w:r>
      <w:r>
        <w:rPr>
          <w:rFonts w:ascii="Arial" w:hAnsi="Arial" w:cs="Arial"/>
          <w:sz w:val="24"/>
          <w:szCs w:val="24"/>
        </w:rPr>
        <w:t xml:space="preserve"> May, 2012 and CAT excavator LC 925 was seized. On 30</w:t>
      </w:r>
      <w:r w:rsidRPr="00972C72">
        <w:rPr>
          <w:rFonts w:ascii="Arial" w:hAnsi="Arial" w:cs="Arial"/>
          <w:sz w:val="24"/>
          <w:szCs w:val="24"/>
          <w:vertAlign w:val="superscript"/>
        </w:rPr>
        <w:t>th</w:t>
      </w:r>
      <w:r>
        <w:rPr>
          <w:rFonts w:ascii="Arial" w:hAnsi="Arial" w:cs="Arial"/>
          <w:sz w:val="24"/>
          <w:szCs w:val="24"/>
        </w:rPr>
        <w:t xml:space="preserve"> May, 2012 Copper</w:t>
      </w:r>
      <w:r w:rsidR="006F34CE">
        <w:rPr>
          <w:rFonts w:ascii="Arial" w:hAnsi="Arial" w:cs="Arial"/>
          <w:sz w:val="24"/>
          <w:szCs w:val="24"/>
        </w:rPr>
        <w:t xml:space="preserve"> </w:t>
      </w:r>
      <w:r>
        <w:rPr>
          <w:rFonts w:ascii="Arial" w:hAnsi="Arial" w:cs="Arial"/>
          <w:sz w:val="24"/>
          <w:szCs w:val="24"/>
        </w:rPr>
        <w:t xml:space="preserve">fields Mining Services Limited issued a </w:t>
      </w:r>
      <w:r w:rsidR="00952F4D">
        <w:rPr>
          <w:rFonts w:ascii="Arial" w:hAnsi="Arial" w:cs="Arial"/>
          <w:sz w:val="24"/>
          <w:szCs w:val="24"/>
        </w:rPr>
        <w:t>n</w:t>
      </w:r>
      <w:r>
        <w:rPr>
          <w:rFonts w:ascii="Arial" w:hAnsi="Arial" w:cs="Arial"/>
          <w:sz w:val="24"/>
          <w:szCs w:val="24"/>
        </w:rPr>
        <w:t xml:space="preserve">otice of claim </w:t>
      </w:r>
      <w:r w:rsidR="00592F30">
        <w:rPr>
          <w:rFonts w:ascii="Arial" w:hAnsi="Arial" w:cs="Arial"/>
          <w:sz w:val="24"/>
          <w:szCs w:val="24"/>
        </w:rPr>
        <w:t>to the goods taken in execution (“ES5”)</w:t>
      </w:r>
      <w:r w:rsidR="00DF69C4">
        <w:rPr>
          <w:rFonts w:ascii="Arial" w:hAnsi="Arial" w:cs="Arial"/>
          <w:sz w:val="24"/>
          <w:szCs w:val="24"/>
        </w:rPr>
        <w:t>.</w:t>
      </w:r>
      <w:r w:rsidR="00592F30">
        <w:rPr>
          <w:rFonts w:ascii="Arial" w:hAnsi="Arial" w:cs="Arial"/>
          <w:sz w:val="24"/>
          <w:szCs w:val="24"/>
        </w:rPr>
        <w:t xml:space="preserve"> </w:t>
      </w:r>
      <w:r w:rsidR="00DF69C4">
        <w:rPr>
          <w:rFonts w:ascii="Arial" w:hAnsi="Arial" w:cs="Arial"/>
          <w:sz w:val="24"/>
          <w:szCs w:val="24"/>
        </w:rPr>
        <w:t>O</w:t>
      </w:r>
      <w:r w:rsidR="00952F4D">
        <w:rPr>
          <w:rFonts w:ascii="Arial" w:hAnsi="Arial" w:cs="Arial"/>
          <w:sz w:val="24"/>
          <w:szCs w:val="24"/>
        </w:rPr>
        <w:t>n</w:t>
      </w:r>
      <w:r w:rsidR="00DF69C4">
        <w:rPr>
          <w:rFonts w:ascii="Arial" w:hAnsi="Arial" w:cs="Arial"/>
          <w:sz w:val="24"/>
          <w:szCs w:val="24"/>
        </w:rPr>
        <w:t xml:space="preserve"> </w:t>
      </w:r>
      <w:r w:rsidR="00952F4D">
        <w:rPr>
          <w:rFonts w:ascii="Arial" w:hAnsi="Arial" w:cs="Arial"/>
          <w:sz w:val="24"/>
          <w:szCs w:val="24"/>
        </w:rPr>
        <w:t>5</w:t>
      </w:r>
      <w:r w:rsidR="00952F4D" w:rsidRPr="00592F30">
        <w:rPr>
          <w:rFonts w:ascii="Arial" w:hAnsi="Arial" w:cs="Arial"/>
          <w:sz w:val="24"/>
          <w:szCs w:val="24"/>
          <w:vertAlign w:val="superscript"/>
        </w:rPr>
        <w:t>th</w:t>
      </w:r>
      <w:r w:rsidR="00952F4D">
        <w:rPr>
          <w:rFonts w:ascii="Arial" w:hAnsi="Arial" w:cs="Arial"/>
          <w:sz w:val="24"/>
          <w:szCs w:val="24"/>
        </w:rPr>
        <w:t xml:space="preserve"> June, 2012, </w:t>
      </w:r>
      <w:r w:rsidR="00592F30">
        <w:rPr>
          <w:rFonts w:ascii="Arial" w:hAnsi="Arial" w:cs="Arial"/>
          <w:sz w:val="24"/>
          <w:szCs w:val="24"/>
        </w:rPr>
        <w:t>the Assistant Sheriff issued interpleader summons.  On 10</w:t>
      </w:r>
      <w:r w:rsidR="00592F30" w:rsidRPr="00592F30">
        <w:rPr>
          <w:rFonts w:ascii="Arial" w:hAnsi="Arial" w:cs="Arial"/>
          <w:sz w:val="24"/>
          <w:szCs w:val="24"/>
          <w:vertAlign w:val="superscript"/>
        </w:rPr>
        <w:t>th</w:t>
      </w:r>
      <w:r w:rsidR="00592F30">
        <w:rPr>
          <w:rFonts w:ascii="Arial" w:hAnsi="Arial" w:cs="Arial"/>
          <w:sz w:val="24"/>
          <w:szCs w:val="24"/>
        </w:rPr>
        <w:t xml:space="preserve"> August, 2012 the learned Deputy Registrar ruled in favour of the claimant and found that the equipment seized belonged to the claimant (“ES6”).  </w:t>
      </w:r>
    </w:p>
    <w:p w:rsidR="00202487" w:rsidRDefault="00202487" w:rsidP="00D61949">
      <w:pPr>
        <w:spacing w:after="0" w:line="360" w:lineRule="auto"/>
        <w:jc w:val="both"/>
        <w:rPr>
          <w:rFonts w:ascii="Arial" w:hAnsi="Arial" w:cs="Arial"/>
          <w:sz w:val="24"/>
          <w:szCs w:val="24"/>
        </w:rPr>
      </w:pPr>
    </w:p>
    <w:p w:rsidR="00972C72" w:rsidRDefault="00592F30" w:rsidP="00D61949">
      <w:pPr>
        <w:spacing w:after="0" w:line="360" w:lineRule="auto"/>
        <w:jc w:val="both"/>
        <w:rPr>
          <w:rFonts w:ascii="Arial" w:hAnsi="Arial" w:cs="Arial"/>
          <w:sz w:val="24"/>
          <w:szCs w:val="24"/>
        </w:rPr>
      </w:pPr>
      <w:r>
        <w:rPr>
          <w:rFonts w:ascii="Arial" w:hAnsi="Arial" w:cs="Arial"/>
          <w:sz w:val="24"/>
          <w:szCs w:val="24"/>
        </w:rPr>
        <w:t>It is quite clear to me that further execution to recover the arbitral award has failed.  The Debit and Advice Note by the Sherriff and his officer exhibited as “ES7” indicates that execution failed on 30</w:t>
      </w:r>
      <w:r w:rsidRPr="00592F30">
        <w:rPr>
          <w:rFonts w:ascii="Arial" w:hAnsi="Arial" w:cs="Arial"/>
          <w:sz w:val="24"/>
          <w:szCs w:val="24"/>
          <w:vertAlign w:val="superscript"/>
        </w:rPr>
        <w:t>th</w:t>
      </w:r>
      <w:r>
        <w:rPr>
          <w:rFonts w:ascii="Arial" w:hAnsi="Arial" w:cs="Arial"/>
          <w:sz w:val="24"/>
          <w:szCs w:val="24"/>
        </w:rPr>
        <w:t xml:space="preserve"> August, 2012 because the defendant has no goods worth seizing. This state of affairs has prompted the plaintiff to apply for equitable execution by way of appointment of an equitable receiver.</w:t>
      </w:r>
    </w:p>
    <w:p w:rsidR="00592F30" w:rsidRDefault="00592F30" w:rsidP="00D61949">
      <w:pPr>
        <w:spacing w:after="0" w:line="360" w:lineRule="auto"/>
        <w:jc w:val="both"/>
        <w:rPr>
          <w:rFonts w:ascii="Arial" w:hAnsi="Arial" w:cs="Arial"/>
          <w:sz w:val="24"/>
          <w:szCs w:val="24"/>
        </w:rPr>
      </w:pPr>
    </w:p>
    <w:p w:rsidR="000311A3" w:rsidRDefault="00952F4D" w:rsidP="00D61949">
      <w:pPr>
        <w:spacing w:after="0" w:line="360" w:lineRule="auto"/>
        <w:jc w:val="both"/>
        <w:rPr>
          <w:rFonts w:ascii="Arial" w:hAnsi="Arial" w:cs="Arial"/>
          <w:sz w:val="24"/>
          <w:szCs w:val="24"/>
        </w:rPr>
      </w:pPr>
      <w:r>
        <w:rPr>
          <w:rFonts w:ascii="Arial" w:hAnsi="Arial" w:cs="Arial"/>
          <w:sz w:val="24"/>
          <w:szCs w:val="24"/>
        </w:rPr>
        <w:t>U</w:t>
      </w:r>
      <w:r w:rsidR="00592F30">
        <w:rPr>
          <w:rFonts w:ascii="Arial" w:hAnsi="Arial" w:cs="Arial"/>
          <w:sz w:val="24"/>
          <w:szCs w:val="24"/>
        </w:rPr>
        <w:t xml:space="preserve">nder </w:t>
      </w:r>
      <w:r>
        <w:rPr>
          <w:rFonts w:ascii="Arial" w:hAnsi="Arial" w:cs="Arial"/>
          <w:sz w:val="24"/>
          <w:szCs w:val="24"/>
        </w:rPr>
        <w:t>O</w:t>
      </w:r>
      <w:r w:rsidR="00592F30">
        <w:rPr>
          <w:rFonts w:ascii="Arial" w:hAnsi="Arial" w:cs="Arial"/>
          <w:sz w:val="24"/>
          <w:szCs w:val="24"/>
        </w:rPr>
        <w:t>rder 51 (3)(1)</w:t>
      </w:r>
      <w:r>
        <w:rPr>
          <w:rFonts w:ascii="Arial" w:hAnsi="Arial" w:cs="Arial"/>
          <w:sz w:val="24"/>
          <w:szCs w:val="24"/>
        </w:rPr>
        <w:t xml:space="preserve"> RSC</w:t>
      </w:r>
      <w:r w:rsidR="00592F30">
        <w:rPr>
          <w:rFonts w:ascii="Arial" w:hAnsi="Arial" w:cs="Arial"/>
          <w:sz w:val="24"/>
          <w:szCs w:val="24"/>
        </w:rPr>
        <w:t xml:space="preserve">, an application for the appointment of a receiver by way of equitable execution may be made in accordance with Order 30, </w:t>
      </w:r>
      <w:r w:rsidR="000311A3">
        <w:rPr>
          <w:rFonts w:ascii="Arial" w:hAnsi="Arial" w:cs="Arial"/>
          <w:sz w:val="24"/>
          <w:szCs w:val="24"/>
        </w:rPr>
        <w:t>r</w:t>
      </w:r>
      <w:r w:rsidR="00592F30">
        <w:rPr>
          <w:rFonts w:ascii="Arial" w:hAnsi="Arial" w:cs="Arial"/>
          <w:sz w:val="24"/>
          <w:szCs w:val="24"/>
        </w:rPr>
        <w:t>ule 1</w:t>
      </w:r>
      <w:r w:rsidR="00DF69C4">
        <w:rPr>
          <w:rFonts w:ascii="Arial" w:hAnsi="Arial" w:cs="Arial"/>
          <w:sz w:val="24"/>
          <w:szCs w:val="24"/>
        </w:rPr>
        <w:t>.</w:t>
      </w:r>
      <w:r w:rsidR="00592F30">
        <w:rPr>
          <w:rFonts w:ascii="Arial" w:hAnsi="Arial" w:cs="Arial"/>
          <w:sz w:val="24"/>
          <w:szCs w:val="24"/>
        </w:rPr>
        <w:t xml:space="preserve"> Rules 2 to 6 of that </w:t>
      </w:r>
      <w:r w:rsidR="00EE6281">
        <w:rPr>
          <w:rFonts w:ascii="Arial" w:hAnsi="Arial" w:cs="Arial"/>
          <w:sz w:val="24"/>
          <w:szCs w:val="24"/>
        </w:rPr>
        <w:t>Order apply in relation to a receiver appointed by way of equitable execution as they apply in relation to a receiver appointed for any other purpose. It is clear that</w:t>
      </w:r>
      <w:r>
        <w:rPr>
          <w:rFonts w:ascii="Arial" w:hAnsi="Arial" w:cs="Arial"/>
          <w:sz w:val="24"/>
          <w:szCs w:val="24"/>
        </w:rPr>
        <w:t xml:space="preserve"> under Order 30 (1)(</w:t>
      </w:r>
      <w:r w:rsidR="00DF69C4">
        <w:rPr>
          <w:rFonts w:ascii="Arial" w:hAnsi="Arial" w:cs="Arial"/>
          <w:sz w:val="24"/>
          <w:szCs w:val="24"/>
        </w:rPr>
        <w:t>2</w:t>
      </w:r>
      <w:r>
        <w:rPr>
          <w:rFonts w:ascii="Arial" w:hAnsi="Arial" w:cs="Arial"/>
          <w:sz w:val="24"/>
          <w:szCs w:val="24"/>
        </w:rPr>
        <w:t>),</w:t>
      </w:r>
      <w:r w:rsidR="00EE6281">
        <w:rPr>
          <w:rFonts w:ascii="Arial" w:hAnsi="Arial" w:cs="Arial"/>
          <w:sz w:val="24"/>
          <w:szCs w:val="24"/>
        </w:rPr>
        <w:t xml:space="preserve"> an application for an injunction ancillary or incidental to an order appointing a receiver may be joined with the application for a receiver.</w:t>
      </w:r>
      <w:r w:rsidR="000311A3">
        <w:rPr>
          <w:rFonts w:ascii="Arial" w:hAnsi="Arial" w:cs="Arial"/>
          <w:sz w:val="24"/>
          <w:szCs w:val="24"/>
        </w:rPr>
        <w:t xml:space="preserve"> </w:t>
      </w:r>
      <w:r w:rsidR="00AD1DC1">
        <w:rPr>
          <w:rFonts w:ascii="Arial" w:hAnsi="Arial" w:cs="Arial"/>
          <w:sz w:val="24"/>
          <w:szCs w:val="24"/>
        </w:rPr>
        <w:t xml:space="preserve">It </w:t>
      </w:r>
      <w:r w:rsidR="00EE6281">
        <w:rPr>
          <w:rFonts w:ascii="Arial" w:hAnsi="Arial" w:cs="Arial"/>
          <w:sz w:val="24"/>
          <w:szCs w:val="24"/>
        </w:rPr>
        <w:t>must be noted from the start that once judgment has been obtained against a debtor there are a number of enforcement options available to a judgment creditor including an execution by writ of fi</w:t>
      </w:r>
      <w:r w:rsidR="00DF69C4">
        <w:rPr>
          <w:rFonts w:ascii="Arial" w:hAnsi="Arial" w:cs="Arial"/>
          <w:sz w:val="24"/>
          <w:szCs w:val="24"/>
        </w:rPr>
        <w:t>.</w:t>
      </w:r>
      <w:r w:rsidR="00EE6281">
        <w:rPr>
          <w:rFonts w:ascii="Arial" w:hAnsi="Arial" w:cs="Arial"/>
          <w:sz w:val="24"/>
          <w:szCs w:val="24"/>
        </w:rPr>
        <w:t>fa</w:t>
      </w:r>
      <w:r>
        <w:rPr>
          <w:rFonts w:ascii="Arial" w:hAnsi="Arial" w:cs="Arial"/>
          <w:sz w:val="24"/>
          <w:szCs w:val="24"/>
        </w:rPr>
        <w:t>.</w:t>
      </w:r>
      <w:r w:rsidR="00EE6281">
        <w:rPr>
          <w:rFonts w:ascii="Arial" w:hAnsi="Arial" w:cs="Arial"/>
          <w:sz w:val="24"/>
          <w:szCs w:val="24"/>
        </w:rPr>
        <w:t xml:space="preserve"> But there are also a number of flexible options for enforcement of court orders against complex intangible </w:t>
      </w:r>
      <w:r w:rsidR="000311A3">
        <w:rPr>
          <w:rFonts w:ascii="Arial" w:hAnsi="Arial" w:cs="Arial"/>
          <w:sz w:val="24"/>
          <w:szCs w:val="24"/>
        </w:rPr>
        <w:t>assets.</w:t>
      </w:r>
      <w:r w:rsidR="00BC32BD">
        <w:rPr>
          <w:rFonts w:ascii="Arial" w:hAnsi="Arial" w:cs="Arial"/>
          <w:sz w:val="24"/>
          <w:szCs w:val="24"/>
        </w:rPr>
        <w:t xml:space="preserve"> These flexible methods are </w:t>
      </w:r>
      <w:r w:rsidR="00DF69C4">
        <w:rPr>
          <w:rFonts w:ascii="Arial" w:hAnsi="Arial" w:cs="Arial"/>
          <w:sz w:val="24"/>
          <w:szCs w:val="24"/>
        </w:rPr>
        <w:t>kn</w:t>
      </w:r>
      <w:r w:rsidR="00BC32BD">
        <w:rPr>
          <w:rFonts w:ascii="Arial" w:hAnsi="Arial" w:cs="Arial"/>
          <w:sz w:val="24"/>
          <w:szCs w:val="24"/>
        </w:rPr>
        <w:t xml:space="preserve">own as “equitable enforcement”. Equitable enforcement methods unlike other types of enforcement are not granted automatically as a right. </w:t>
      </w:r>
      <w:r w:rsidR="000311A3">
        <w:rPr>
          <w:rFonts w:ascii="Arial" w:hAnsi="Arial" w:cs="Arial"/>
          <w:sz w:val="24"/>
          <w:szCs w:val="24"/>
        </w:rPr>
        <w:t xml:space="preserve">It is a matter for the discretion of the court whether or not to grant equitable enforcement. </w:t>
      </w:r>
      <w:r w:rsidR="00BC32BD">
        <w:rPr>
          <w:rFonts w:ascii="Arial" w:hAnsi="Arial" w:cs="Arial"/>
          <w:sz w:val="24"/>
          <w:szCs w:val="24"/>
        </w:rPr>
        <w:t xml:space="preserve">The court will look at the entire circumstances in order to do what fairness and justice requires. </w:t>
      </w:r>
    </w:p>
    <w:p w:rsidR="000311A3" w:rsidRDefault="000311A3" w:rsidP="00D61949">
      <w:pPr>
        <w:spacing w:after="0" w:line="360" w:lineRule="auto"/>
        <w:jc w:val="both"/>
        <w:rPr>
          <w:rFonts w:ascii="Arial" w:hAnsi="Arial" w:cs="Arial"/>
          <w:sz w:val="24"/>
          <w:szCs w:val="24"/>
        </w:rPr>
      </w:pPr>
    </w:p>
    <w:p w:rsidR="000311A3" w:rsidRDefault="00BC32BD" w:rsidP="00D61949">
      <w:pPr>
        <w:spacing w:after="0" w:line="360" w:lineRule="auto"/>
        <w:jc w:val="both"/>
        <w:rPr>
          <w:rFonts w:ascii="Arial" w:hAnsi="Arial" w:cs="Arial"/>
          <w:sz w:val="24"/>
          <w:szCs w:val="24"/>
        </w:rPr>
      </w:pPr>
      <w:r>
        <w:rPr>
          <w:rFonts w:ascii="Arial" w:hAnsi="Arial" w:cs="Arial"/>
          <w:sz w:val="24"/>
          <w:szCs w:val="24"/>
        </w:rPr>
        <w:lastRenderedPageBreak/>
        <w:t xml:space="preserve">Equitable execution is usually granted only if the other conventional means of enforcement are ineffective or have failed. The court will, in exercising its discretion consider the conduct of the part </w:t>
      </w:r>
      <w:r w:rsidR="00DF69C4">
        <w:rPr>
          <w:rFonts w:ascii="Arial" w:hAnsi="Arial" w:cs="Arial"/>
          <w:sz w:val="24"/>
          <w:szCs w:val="24"/>
        </w:rPr>
        <w:t>that</w:t>
      </w:r>
      <w:r>
        <w:rPr>
          <w:rFonts w:ascii="Arial" w:hAnsi="Arial" w:cs="Arial"/>
          <w:sz w:val="24"/>
          <w:szCs w:val="24"/>
        </w:rPr>
        <w:t xml:space="preserve"> has made the application. The most common type of equitable enforcement involves the appointment of a “receiver by equitable execution”. This type of </w:t>
      </w:r>
      <w:r w:rsidR="00510605">
        <w:rPr>
          <w:rFonts w:ascii="Arial" w:hAnsi="Arial" w:cs="Arial"/>
          <w:sz w:val="24"/>
          <w:szCs w:val="24"/>
        </w:rPr>
        <w:t xml:space="preserve">receiver bears similarities </w:t>
      </w:r>
      <w:r w:rsidR="00EE6281">
        <w:rPr>
          <w:rFonts w:ascii="Arial" w:hAnsi="Arial" w:cs="Arial"/>
          <w:sz w:val="24"/>
          <w:szCs w:val="24"/>
        </w:rPr>
        <w:t xml:space="preserve">to a court appointed receiver by way of enforcement of security and many of the same considerations apply and the receiver’s status and duties to the court are similar. This is </w:t>
      </w:r>
      <w:r w:rsidR="00DF69C4">
        <w:rPr>
          <w:rFonts w:ascii="Arial" w:hAnsi="Arial" w:cs="Arial"/>
          <w:sz w:val="24"/>
          <w:szCs w:val="24"/>
        </w:rPr>
        <w:t xml:space="preserve">also </w:t>
      </w:r>
      <w:r w:rsidR="00EE6281">
        <w:rPr>
          <w:rFonts w:ascii="Arial" w:hAnsi="Arial" w:cs="Arial"/>
          <w:sz w:val="24"/>
          <w:szCs w:val="24"/>
        </w:rPr>
        <w:t>a similar process to garnishee, except that the ultimate objective is for the creditor to receive the net sale proceeds of an asset belonging to the debtor. The receiver must be appointed over specific property belonging to the judgment debtor and not over his property generally.</w:t>
      </w:r>
    </w:p>
    <w:p w:rsidR="00202487" w:rsidRDefault="00202487" w:rsidP="00D61949">
      <w:pPr>
        <w:spacing w:after="0" w:line="360" w:lineRule="auto"/>
        <w:jc w:val="both"/>
        <w:rPr>
          <w:rFonts w:ascii="Arial" w:hAnsi="Arial" w:cs="Arial"/>
          <w:sz w:val="24"/>
          <w:szCs w:val="24"/>
        </w:rPr>
      </w:pPr>
    </w:p>
    <w:p w:rsidR="0022050D" w:rsidRDefault="00EE6281" w:rsidP="00D61949">
      <w:pPr>
        <w:spacing w:after="0" w:line="360" w:lineRule="auto"/>
        <w:jc w:val="both"/>
        <w:rPr>
          <w:rFonts w:ascii="Arial" w:hAnsi="Arial" w:cs="Arial"/>
          <w:sz w:val="24"/>
          <w:szCs w:val="24"/>
        </w:rPr>
      </w:pPr>
      <w:r>
        <w:rPr>
          <w:rFonts w:ascii="Arial" w:hAnsi="Arial" w:cs="Arial"/>
          <w:sz w:val="24"/>
          <w:szCs w:val="24"/>
        </w:rPr>
        <w:t>The court may also give the receiver liberty to take such proceedings as might be necessary to force a sale of the property; whether under section 30 of the Law Property Act, 1925,</w:t>
      </w:r>
      <w:r w:rsidR="0022050D">
        <w:rPr>
          <w:rFonts w:ascii="Arial" w:hAnsi="Arial" w:cs="Arial"/>
          <w:sz w:val="24"/>
          <w:szCs w:val="24"/>
        </w:rPr>
        <w:t xml:space="preserve"> </w:t>
      </w:r>
      <w:r>
        <w:rPr>
          <w:rFonts w:ascii="Arial" w:hAnsi="Arial" w:cs="Arial"/>
          <w:sz w:val="24"/>
          <w:szCs w:val="24"/>
        </w:rPr>
        <w:t xml:space="preserve">or otherwise, in order to realise funds to pay the creditor. </w:t>
      </w:r>
      <w:r w:rsidR="0022050D">
        <w:rPr>
          <w:rFonts w:ascii="Arial" w:hAnsi="Arial" w:cs="Arial"/>
          <w:sz w:val="24"/>
          <w:szCs w:val="24"/>
        </w:rPr>
        <w:t>T</w:t>
      </w:r>
      <w:r w:rsidR="001F05A4">
        <w:rPr>
          <w:rFonts w:ascii="Arial" w:hAnsi="Arial" w:cs="Arial"/>
          <w:sz w:val="24"/>
          <w:szCs w:val="24"/>
        </w:rPr>
        <w:t>he</w:t>
      </w:r>
      <w:r w:rsidR="0022050D">
        <w:rPr>
          <w:rFonts w:ascii="Arial" w:hAnsi="Arial" w:cs="Arial"/>
          <w:sz w:val="24"/>
          <w:szCs w:val="24"/>
        </w:rPr>
        <w:t xml:space="preserve"> </w:t>
      </w:r>
      <w:r w:rsidR="001F05A4">
        <w:rPr>
          <w:rFonts w:ascii="Arial" w:hAnsi="Arial" w:cs="Arial"/>
          <w:sz w:val="24"/>
          <w:szCs w:val="24"/>
        </w:rPr>
        <w:t xml:space="preserve">court </w:t>
      </w:r>
      <w:r w:rsidR="00AD1DC1">
        <w:rPr>
          <w:rFonts w:ascii="Arial" w:hAnsi="Arial" w:cs="Arial"/>
          <w:sz w:val="24"/>
          <w:szCs w:val="24"/>
        </w:rPr>
        <w:t>in determining whether it is just and convenient that the appointment should be made must have regard to the amount claimed by the</w:t>
      </w:r>
      <w:r w:rsidR="00795715">
        <w:rPr>
          <w:rFonts w:ascii="Arial" w:hAnsi="Arial" w:cs="Arial"/>
          <w:sz w:val="24"/>
          <w:szCs w:val="24"/>
        </w:rPr>
        <w:t xml:space="preserve"> </w:t>
      </w:r>
      <w:r w:rsidR="00AD1DC1">
        <w:rPr>
          <w:rFonts w:ascii="Arial" w:hAnsi="Arial" w:cs="Arial"/>
          <w:sz w:val="24"/>
          <w:szCs w:val="24"/>
        </w:rPr>
        <w:t>judgment credito</w:t>
      </w:r>
      <w:r w:rsidR="00795715">
        <w:rPr>
          <w:rFonts w:ascii="Arial" w:hAnsi="Arial" w:cs="Arial"/>
          <w:sz w:val="24"/>
          <w:szCs w:val="24"/>
        </w:rPr>
        <w:t>r</w:t>
      </w:r>
      <w:r w:rsidR="00AD1DC1">
        <w:rPr>
          <w:rFonts w:ascii="Arial" w:hAnsi="Arial" w:cs="Arial"/>
          <w:sz w:val="24"/>
          <w:szCs w:val="24"/>
        </w:rPr>
        <w:t>, to the amount likely to be obtained by the receiver and</w:t>
      </w:r>
      <w:r w:rsidR="00D81961">
        <w:rPr>
          <w:rFonts w:ascii="Arial" w:hAnsi="Arial" w:cs="Arial"/>
          <w:sz w:val="24"/>
          <w:szCs w:val="24"/>
        </w:rPr>
        <w:t>,</w:t>
      </w:r>
      <w:r w:rsidR="00AD1DC1">
        <w:rPr>
          <w:rFonts w:ascii="Arial" w:hAnsi="Arial" w:cs="Arial"/>
          <w:sz w:val="24"/>
          <w:szCs w:val="24"/>
        </w:rPr>
        <w:t xml:space="preserve"> to the probable cost</w:t>
      </w:r>
      <w:r w:rsidR="0022050D">
        <w:rPr>
          <w:rFonts w:ascii="Arial" w:hAnsi="Arial" w:cs="Arial"/>
          <w:sz w:val="24"/>
          <w:szCs w:val="24"/>
        </w:rPr>
        <w:t xml:space="preserve"> of his appointment. T</w:t>
      </w:r>
      <w:r w:rsidR="00401017">
        <w:rPr>
          <w:rFonts w:ascii="Arial" w:hAnsi="Arial" w:cs="Arial"/>
          <w:sz w:val="24"/>
          <w:szCs w:val="24"/>
        </w:rPr>
        <w:t xml:space="preserve">he court can make an inquiry over these </w:t>
      </w:r>
      <w:r w:rsidR="007005DA">
        <w:rPr>
          <w:rFonts w:ascii="Arial" w:hAnsi="Arial" w:cs="Arial"/>
          <w:sz w:val="24"/>
          <w:szCs w:val="24"/>
        </w:rPr>
        <w:t>matter</w:t>
      </w:r>
      <w:r w:rsidR="00401017">
        <w:rPr>
          <w:rFonts w:ascii="Arial" w:hAnsi="Arial" w:cs="Arial"/>
          <w:sz w:val="24"/>
          <w:szCs w:val="24"/>
        </w:rPr>
        <w:t>s.</w:t>
      </w:r>
      <w:r w:rsidR="00D81961">
        <w:rPr>
          <w:rFonts w:ascii="Arial" w:hAnsi="Arial" w:cs="Arial"/>
          <w:sz w:val="24"/>
          <w:szCs w:val="24"/>
        </w:rPr>
        <w:t xml:space="preserve"> </w:t>
      </w:r>
      <w:r w:rsidR="0022050D">
        <w:rPr>
          <w:rFonts w:ascii="Arial" w:hAnsi="Arial" w:cs="Arial"/>
          <w:sz w:val="24"/>
          <w:szCs w:val="24"/>
        </w:rPr>
        <w:t>A</w:t>
      </w:r>
      <w:r w:rsidR="000311A3">
        <w:rPr>
          <w:rFonts w:ascii="Arial" w:hAnsi="Arial" w:cs="Arial"/>
          <w:sz w:val="24"/>
          <w:szCs w:val="24"/>
        </w:rPr>
        <w:t>s</w:t>
      </w:r>
      <w:r w:rsidR="0022050D">
        <w:rPr>
          <w:rFonts w:ascii="Arial" w:hAnsi="Arial" w:cs="Arial"/>
          <w:sz w:val="24"/>
          <w:szCs w:val="24"/>
        </w:rPr>
        <w:t xml:space="preserve"> </w:t>
      </w:r>
      <w:r w:rsidR="000311A3">
        <w:rPr>
          <w:rFonts w:ascii="Arial" w:hAnsi="Arial" w:cs="Arial"/>
          <w:sz w:val="24"/>
          <w:szCs w:val="24"/>
        </w:rPr>
        <w:t>submitted by Mr. Chalenga,</w:t>
      </w:r>
      <w:r w:rsidR="00401017">
        <w:rPr>
          <w:rFonts w:ascii="Arial" w:hAnsi="Arial" w:cs="Arial"/>
          <w:sz w:val="24"/>
          <w:szCs w:val="24"/>
        </w:rPr>
        <w:t xml:space="preserve"> in addition to the affidavit supporting the application for the appointment of the receiver, there should be a second affidavit which states that in the deponent’s judgment the named receiver is a fit and proper person to be appointed receiver. If the affidavit supporting the application shows sufficient grounds, an injunction may be granted restraining the debtor from assigning, charging or otherwise dealing with the property in </w:t>
      </w:r>
      <w:r w:rsidR="00D81961">
        <w:rPr>
          <w:rFonts w:ascii="Arial" w:hAnsi="Arial" w:cs="Arial"/>
          <w:sz w:val="24"/>
          <w:szCs w:val="24"/>
        </w:rPr>
        <w:t>issue</w:t>
      </w:r>
      <w:r w:rsidR="00401017">
        <w:rPr>
          <w:rFonts w:ascii="Arial" w:hAnsi="Arial" w:cs="Arial"/>
          <w:sz w:val="24"/>
          <w:szCs w:val="24"/>
        </w:rPr>
        <w:t xml:space="preserve"> until after the hearing of the inter</w:t>
      </w:r>
      <w:r w:rsidR="001F05A4">
        <w:rPr>
          <w:rFonts w:ascii="Arial" w:hAnsi="Arial" w:cs="Arial"/>
          <w:sz w:val="24"/>
          <w:szCs w:val="24"/>
        </w:rPr>
        <w:t xml:space="preserve"> </w:t>
      </w:r>
      <w:r w:rsidR="00D81961" w:rsidRPr="001F05A4">
        <w:rPr>
          <w:rFonts w:ascii="Arial" w:hAnsi="Arial" w:cs="Arial"/>
          <w:sz w:val="24"/>
          <w:szCs w:val="24"/>
        </w:rPr>
        <w:t>partes</w:t>
      </w:r>
      <w:r w:rsidR="00401017" w:rsidRPr="001F05A4">
        <w:rPr>
          <w:rFonts w:ascii="Arial" w:hAnsi="Arial" w:cs="Arial"/>
          <w:sz w:val="24"/>
          <w:szCs w:val="24"/>
        </w:rPr>
        <w:t xml:space="preserve"> </w:t>
      </w:r>
      <w:r w:rsidR="00401017">
        <w:rPr>
          <w:rFonts w:ascii="Arial" w:hAnsi="Arial" w:cs="Arial"/>
          <w:sz w:val="24"/>
          <w:szCs w:val="24"/>
        </w:rPr>
        <w:t>application (</w:t>
      </w:r>
      <w:r w:rsidR="0022050D">
        <w:rPr>
          <w:rFonts w:ascii="Arial" w:hAnsi="Arial" w:cs="Arial"/>
          <w:sz w:val="24"/>
          <w:szCs w:val="24"/>
        </w:rPr>
        <w:t xml:space="preserve">See Enforcing Money Judgment at </w:t>
      </w:r>
      <w:r w:rsidR="00401017">
        <w:rPr>
          <w:rFonts w:ascii="Arial" w:hAnsi="Arial" w:cs="Arial"/>
          <w:sz w:val="24"/>
          <w:szCs w:val="24"/>
        </w:rPr>
        <w:t>pages 123-12</w:t>
      </w:r>
      <w:r w:rsidR="0022050D">
        <w:rPr>
          <w:rFonts w:ascii="Arial" w:hAnsi="Arial" w:cs="Arial"/>
          <w:sz w:val="24"/>
          <w:szCs w:val="24"/>
        </w:rPr>
        <w:t>5</w:t>
      </w:r>
      <w:r w:rsidR="00B30C5F">
        <w:rPr>
          <w:rFonts w:ascii="Arial" w:hAnsi="Arial" w:cs="Arial"/>
          <w:sz w:val="24"/>
          <w:szCs w:val="24"/>
        </w:rPr>
        <w:t>)</w:t>
      </w:r>
      <w:r w:rsidR="00401017">
        <w:rPr>
          <w:rFonts w:ascii="Arial" w:hAnsi="Arial" w:cs="Arial"/>
          <w:sz w:val="24"/>
          <w:szCs w:val="24"/>
        </w:rPr>
        <w:t xml:space="preserve">. </w:t>
      </w:r>
    </w:p>
    <w:p w:rsidR="0022050D" w:rsidRDefault="0022050D" w:rsidP="00D61949">
      <w:pPr>
        <w:spacing w:after="0" w:line="360" w:lineRule="auto"/>
        <w:jc w:val="both"/>
        <w:rPr>
          <w:rFonts w:ascii="Arial" w:hAnsi="Arial" w:cs="Arial"/>
          <w:sz w:val="24"/>
          <w:szCs w:val="24"/>
        </w:rPr>
      </w:pPr>
    </w:p>
    <w:p w:rsidR="0022050D" w:rsidRDefault="00401017" w:rsidP="00D61949">
      <w:pPr>
        <w:spacing w:after="0" w:line="360" w:lineRule="auto"/>
        <w:jc w:val="both"/>
        <w:rPr>
          <w:rFonts w:ascii="Arial" w:hAnsi="Arial" w:cs="Arial"/>
          <w:sz w:val="24"/>
          <w:szCs w:val="24"/>
        </w:rPr>
      </w:pPr>
      <w:r>
        <w:rPr>
          <w:rFonts w:ascii="Arial" w:hAnsi="Arial" w:cs="Arial"/>
          <w:sz w:val="24"/>
          <w:szCs w:val="24"/>
        </w:rPr>
        <w:t xml:space="preserve">In this case, </w:t>
      </w:r>
      <w:r w:rsidR="003F2DFB">
        <w:rPr>
          <w:rFonts w:ascii="Arial" w:hAnsi="Arial" w:cs="Arial"/>
          <w:sz w:val="24"/>
          <w:szCs w:val="24"/>
        </w:rPr>
        <w:t>Mr. Chalenga</w:t>
      </w:r>
      <w:r>
        <w:rPr>
          <w:rFonts w:ascii="Arial" w:hAnsi="Arial" w:cs="Arial"/>
          <w:sz w:val="24"/>
          <w:szCs w:val="24"/>
        </w:rPr>
        <w:t xml:space="preserve"> urged that the plaintiff’s affidavit</w:t>
      </w:r>
      <w:r w:rsidR="007005DA">
        <w:rPr>
          <w:rFonts w:ascii="Arial" w:hAnsi="Arial" w:cs="Arial"/>
          <w:sz w:val="24"/>
          <w:szCs w:val="24"/>
        </w:rPr>
        <w:t>s</w:t>
      </w:r>
      <w:r>
        <w:rPr>
          <w:rFonts w:ascii="Arial" w:hAnsi="Arial" w:cs="Arial"/>
          <w:sz w:val="24"/>
          <w:szCs w:val="24"/>
        </w:rPr>
        <w:t xml:space="preserve"> do not disclose the property for which the receiver is to be appointed or that reference to an emerald mine or a license is not adequate description. </w:t>
      </w:r>
      <w:r w:rsidR="0022050D">
        <w:rPr>
          <w:rFonts w:ascii="Arial" w:hAnsi="Arial" w:cs="Arial"/>
          <w:sz w:val="24"/>
          <w:szCs w:val="24"/>
        </w:rPr>
        <w:t>H</w:t>
      </w:r>
      <w:r>
        <w:rPr>
          <w:rFonts w:ascii="Arial" w:hAnsi="Arial" w:cs="Arial"/>
          <w:sz w:val="24"/>
          <w:szCs w:val="24"/>
        </w:rPr>
        <w:t>e</w:t>
      </w:r>
      <w:r w:rsidR="0022050D">
        <w:rPr>
          <w:rFonts w:ascii="Arial" w:hAnsi="Arial" w:cs="Arial"/>
          <w:sz w:val="24"/>
          <w:szCs w:val="24"/>
        </w:rPr>
        <w:t xml:space="preserve"> </w:t>
      </w:r>
      <w:r>
        <w:rPr>
          <w:rFonts w:ascii="Arial" w:hAnsi="Arial" w:cs="Arial"/>
          <w:sz w:val="24"/>
          <w:szCs w:val="24"/>
        </w:rPr>
        <w:t>further urged that the further affidavit in which Mr. Stor</w:t>
      </w:r>
      <w:r w:rsidR="00C87585">
        <w:rPr>
          <w:rFonts w:ascii="Arial" w:hAnsi="Arial" w:cs="Arial"/>
          <w:sz w:val="24"/>
          <w:szCs w:val="24"/>
        </w:rPr>
        <w:t>t</w:t>
      </w:r>
      <w:r>
        <w:rPr>
          <w:rFonts w:ascii="Arial" w:hAnsi="Arial" w:cs="Arial"/>
          <w:sz w:val="24"/>
          <w:szCs w:val="24"/>
        </w:rPr>
        <w:t xml:space="preserve">i </w:t>
      </w:r>
      <w:r w:rsidR="00C87585">
        <w:rPr>
          <w:rFonts w:ascii="Arial" w:hAnsi="Arial" w:cs="Arial"/>
          <w:sz w:val="24"/>
          <w:szCs w:val="24"/>
        </w:rPr>
        <w:t>prop</w:t>
      </w:r>
      <w:r w:rsidR="008D40EE">
        <w:rPr>
          <w:rFonts w:ascii="Arial" w:hAnsi="Arial" w:cs="Arial"/>
          <w:sz w:val="24"/>
          <w:szCs w:val="24"/>
        </w:rPr>
        <w:t>o</w:t>
      </w:r>
      <w:r w:rsidR="00C87585">
        <w:rPr>
          <w:rFonts w:ascii="Arial" w:hAnsi="Arial" w:cs="Arial"/>
          <w:sz w:val="24"/>
          <w:szCs w:val="24"/>
        </w:rPr>
        <w:t xml:space="preserve">sed the appointment of Mr. Banda, SC as receiver falls short of the requirement of </w:t>
      </w:r>
      <w:r w:rsidR="007005DA">
        <w:rPr>
          <w:rFonts w:ascii="Arial" w:hAnsi="Arial" w:cs="Arial"/>
          <w:sz w:val="24"/>
          <w:szCs w:val="24"/>
        </w:rPr>
        <w:t>O</w:t>
      </w:r>
      <w:r w:rsidR="00C87585">
        <w:rPr>
          <w:rFonts w:ascii="Arial" w:hAnsi="Arial" w:cs="Arial"/>
          <w:sz w:val="24"/>
          <w:szCs w:val="24"/>
        </w:rPr>
        <w:t xml:space="preserve">rder 30 rule 1 (7) </w:t>
      </w:r>
      <w:r w:rsidR="008D40EE">
        <w:rPr>
          <w:rFonts w:ascii="Arial" w:hAnsi="Arial" w:cs="Arial"/>
          <w:sz w:val="24"/>
          <w:szCs w:val="24"/>
        </w:rPr>
        <w:t>as it is sworn by the Managing D</w:t>
      </w:r>
      <w:r w:rsidR="00C87585">
        <w:rPr>
          <w:rFonts w:ascii="Arial" w:hAnsi="Arial" w:cs="Arial"/>
          <w:sz w:val="24"/>
          <w:szCs w:val="24"/>
        </w:rPr>
        <w:t xml:space="preserve">irector and that in the absence </w:t>
      </w:r>
      <w:r w:rsidR="008D40EE">
        <w:rPr>
          <w:rFonts w:ascii="Arial" w:hAnsi="Arial" w:cs="Arial"/>
          <w:sz w:val="24"/>
          <w:szCs w:val="24"/>
        </w:rPr>
        <w:t>o</w:t>
      </w:r>
      <w:r w:rsidR="00C87585">
        <w:rPr>
          <w:rFonts w:ascii="Arial" w:hAnsi="Arial" w:cs="Arial"/>
          <w:sz w:val="24"/>
          <w:szCs w:val="24"/>
        </w:rPr>
        <w:t>f an affidavit of fitness of the receiver the application should fail.</w:t>
      </w:r>
    </w:p>
    <w:p w:rsidR="003F2DFB" w:rsidRDefault="003F2DFB" w:rsidP="00D61949">
      <w:pPr>
        <w:spacing w:after="0" w:line="360" w:lineRule="auto"/>
        <w:jc w:val="both"/>
        <w:rPr>
          <w:rFonts w:ascii="Arial" w:hAnsi="Arial" w:cs="Arial"/>
          <w:sz w:val="24"/>
          <w:szCs w:val="24"/>
        </w:rPr>
      </w:pPr>
      <w:r>
        <w:rPr>
          <w:rFonts w:ascii="Arial" w:hAnsi="Arial" w:cs="Arial"/>
          <w:sz w:val="24"/>
          <w:szCs w:val="24"/>
        </w:rPr>
        <w:lastRenderedPageBreak/>
        <w:t xml:space="preserve">It is plain from Order 30/1/7 RSC 1999 </w:t>
      </w:r>
      <w:r w:rsidR="00C87585">
        <w:rPr>
          <w:rFonts w:ascii="Arial" w:hAnsi="Arial" w:cs="Arial"/>
          <w:sz w:val="24"/>
          <w:szCs w:val="24"/>
        </w:rPr>
        <w:t>that the evidence should state generally the nature of the property and should include an affidavit of fitness where the appointment of a named person is sought. However, this paragraph clearly states that this is often dispersed with. The paragraph also states that the deponent should speak to at least five year’s knowledge of the proposed receiver and that the affidavit must not be made by the applicant or his solicitor.</w:t>
      </w:r>
      <w:r>
        <w:rPr>
          <w:rFonts w:ascii="Arial" w:hAnsi="Arial" w:cs="Arial"/>
          <w:sz w:val="24"/>
          <w:szCs w:val="24"/>
        </w:rPr>
        <w:t xml:space="preserve"> </w:t>
      </w:r>
      <w:r w:rsidR="006A4AB4">
        <w:rPr>
          <w:rFonts w:ascii="Arial" w:hAnsi="Arial" w:cs="Arial"/>
          <w:sz w:val="24"/>
          <w:szCs w:val="24"/>
        </w:rPr>
        <w:t>I</w:t>
      </w:r>
      <w:r w:rsidR="00C87585">
        <w:rPr>
          <w:rFonts w:ascii="Arial" w:hAnsi="Arial" w:cs="Arial"/>
          <w:sz w:val="24"/>
          <w:szCs w:val="24"/>
        </w:rPr>
        <w:t>n this case, both affidavit</w:t>
      </w:r>
      <w:r w:rsidR="006A4AB4">
        <w:rPr>
          <w:rFonts w:ascii="Arial" w:hAnsi="Arial" w:cs="Arial"/>
          <w:sz w:val="24"/>
          <w:szCs w:val="24"/>
        </w:rPr>
        <w:t>s</w:t>
      </w:r>
      <w:r w:rsidR="00C87585">
        <w:rPr>
          <w:rFonts w:ascii="Arial" w:hAnsi="Arial" w:cs="Arial"/>
          <w:sz w:val="24"/>
          <w:szCs w:val="24"/>
        </w:rPr>
        <w:t xml:space="preserve"> by the applicant are sworn by Enrico Stroti, the plaintiff’s Managing Director.</w:t>
      </w:r>
    </w:p>
    <w:p w:rsidR="0022050D" w:rsidRDefault="0022050D" w:rsidP="00D61949">
      <w:pPr>
        <w:spacing w:after="0" w:line="360" w:lineRule="auto"/>
        <w:jc w:val="both"/>
        <w:rPr>
          <w:rFonts w:ascii="Arial" w:hAnsi="Arial" w:cs="Arial"/>
          <w:sz w:val="24"/>
          <w:szCs w:val="24"/>
        </w:rPr>
      </w:pPr>
    </w:p>
    <w:p w:rsidR="006A4AB4" w:rsidRDefault="00C87585" w:rsidP="00D61949">
      <w:pPr>
        <w:spacing w:after="0" w:line="360" w:lineRule="auto"/>
        <w:jc w:val="both"/>
        <w:rPr>
          <w:rFonts w:ascii="Arial" w:hAnsi="Arial" w:cs="Arial"/>
          <w:sz w:val="24"/>
          <w:szCs w:val="24"/>
        </w:rPr>
      </w:pPr>
      <w:r>
        <w:rPr>
          <w:rFonts w:ascii="Arial" w:hAnsi="Arial" w:cs="Arial"/>
          <w:sz w:val="24"/>
          <w:szCs w:val="24"/>
        </w:rPr>
        <w:t xml:space="preserve">In relation to the description of the property, paragraph 14 of </w:t>
      </w:r>
      <w:r w:rsidR="007005DA">
        <w:rPr>
          <w:rFonts w:ascii="Arial" w:hAnsi="Arial" w:cs="Arial"/>
          <w:sz w:val="24"/>
          <w:szCs w:val="24"/>
        </w:rPr>
        <w:t xml:space="preserve">the </w:t>
      </w:r>
      <w:r>
        <w:rPr>
          <w:rFonts w:ascii="Arial" w:hAnsi="Arial" w:cs="Arial"/>
          <w:sz w:val="24"/>
          <w:szCs w:val="24"/>
        </w:rPr>
        <w:t>first affidavit states that the only valuable asset is the mine itself and the licence thereof and that the defendants are still operating a successful business. The property referred to in this paragraph is the mine and the licence relating to the said mine. The mine is clearly identified in the Joint Venture Agreement</w:t>
      </w:r>
      <w:r w:rsidR="003E675D">
        <w:rPr>
          <w:rFonts w:ascii="Arial" w:hAnsi="Arial" w:cs="Arial"/>
          <w:sz w:val="24"/>
          <w:szCs w:val="24"/>
        </w:rPr>
        <w:t xml:space="preserve"> that was signed by the parties and is referred to in paragraph 5 at page 9 of the Final Arbitral Award as Plot </w:t>
      </w:r>
      <w:r w:rsidR="006A4AB4">
        <w:rPr>
          <w:rFonts w:ascii="Arial" w:hAnsi="Arial" w:cs="Arial"/>
          <w:sz w:val="24"/>
          <w:szCs w:val="24"/>
        </w:rPr>
        <w:t>7 Twampane in the Pirala Area. The Joint Venture Agreement was annexed to the plaintiff’s affidavit in support of ex</w:t>
      </w:r>
      <w:r w:rsidR="001814E3">
        <w:rPr>
          <w:rFonts w:ascii="Arial" w:hAnsi="Arial" w:cs="Arial"/>
          <w:sz w:val="24"/>
          <w:szCs w:val="24"/>
        </w:rPr>
        <w:t xml:space="preserve"> </w:t>
      </w:r>
      <w:r w:rsidR="006A4AB4">
        <w:rPr>
          <w:rFonts w:ascii="Arial" w:hAnsi="Arial" w:cs="Arial"/>
          <w:sz w:val="24"/>
          <w:szCs w:val="24"/>
        </w:rPr>
        <w:t>parte originating summons to register an award dated 24</w:t>
      </w:r>
      <w:r w:rsidR="006A4AB4" w:rsidRPr="006A4AB4">
        <w:rPr>
          <w:rFonts w:ascii="Arial" w:hAnsi="Arial" w:cs="Arial"/>
          <w:sz w:val="24"/>
          <w:szCs w:val="24"/>
          <w:vertAlign w:val="superscript"/>
        </w:rPr>
        <w:t>th</w:t>
      </w:r>
      <w:r w:rsidR="006A4AB4">
        <w:rPr>
          <w:rFonts w:ascii="Arial" w:hAnsi="Arial" w:cs="Arial"/>
          <w:sz w:val="24"/>
          <w:szCs w:val="24"/>
        </w:rPr>
        <w:t xml:space="preserve"> April, 2009 as “ES4”. At page 2 of that document, the parties had agreed that the partnership would be carried on under the name of Twampane Mining and that the licence hold</w:t>
      </w:r>
      <w:r w:rsidR="007005DA">
        <w:rPr>
          <w:rFonts w:ascii="Arial" w:hAnsi="Arial" w:cs="Arial"/>
          <w:sz w:val="24"/>
          <w:szCs w:val="24"/>
        </w:rPr>
        <w:t>e</w:t>
      </w:r>
      <w:r w:rsidR="006A4AB4">
        <w:rPr>
          <w:rFonts w:ascii="Arial" w:hAnsi="Arial" w:cs="Arial"/>
          <w:sz w:val="24"/>
          <w:szCs w:val="24"/>
        </w:rPr>
        <w:t xml:space="preserve">r would provide licence No. 89 (Annexure A) in respect of Plot 7 Pirala in the Ndola Rural and the said licence would be used in the joint venture for the duration of the joint venture. </w:t>
      </w:r>
    </w:p>
    <w:p w:rsidR="006A4AB4" w:rsidRDefault="006A4AB4" w:rsidP="00D61949">
      <w:pPr>
        <w:spacing w:after="0" w:line="360" w:lineRule="auto"/>
        <w:jc w:val="both"/>
        <w:rPr>
          <w:rFonts w:ascii="Arial" w:hAnsi="Arial" w:cs="Arial"/>
          <w:sz w:val="24"/>
          <w:szCs w:val="24"/>
        </w:rPr>
      </w:pPr>
    </w:p>
    <w:p w:rsidR="006A4AB4" w:rsidRDefault="001814E3" w:rsidP="00D61949">
      <w:pPr>
        <w:spacing w:after="0" w:line="360" w:lineRule="auto"/>
        <w:jc w:val="both"/>
        <w:rPr>
          <w:rFonts w:ascii="Arial" w:hAnsi="Arial" w:cs="Arial"/>
          <w:sz w:val="24"/>
          <w:szCs w:val="24"/>
        </w:rPr>
      </w:pPr>
      <w:r>
        <w:rPr>
          <w:rFonts w:ascii="Arial" w:hAnsi="Arial" w:cs="Arial"/>
          <w:sz w:val="24"/>
          <w:szCs w:val="24"/>
        </w:rPr>
        <w:t>In my view</w:t>
      </w:r>
      <w:r w:rsidR="006A4AB4">
        <w:rPr>
          <w:rFonts w:ascii="Arial" w:hAnsi="Arial" w:cs="Arial"/>
          <w:sz w:val="24"/>
          <w:szCs w:val="24"/>
        </w:rPr>
        <w:t xml:space="preserve"> the mine in issue is known by the parties and the general description given in paragraph 14 of the plaintiff’s first affidavit is sufficient and identified the specific property for which the receiver is sought to be appointed. I agree with </w:t>
      </w:r>
      <w:r>
        <w:rPr>
          <w:rFonts w:ascii="Arial" w:hAnsi="Arial" w:cs="Arial"/>
          <w:sz w:val="24"/>
          <w:szCs w:val="24"/>
        </w:rPr>
        <w:t xml:space="preserve">Mr. Twumasi </w:t>
      </w:r>
      <w:r w:rsidR="006A4AB4">
        <w:rPr>
          <w:rFonts w:ascii="Arial" w:hAnsi="Arial" w:cs="Arial"/>
          <w:sz w:val="24"/>
          <w:szCs w:val="24"/>
        </w:rPr>
        <w:t xml:space="preserve">that under </w:t>
      </w:r>
      <w:r w:rsidR="007005DA">
        <w:rPr>
          <w:rFonts w:ascii="Arial" w:hAnsi="Arial" w:cs="Arial"/>
          <w:sz w:val="24"/>
          <w:szCs w:val="24"/>
        </w:rPr>
        <w:t>O</w:t>
      </w:r>
      <w:r w:rsidR="006A4AB4">
        <w:rPr>
          <w:rFonts w:ascii="Arial" w:hAnsi="Arial" w:cs="Arial"/>
          <w:sz w:val="24"/>
          <w:szCs w:val="24"/>
        </w:rPr>
        <w:t xml:space="preserve">rder 31/1/9 RSC 1999, it is </w:t>
      </w:r>
      <w:r>
        <w:rPr>
          <w:rFonts w:ascii="Arial" w:hAnsi="Arial" w:cs="Arial"/>
          <w:sz w:val="24"/>
          <w:szCs w:val="24"/>
        </w:rPr>
        <w:t xml:space="preserve">in </w:t>
      </w:r>
      <w:r w:rsidR="006A4AB4">
        <w:rPr>
          <w:rFonts w:ascii="Arial" w:hAnsi="Arial" w:cs="Arial"/>
          <w:sz w:val="24"/>
          <w:szCs w:val="24"/>
        </w:rPr>
        <w:t>the order appointing the receiver where the property over which the receiver is appointed should be started distinctly.</w:t>
      </w:r>
    </w:p>
    <w:p w:rsidR="006A4AB4" w:rsidRDefault="006A4AB4" w:rsidP="00D61949">
      <w:pPr>
        <w:spacing w:after="0" w:line="360" w:lineRule="auto"/>
        <w:jc w:val="both"/>
        <w:rPr>
          <w:rFonts w:ascii="Arial" w:hAnsi="Arial" w:cs="Arial"/>
          <w:sz w:val="24"/>
          <w:szCs w:val="24"/>
        </w:rPr>
      </w:pPr>
    </w:p>
    <w:p w:rsidR="0022050D" w:rsidRDefault="006A4AB4" w:rsidP="00D61949">
      <w:pPr>
        <w:spacing w:after="0" w:line="360" w:lineRule="auto"/>
        <w:jc w:val="both"/>
        <w:rPr>
          <w:rFonts w:ascii="Arial" w:hAnsi="Arial" w:cs="Arial"/>
          <w:sz w:val="24"/>
          <w:szCs w:val="24"/>
        </w:rPr>
      </w:pPr>
      <w:r>
        <w:rPr>
          <w:rFonts w:ascii="Arial" w:hAnsi="Arial" w:cs="Arial"/>
          <w:sz w:val="24"/>
          <w:szCs w:val="24"/>
        </w:rPr>
        <w:t xml:space="preserve">With regard to the affidavit of fitness, I agree with the argument by </w:t>
      </w:r>
      <w:r w:rsidR="001814E3">
        <w:rPr>
          <w:rFonts w:ascii="Arial" w:hAnsi="Arial" w:cs="Arial"/>
          <w:sz w:val="24"/>
          <w:szCs w:val="24"/>
        </w:rPr>
        <w:t>Mr. Chalenga</w:t>
      </w:r>
      <w:r>
        <w:rPr>
          <w:rFonts w:ascii="Arial" w:hAnsi="Arial" w:cs="Arial"/>
          <w:sz w:val="24"/>
          <w:szCs w:val="24"/>
        </w:rPr>
        <w:t xml:space="preserve"> that the affidavit must not be made by the applicant or his counsel and that the further affidavit in support of summons for appointment of receiver and order of injunction is sworn by the applicant’s Managing Director.</w:t>
      </w:r>
    </w:p>
    <w:p w:rsidR="001814E3" w:rsidRDefault="005C0D35" w:rsidP="00D61949">
      <w:pPr>
        <w:spacing w:after="0" w:line="360" w:lineRule="auto"/>
        <w:jc w:val="both"/>
        <w:rPr>
          <w:rFonts w:ascii="Arial" w:hAnsi="Arial" w:cs="Arial"/>
          <w:sz w:val="24"/>
          <w:szCs w:val="24"/>
        </w:rPr>
      </w:pPr>
      <w:r>
        <w:rPr>
          <w:rFonts w:ascii="Arial" w:hAnsi="Arial" w:cs="Arial"/>
          <w:sz w:val="24"/>
          <w:szCs w:val="24"/>
        </w:rPr>
        <w:lastRenderedPageBreak/>
        <w:t>In the said affidavit at paragraphs 5 and 6, the deponent proposed Mr. Elijah C. Banda, SC to be appointed receiver</w:t>
      </w:r>
      <w:r w:rsidR="001814E3">
        <w:rPr>
          <w:rFonts w:ascii="Arial" w:hAnsi="Arial" w:cs="Arial"/>
          <w:sz w:val="24"/>
          <w:szCs w:val="24"/>
        </w:rPr>
        <w:t>. The deponent further st</w:t>
      </w:r>
      <w:r>
        <w:rPr>
          <w:rFonts w:ascii="Arial" w:hAnsi="Arial" w:cs="Arial"/>
          <w:sz w:val="24"/>
          <w:szCs w:val="24"/>
        </w:rPr>
        <w:t>a</w:t>
      </w:r>
      <w:r w:rsidR="001814E3">
        <w:rPr>
          <w:rFonts w:ascii="Arial" w:hAnsi="Arial" w:cs="Arial"/>
          <w:sz w:val="24"/>
          <w:szCs w:val="24"/>
        </w:rPr>
        <w:t>te</w:t>
      </w:r>
      <w:r>
        <w:rPr>
          <w:rFonts w:ascii="Arial" w:hAnsi="Arial" w:cs="Arial"/>
          <w:sz w:val="24"/>
          <w:szCs w:val="24"/>
        </w:rPr>
        <w:t xml:space="preserve">d that the </w:t>
      </w:r>
      <w:r w:rsidR="001814E3">
        <w:rPr>
          <w:rFonts w:ascii="Arial" w:hAnsi="Arial" w:cs="Arial"/>
          <w:sz w:val="24"/>
          <w:szCs w:val="24"/>
        </w:rPr>
        <w:t>proposed receiv</w:t>
      </w:r>
      <w:r>
        <w:rPr>
          <w:rFonts w:ascii="Arial" w:hAnsi="Arial" w:cs="Arial"/>
          <w:sz w:val="24"/>
          <w:szCs w:val="24"/>
        </w:rPr>
        <w:t>er is a lawyer of good standing and a State Counsel and therefore shall not only comply with the law</w:t>
      </w:r>
      <w:r w:rsidR="001814E3">
        <w:rPr>
          <w:rFonts w:ascii="Arial" w:hAnsi="Arial" w:cs="Arial"/>
          <w:sz w:val="24"/>
          <w:szCs w:val="24"/>
        </w:rPr>
        <w:t>,</w:t>
      </w:r>
      <w:r>
        <w:rPr>
          <w:rFonts w:ascii="Arial" w:hAnsi="Arial" w:cs="Arial"/>
          <w:sz w:val="24"/>
          <w:szCs w:val="24"/>
        </w:rPr>
        <w:t xml:space="preserve"> but with all the orders of this court.</w:t>
      </w:r>
      <w:r w:rsidR="001814E3">
        <w:rPr>
          <w:rFonts w:ascii="Arial" w:hAnsi="Arial" w:cs="Arial"/>
          <w:sz w:val="24"/>
          <w:szCs w:val="24"/>
        </w:rPr>
        <w:t xml:space="preserve"> </w:t>
      </w:r>
      <w:r>
        <w:rPr>
          <w:rFonts w:ascii="Arial" w:hAnsi="Arial" w:cs="Arial"/>
          <w:sz w:val="24"/>
          <w:szCs w:val="24"/>
        </w:rPr>
        <w:t xml:space="preserve">According to </w:t>
      </w:r>
      <w:r w:rsidR="001814E3">
        <w:rPr>
          <w:rFonts w:ascii="Arial" w:hAnsi="Arial" w:cs="Arial"/>
          <w:sz w:val="24"/>
          <w:szCs w:val="24"/>
        </w:rPr>
        <w:t>Mr. Twumasi</w:t>
      </w:r>
      <w:r>
        <w:rPr>
          <w:rFonts w:ascii="Arial" w:hAnsi="Arial" w:cs="Arial"/>
          <w:sz w:val="24"/>
          <w:szCs w:val="24"/>
        </w:rPr>
        <w:t xml:space="preserve">, this affidavit is not an affidavit of fitness of the person to be appointed, but it is merely a further affidavit to the first </w:t>
      </w:r>
      <w:r w:rsidR="007005DA">
        <w:rPr>
          <w:rFonts w:ascii="Arial" w:hAnsi="Arial" w:cs="Arial"/>
          <w:sz w:val="24"/>
          <w:szCs w:val="24"/>
        </w:rPr>
        <w:t>one</w:t>
      </w:r>
      <w:r>
        <w:rPr>
          <w:rFonts w:ascii="Arial" w:hAnsi="Arial" w:cs="Arial"/>
          <w:sz w:val="24"/>
          <w:szCs w:val="24"/>
        </w:rPr>
        <w:t>. In my view, the further affidavit appears to be an affidavit of fitness. It not only proposes the appointment of Mr. Banda, S</w:t>
      </w:r>
      <w:r w:rsidR="001814E3">
        <w:rPr>
          <w:rFonts w:ascii="Arial" w:hAnsi="Arial" w:cs="Arial"/>
          <w:sz w:val="24"/>
          <w:szCs w:val="24"/>
        </w:rPr>
        <w:t>C</w:t>
      </w:r>
      <w:r>
        <w:rPr>
          <w:rFonts w:ascii="Arial" w:hAnsi="Arial" w:cs="Arial"/>
          <w:sz w:val="24"/>
          <w:szCs w:val="24"/>
        </w:rPr>
        <w:t xml:space="preserve"> as receiver, but goes further to indicate that he is a lawyer of good standing and a State Counsel and able to comply with the law and orders of this court. </w:t>
      </w:r>
    </w:p>
    <w:p w:rsidR="0022050D" w:rsidRDefault="0022050D" w:rsidP="00D61949">
      <w:pPr>
        <w:spacing w:after="0" w:line="360" w:lineRule="auto"/>
        <w:jc w:val="both"/>
        <w:rPr>
          <w:rFonts w:ascii="Arial" w:hAnsi="Arial" w:cs="Arial"/>
          <w:sz w:val="24"/>
          <w:szCs w:val="24"/>
        </w:rPr>
      </w:pPr>
    </w:p>
    <w:p w:rsidR="005C0D35" w:rsidRDefault="005C0D35" w:rsidP="00D61949">
      <w:pPr>
        <w:spacing w:after="0" w:line="360" w:lineRule="auto"/>
        <w:jc w:val="both"/>
        <w:rPr>
          <w:rFonts w:ascii="Arial" w:hAnsi="Arial" w:cs="Arial"/>
          <w:sz w:val="24"/>
          <w:szCs w:val="24"/>
        </w:rPr>
      </w:pPr>
      <w:r>
        <w:rPr>
          <w:rFonts w:ascii="Arial" w:hAnsi="Arial" w:cs="Arial"/>
          <w:sz w:val="24"/>
          <w:szCs w:val="24"/>
        </w:rPr>
        <w:t xml:space="preserve">In so far as the affidavit is made by the applicant, it offends </w:t>
      </w:r>
      <w:r w:rsidR="007005DA">
        <w:rPr>
          <w:rFonts w:ascii="Arial" w:hAnsi="Arial" w:cs="Arial"/>
          <w:sz w:val="24"/>
          <w:szCs w:val="24"/>
        </w:rPr>
        <w:t>O</w:t>
      </w:r>
      <w:r>
        <w:rPr>
          <w:rFonts w:ascii="Arial" w:hAnsi="Arial" w:cs="Arial"/>
          <w:sz w:val="24"/>
          <w:szCs w:val="24"/>
        </w:rPr>
        <w:t>rder 30/1/7 RSC, 1999. Therefore, I take it as u</w:t>
      </w:r>
      <w:r w:rsidR="001814E3">
        <w:rPr>
          <w:rFonts w:ascii="Arial" w:hAnsi="Arial" w:cs="Arial"/>
          <w:sz w:val="24"/>
          <w:szCs w:val="24"/>
        </w:rPr>
        <w:t>rg</w:t>
      </w:r>
      <w:r>
        <w:rPr>
          <w:rFonts w:ascii="Arial" w:hAnsi="Arial" w:cs="Arial"/>
          <w:sz w:val="24"/>
          <w:szCs w:val="24"/>
        </w:rPr>
        <w:t xml:space="preserve">ed by </w:t>
      </w:r>
      <w:r w:rsidR="001814E3">
        <w:rPr>
          <w:rFonts w:ascii="Arial" w:hAnsi="Arial" w:cs="Arial"/>
          <w:sz w:val="24"/>
          <w:szCs w:val="24"/>
        </w:rPr>
        <w:t>Mr. Chalenga</w:t>
      </w:r>
      <w:r>
        <w:rPr>
          <w:rFonts w:ascii="Arial" w:hAnsi="Arial" w:cs="Arial"/>
          <w:sz w:val="24"/>
          <w:szCs w:val="24"/>
        </w:rPr>
        <w:t xml:space="preserve"> that there is no affidavit of fitness. </w:t>
      </w:r>
      <w:r w:rsidR="001814E3">
        <w:rPr>
          <w:rFonts w:ascii="Arial" w:hAnsi="Arial" w:cs="Arial"/>
          <w:sz w:val="24"/>
          <w:szCs w:val="24"/>
        </w:rPr>
        <w:t>H</w:t>
      </w:r>
      <w:r>
        <w:rPr>
          <w:rFonts w:ascii="Arial" w:hAnsi="Arial" w:cs="Arial"/>
          <w:sz w:val="24"/>
          <w:szCs w:val="24"/>
        </w:rPr>
        <w:t>o</w:t>
      </w:r>
      <w:r w:rsidR="001814E3">
        <w:rPr>
          <w:rFonts w:ascii="Arial" w:hAnsi="Arial" w:cs="Arial"/>
          <w:sz w:val="24"/>
          <w:szCs w:val="24"/>
        </w:rPr>
        <w:t>w</w:t>
      </w:r>
      <w:r>
        <w:rPr>
          <w:rFonts w:ascii="Arial" w:hAnsi="Arial" w:cs="Arial"/>
          <w:sz w:val="24"/>
          <w:szCs w:val="24"/>
        </w:rPr>
        <w:t>e</w:t>
      </w:r>
      <w:r w:rsidR="001814E3">
        <w:rPr>
          <w:rFonts w:ascii="Arial" w:hAnsi="Arial" w:cs="Arial"/>
          <w:sz w:val="24"/>
          <w:szCs w:val="24"/>
        </w:rPr>
        <w:t>v</w:t>
      </w:r>
      <w:r>
        <w:rPr>
          <w:rFonts w:ascii="Arial" w:hAnsi="Arial" w:cs="Arial"/>
          <w:sz w:val="24"/>
          <w:szCs w:val="24"/>
        </w:rPr>
        <w:t>e</w:t>
      </w:r>
      <w:r w:rsidR="001814E3">
        <w:rPr>
          <w:rFonts w:ascii="Arial" w:hAnsi="Arial" w:cs="Arial"/>
          <w:sz w:val="24"/>
          <w:szCs w:val="24"/>
        </w:rPr>
        <w:t xml:space="preserve">r, </w:t>
      </w:r>
      <w:r>
        <w:rPr>
          <w:rFonts w:ascii="Arial" w:hAnsi="Arial" w:cs="Arial"/>
          <w:sz w:val="24"/>
          <w:szCs w:val="24"/>
        </w:rPr>
        <w:t xml:space="preserve">the absence of an affidavit of fitness cannot defeat the plaintiff’s application. I have already said that under </w:t>
      </w:r>
      <w:r w:rsidR="007005DA">
        <w:rPr>
          <w:rFonts w:ascii="Arial" w:hAnsi="Arial" w:cs="Arial"/>
          <w:sz w:val="24"/>
          <w:szCs w:val="24"/>
        </w:rPr>
        <w:t>O</w:t>
      </w:r>
      <w:r>
        <w:rPr>
          <w:rFonts w:ascii="Arial" w:hAnsi="Arial" w:cs="Arial"/>
          <w:sz w:val="24"/>
          <w:szCs w:val="24"/>
        </w:rPr>
        <w:t xml:space="preserve">rder 30/1/7 RSC, an affidavit of fitness is often dispensed with. As urged by </w:t>
      </w:r>
      <w:r w:rsidR="001814E3">
        <w:rPr>
          <w:rFonts w:ascii="Arial" w:hAnsi="Arial" w:cs="Arial"/>
          <w:sz w:val="24"/>
          <w:szCs w:val="24"/>
        </w:rPr>
        <w:t>Mr. Twumasi</w:t>
      </w:r>
      <w:r>
        <w:rPr>
          <w:rFonts w:ascii="Arial" w:hAnsi="Arial" w:cs="Arial"/>
          <w:sz w:val="24"/>
          <w:szCs w:val="24"/>
        </w:rPr>
        <w:t xml:space="preserve"> I dispense with the affidavit of fitness as the </w:t>
      </w:r>
      <w:r w:rsidR="007005DA">
        <w:rPr>
          <w:rFonts w:ascii="Arial" w:hAnsi="Arial" w:cs="Arial"/>
          <w:sz w:val="24"/>
          <w:szCs w:val="24"/>
        </w:rPr>
        <w:t>proposed</w:t>
      </w:r>
      <w:r w:rsidR="001814E3" w:rsidRPr="001814E3">
        <w:rPr>
          <w:rFonts w:ascii="Arial" w:hAnsi="Arial" w:cs="Arial"/>
          <w:sz w:val="24"/>
          <w:szCs w:val="24"/>
        </w:rPr>
        <w:t xml:space="preserve"> </w:t>
      </w:r>
      <w:r w:rsidR="001814E3">
        <w:rPr>
          <w:rFonts w:ascii="Arial" w:hAnsi="Arial" w:cs="Arial"/>
          <w:sz w:val="24"/>
          <w:szCs w:val="24"/>
        </w:rPr>
        <w:t>receiver</w:t>
      </w:r>
      <w:r w:rsidR="007005DA">
        <w:rPr>
          <w:rFonts w:ascii="Arial" w:hAnsi="Arial" w:cs="Arial"/>
          <w:sz w:val="24"/>
          <w:szCs w:val="24"/>
        </w:rPr>
        <w:t xml:space="preserve"> </w:t>
      </w:r>
      <w:r>
        <w:rPr>
          <w:rFonts w:ascii="Arial" w:hAnsi="Arial" w:cs="Arial"/>
          <w:sz w:val="24"/>
          <w:szCs w:val="24"/>
        </w:rPr>
        <w:t xml:space="preserve">is well </w:t>
      </w:r>
      <w:r w:rsidR="007005DA">
        <w:rPr>
          <w:rFonts w:ascii="Arial" w:hAnsi="Arial" w:cs="Arial"/>
          <w:sz w:val="24"/>
          <w:szCs w:val="24"/>
        </w:rPr>
        <w:t>kn</w:t>
      </w:r>
      <w:r>
        <w:rPr>
          <w:rFonts w:ascii="Arial" w:hAnsi="Arial" w:cs="Arial"/>
          <w:sz w:val="24"/>
          <w:szCs w:val="24"/>
        </w:rPr>
        <w:t xml:space="preserve">own to </w:t>
      </w:r>
      <w:r w:rsidR="009879AD">
        <w:rPr>
          <w:rFonts w:ascii="Arial" w:hAnsi="Arial" w:cs="Arial"/>
          <w:sz w:val="24"/>
          <w:szCs w:val="24"/>
        </w:rPr>
        <w:t xml:space="preserve">both </w:t>
      </w:r>
      <w:r>
        <w:rPr>
          <w:rFonts w:ascii="Arial" w:hAnsi="Arial" w:cs="Arial"/>
          <w:sz w:val="24"/>
          <w:szCs w:val="24"/>
        </w:rPr>
        <w:t xml:space="preserve">counsel and his credentials are not in dispute. </w:t>
      </w:r>
    </w:p>
    <w:p w:rsidR="005C0D35" w:rsidRDefault="005C0D35" w:rsidP="00D61949">
      <w:pPr>
        <w:spacing w:after="0" w:line="360" w:lineRule="auto"/>
        <w:jc w:val="both"/>
        <w:rPr>
          <w:rFonts w:ascii="Arial" w:hAnsi="Arial" w:cs="Arial"/>
          <w:sz w:val="24"/>
          <w:szCs w:val="24"/>
        </w:rPr>
      </w:pPr>
    </w:p>
    <w:p w:rsidR="00334C46" w:rsidRDefault="005C0D35" w:rsidP="00D61949">
      <w:pPr>
        <w:spacing w:after="0" w:line="360" w:lineRule="auto"/>
        <w:jc w:val="both"/>
        <w:rPr>
          <w:rFonts w:ascii="Arial" w:hAnsi="Arial" w:cs="Arial"/>
          <w:sz w:val="24"/>
          <w:szCs w:val="24"/>
        </w:rPr>
      </w:pPr>
      <w:r>
        <w:rPr>
          <w:rFonts w:ascii="Arial" w:hAnsi="Arial" w:cs="Arial"/>
          <w:sz w:val="24"/>
          <w:szCs w:val="24"/>
        </w:rPr>
        <w:t>I have already made the point that in determi</w:t>
      </w:r>
      <w:r w:rsidR="000752B5">
        <w:rPr>
          <w:rFonts w:ascii="Arial" w:hAnsi="Arial" w:cs="Arial"/>
          <w:sz w:val="24"/>
          <w:szCs w:val="24"/>
        </w:rPr>
        <w:t>ni</w:t>
      </w:r>
      <w:r>
        <w:rPr>
          <w:rFonts w:ascii="Arial" w:hAnsi="Arial" w:cs="Arial"/>
          <w:sz w:val="24"/>
          <w:szCs w:val="24"/>
        </w:rPr>
        <w:t>ng whether it is just and</w:t>
      </w:r>
      <w:r w:rsidR="000752B5">
        <w:rPr>
          <w:rFonts w:ascii="Arial" w:hAnsi="Arial" w:cs="Arial"/>
          <w:sz w:val="24"/>
          <w:szCs w:val="24"/>
        </w:rPr>
        <w:t xml:space="preserve"> convenient that the appointment of a receiver by way of equitable execution should be made, I must have regard to the amount claimed by the plaintiff, to the amount likely to be obtained by the re</w:t>
      </w:r>
      <w:r w:rsidR="009879AD">
        <w:rPr>
          <w:rFonts w:ascii="Arial" w:hAnsi="Arial" w:cs="Arial"/>
          <w:sz w:val="24"/>
          <w:szCs w:val="24"/>
        </w:rPr>
        <w:t>ceiver and to the probable cost</w:t>
      </w:r>
      <w:r w:rsidR="000752B5">
        <w:rPr>
          <w:rFonts w:ascii="Arial" w:hAnsi="Arial" w:cs="Arial"/>
          <w:sz w:val="24"/>
          <w:szCs w:val="24"/>
        </w:rPr>
        <w:t xml:space="preserve"> of his appointment. I directed an inquiry on these matters to be made, after which I received three affidavits, the first from the proposed receiver, the second from Mr. Peter Kang’ombe a Certified Chartered Accountant, and the third from Mr. Rob</w:t>
      </w:r>
      <w:r w:rsidR="009879AD">
        <w:rPr>
          <w:rFonts w:ascii="Arial" w:hAnsi="Arial" w:cs="Arial"/>
          <w:sz w:val="24"/>
          <w:szCs w:val="24"/>
        </w:rPr>
        <w:t>er</w:t>
      </w:r>
      <w:r w:rsidR="000752B5">
        <w:rPr>
          <w:rFonts w:ascii="Arial" w:hAnsi="Arial" w:cs="Arial"/>
          <w:sz w:val="24"/>
          <w:szCs w:val="24"/>
        </w:rPr>
        <w:t>t Kabwe also a Certified Chartered Accountant.</w:t>
      </w:r>
      <w:r w:rsidR="00334C46">
        <w:rPr>
          <w:rFonts w:ascii="Arial" w:hAnsi="Arial" w:cs="Arial"/>
          <w:sz w:val="24"/>
          <w:szCs w:val="24"/>
        </w:rPr>
        <w:t xml:space="preserve"> </w:t>
      </w:r>
      <w:r w:rsidR="000752B5">
        <w:rPr>
          <w:rFonts w:ascii="Arial" w:hAnsi="Arial" w:cs="Arial"/>
          <w:sz w:val="24"/>
          <w:szCs w:val="24"/>
        </w:rPr>
        <w:t>I have perused the affidavit</w:t>
      </w:r>
      <w:r w:rsidR="00334C46">
        <w:rPr>
          <w:rFonts w:ascii="Arial" w:hAnsi="Arial" w:cs="Arial"/>
          <w:sz w:val="24"/>
          <w:szCs w:val="24"/>
        </w:rPr>
        <w:t>s</w:t>
      </w:r>
      <w:r w:rsidR="000752B5">
        <w:rPr>
          <w:rFonts w:ascii="Arial" w:hAnsi="Arial" w:cs="Arial"/>
          <w:sz w:val="24"/>
          <w:szCs w:val="24"/>
        </w:rPr>
        <w:t xml:space="preserve"> and the documents exhibited thereto. I observe that the affidavit of the proposed receiver has in paragraph 7 referred to the amounts claimed by the plaintiff as K837,244,016.50, US$ 409,458.33 and advocates</w:t>
      </w:r>
      <w:r w:rsidR="00334C46">
        <w:rPr>
          <w:rFonts w:ascii="Arial" w:hAnsi="Arial" w:cs="Arial"/>
          <w:sz w:val="24"/>
          <w:szCs w:val="24"/>
        </w:rPr>
        <w:t>’</w:t>
      </w:r>
      <w:r w:rsidR="000752B5">
        <w:rPr>
          <w:rFonts w:ascii="Arial" w:hAnsi="Arial" w:cs="Arial"/>
          <w:sz w:val="24"/>
          <w:szCs w:val="24"/>
        </w:rPr>
        <w:t xml:space="preserve"> costs of</w:t>
      </w:r>
      <w:r w:rsidR="001F05A4">
        <w:rPr>
          <w:rFonts w:ascii="Arial" w:hAnsi="Arial" w:cs="Arial"/>
          <w:sz w:val="24"/>
          <w:szCs w:val="24"/>
        </w:rPr>
        <w:t xml:space="preserve"> </w:t>
      </w:r>
      <w:r w:rsidR="00334C46">
        <w:rPr>
          <w:rFonts w:ascii="Arial" w:hAnsi="Arial" w:cs="Arial"/>
          <w:sz w:val="24"/>
          <w:szCs w:val="24"/>
        </w:rPr>
        <w:t>K400,000,00.00 (US$</w:t>
      </w:r>
      <w:r w:rsidR="000752B5">
        <w:rPr>
          <w:rFonts w:ascii="Arial" w:hAnsi="Arial" w:cs="Arial"/>
          <w:sz w:val="24"/>
          <w:szCs w:val="24"/>
        </w:rPr>
        <w:t xml:space="preserve"> 100,000.00). The other two affidavits do not refer to the amounts to be recovered. Since the figures given in the proposed receiver’s affidavit are not challenged, I accept that these are the amounts claimed</w:t>
      </w:r>
      <w:r w:rsidR="00334C46">
        <w:rPr>
          <w:rFonts w:ascii="Arial" w:hAnsi="Arial" w:cs="Arial"/>
          <w:sz w:val="24"/>
          <w:szCs w:val="24"/>
        </w:rPr>
        <w:t xml:space="preserve"> as at this date</w:t>
      </w:r>
      <w:r w:rsidR="000752B5">
        <w:rPr>
          <w:rFonts w:ascii="Arial" w:hAnsi="Arial" w:cs="Arial"/>
          <w:sz w:val="24"/>
          <w:szCs w:val="24"/>
        </w:rPr>
        <w:t xml:space="preserve">. </w:t>
      </w:r>
    </w:p>
    <w:p w:rsidR="00334C46" w:rsidRDefault="00334C46" w:rsidP="00D61949">
      <w:pPr>
        <w:spacing w:after="0" w:line="360" w:lineRule="auto"/>
        <w:jc w:val="both"/>
        <w:rPr>
          <w:rFonts w:ascii="Arial" w:hAnsi="Arial" w:cs="Arial"/>
          <w:sz w:val="24"/>
          <w:szCs w:val="24"/>
        </w:rPr>
      </w:pPr>
    </w:p>
    <w:p w:rsidR="00334C46" w:rsidRPr="00334C46" w:rsidRDefault="000752B5" w:rsidP="0022050D">
      <w:pPr>
        <w:spacing w:after="0" w:line="360" w:lineRule="auto"/>
        <w:jc w:val="both"/>
        <w:rPr>
          <w:rFonts w:ascii="Arial" w:hAnsi="Arial" w:cs="Arial"/>
          <w:sz w:val="24"/>
          <w:szCs w:val="24"/>
        </w:rPr>
      </w:pPr>
      <w:r>
        <w:rPr>
          <w:rFonts w:ascii="Arial" w:hAnsi="Arial" w:cs="Arial"/>
          <w:sz w:val="24"/>
          <w:szCs w:val="24"/>
        </w:rPr>
        <w:lastRenderedPageBreak/>
        <w:t>Unfortunately</w:t>
      </w:r>
      <w:r w:rsidR="00334C46">
        <w:rPr>
          <w:rFonts w:ascii="Arial" w:hAnsi="Arial" w:cs="Arial"/>
          <w:sz w:val="24"/>
          <w:szCs w:val="24"/>
        </w:rPr>
        <w:t xml:space="preserve"> </w:t>
      </w:r>
      <w:r>
        <w:rPr>
          <w:rFonts w:ascii="Arial" w:hAnsi="Arial" w:cs="Arial"/>
          <w:sz w:val="24"/>
          <w:szCs w:val="24"/>
        </w:rPr>
        <w:t>non</w:t>
      </w:r>
      <w:r w:rsidR="009879AD">
        <w:rPr>
          <w:rFonts w:ascii="Arial" w:hAnsi="Arial" w:cs="Arial"/>
          <w:sz w:val="24"/>
          <w:szCs w:val="24"/>
        </w:rPr>
        <w:t>e</w:t>
      </w:r>
      <w:r>
        <w:rPr>
          <w:rFonts w:ascii="Arial" w:hAnsi="Arial" w:cs="Arial"/>
          <w:sz w:val="24"/>
          <w:szCs w:val="24"/>
        </w:rPr>
        <w:t xml:space="preserve"> of the affidavits ha</w:t>
      </w:r>
      <w:r w:rsidR="009879AD">
        <w:rPr>
          <w:rFonts w:ascii="Arial" w:hAnsi="Arial" w:cs="Arial"/>
          <w:sz w:val="24"/>
          <w:szCs w:val="24"/>
        </w:rPr>
        <w:t>ve</w:t>
      </w:r>
      <w:r>
        <w:rPr>
          <w:rFonts w:ascii="Arial" w:hAnsi="Arial" w:cs="Arial"/>
          <w:sz w:val="24"/>
          <w:szCs w:val="24"/>
        </w:rPr>
        <w:t xml:space="preserve"> addressed the question of the amount likely to be obtained by the receiver. However, paragraph 8 of the proposed receiver’s affidavit </w:t>
      </w:r>
      <w:r w:rsidR="009879AD">
        <w:rPr>
          <w:rFonts w:ascii="Arial" w:hAnsi="Arial" w:cs="Arial"/>
          <w:sz w:val="24"/>
          <w:szCs w:val="24"/>
        </w:rPr>
        <w:t>states</w:t>
      </w:r>
      <w:r>
        <w:rPr>
          <w:rFonts w:ascii="Arial" w:hAnsi="Arial" w:cs="Arial"/>
          <w:sz w:val="24"/>
          <w:szCs w:val="24"/>
        </w:rPr>
        <w:t xml:space="preserve"> that the claimant’s only realisable asset is the mineral </w:t>
      </w:r>
      <w:r w:rsidR="00BA3FD9">
        <w:rPr>
          <w:rFonts w:ascii="Arial" w:hAnsi="Arial" w:cs="Arial"/>
          <w:sz w:val="24"/>
          <w:szCs w:val="24"/>
        </w:rPr>
        <w:t>right over Plot 7 Pirala in the Ndola Rural Emerald restricted area. In p</w:t>
      </w:r>
      <w:r w:rsidR="009879AD">
        <w:rPr>
          <w:rFonts w:ascii="Arial" w:hAnsi="Arial" w:cs="Arial"/>
          <w:sz w:val="24"/>
          <w:szCs w:val="24"/>
        </w:rPr>
        <w:t>aragraphs 9 and 10, he has indi</w:t>
      </w:r>
      <w:r w:rsidR="00BA3FD9">
        <w:rPr>
          <w:rFonts w:ascii="Arial" w:hAnsi="Arial" w:cs="Arial"/>
          <w:sz w:val="24"/>
          <w:szCs w:val="24"/>
        </w:rPr>
        <w:t>c</w:t>
      </w:r>
      <w:r w:rsidR="009879AD">
        <w:rPr>
          <w:rFonts w:ascii="Arial" w:hAnsi="Arial" w:cs="Arial"/>
          <w:sz w:val="24"/>
          <w:szCs w:val="24"/>
        </w:rPr>
        <w:t>a</w:t>
      </w:r>
      <w:r w:rsidR="00BA3FD9">
        <w:rPr>
          <w:rFonts w:ascii="Arial" w:hAnsi="Arial" w:cs="Arial"/>
          <w:sz w:val="24"/>
          <w:szCs w:val="24"/>
        </w:rPr>
        <w:t xml:space="preserve">ted how the receivership could proceed. </w:t>
      </w:r>
      <w:r w:rsidR="00334C46">
        <w:rPr>
          <w:rFonts w:ascii="Arial" w:hAnsi="Arial" w:cs="Arial"/>
          <w:sz w:val="24"/>
          <w:szCs w:val="24"/>
        </w:rPr>
        <w:t>N</w:t>
      </w:r>
      <w:r w:rsidR="00BA3FD9">
        <w:rPr>
          <w:rFonts w:ascii="Arial" w:hAnsi="Arial" w:cs="Arial"/>
          <w:sz w:val="24"/>
          <w:szCs w:val="24"/>
        </w:rPr>
        <w:t>o</w:t>
      </w:r>
      <w:r w:rsidR="00334C46">
        <w:rPr>
          <w:rFonts w:ascii="Arial" w:hAnsi="Arial" w:cs="Arial"/>
          <w:sz w:val="24"/>
          <w:szCs w:val="24"/>
        </w:rPr>
        <w:t xml:space="preserve"> </w:t>
      </w:r>
      <w:r w:rsidR="00BA3FD9">
        <w:rPr>
          <w:rFonts w:ascii="Arial" w:hAnsi="Arial" w:cs="Arial"/>
          <w:sz w:val="24"/>
          <w:szCs w:val="24"/>
        </w:rPr>
        <w:t xml:space="preserve">counter suggestions are made in the other two affidavits. From the tone of Mr. Banda, SC’s affidavit, I believe that the total amounts claimed are likely to be obtained by the proposed receiver. I have </w:t>
      </w:r>
      <w:r w:rsidR="00334C46">
        <w:rPr>
          <w:rFonts w:ascii="Arial" w:hAnsi="Arial" w:cs="Arial"/>
          <w:sz w:val="24"/>
          <w:szCs w:val="24"/>
        </w:rPr>
        <w:t>also</w:t>
      </w:r>
      <w:r w:rsidR="00BA3FD9">
        <w:rPr>
          <w:rFonts w:ascii="Arial" w:hAnsi="Arial" w:cs="Arial"/>
          <w:sz w:val="24"/>
          <w:szCs w:val="24"/>
        </w:rPr>
        <w:t xml:space="preserve"> considered the proposed cost of the appointment of the receiver. </w:t>
      </w:r>
      <w:r w:rsidR="008D40EE">
        <w:rPr>
          <w:rFonts w:ascii="Arial" w:hAnsi="Arial" w:cs="Arial"/>
          <w:sz w:val="24"/>
          <w:szCs w:val="24"/>
        </w:rPr>
        <w:t>In paragraph 11 of hi</w:t>
      </w:r>
      <w:r w:rsidR="00334C46">
        <w:rPr>
          <w:rFonts w:ascii="Arial" w:hAnsi="Arial" w:cs="Arial"/>
          <w:sz w:val="24"/>
          <w:szCs w:val="24"/>
        </w:rPr>
        <w:t>s affidavit, Mr. Banda, SC</w:t>
      </w:r>
      <w:r w:rsidR="008D40EE">
        <w:rPr>
          <w:rFonts w:ascii="Arial" w:hAnsi="Arial" w:cs="Arial"/>
          <w:sz w:val="24"/>
          <w:szCs w:val="24"/>
        </w:rPr>
        <w:t xml:space="preserve"> has proposed remuneration in either two ways:</w:t>
      </w:r>
      <w:r w:rsidR="00D81961">
        <w:rPr>
          <w:rFonts w:ascii="Arial" w:hAnsi="Arial" w:cs="Arial"/>
          <w:sz w:val="24"/>
          <w:szCs w:val="24"/>
        </w:rPr>
        <w:t xml:space="preserve"> </w:t>
      </w:r>
      <w:r w:rsidR="0022050D">
        <w:rPr>
          <w:rFonts w:ascii="Arial" w:hAnsi="Arial" w:cs="Arial"/>
          <w:sz w:val="24"/>
          <w:szCs w:val="24"/>
        </w:rPr>
        <w:t>(a) a</w:t>
      </w:r>
      <w:r w:rsidR="00334C46" w:rsidRPr="00334C46">
        <w:rPr>
          <w:rFonts w:ascii="Arial" w:hAnsi="Arial" w:cs="Arial"/>
          <w:sz w:val="24"/>
          <w:szCs w:val="24"/>
        </w:rPr>
        <w:t>s</w:t>
      </w:r>
      <w:r w:rsidR="008D40EE" w:rsidRPr="00334C46">
        <w:rPr>
          <w:rFonts w:ascii="Arial" w:hAnsi="Arial" w:cs="Arial"/>
          <w:sz w:val="24"/>
          <w:szCs w:val="24"/>
        </w:rPr>
        <w:t xml:space="preserve"> a percentage not exceeding 10% of the sale value excluding VAT and other disbursements or</w:t>
      </w:r>
      <w:r w:rsidR="00334C46" w:rsidRPr="00334C46">
        <w:rPr>
          <w:rFonts w:ascii="Arial" w:hAnsi="Arial" w:cs="Arial"/>
          <w:sz w:val="24"/>
          <w:szCs w:val="24"/>
        </w:rPr>
        <w:t>;</w:t>
      </w:r>
      <w:r w:rsidR="008D40EE" w:rsidRPr="00334C46">
        <w:rPr>
          <w:rFonts w:ascii="Arial" w:hAnsi="Arial" w:cs="Arial"/>
          <w:sz w:val="24"/>
          <w:szCs w:val="24"/>
        </w:rPr>
        <w:t xml:space="preserve"> </w:t>
      </w:r>
      <w:r w:rsidR="0022050D">
        <w:rPr>
          <w:rFonts w:ascii="Arial" w:hAnsi="Arial" w:cs="Arial"/>
          <w:sz w:val="24"/>
          <w:szCs w:val="24"/>
        </w:rPr>
        <w:t xml:space="preserve"> (b) a</w:t>
      </w:r>
      <w:r w:rsidR="00334C46" w:rsidRPr="00334C46">
        <w:rPr>
          <w:rFonts w:ascii="Arial" w:hAnsi="Arial" w:cs="Arial"/>
          <w:sz w:val="24"/>
          <w:szCs w:val="24"/>
        </w:rPr>
        <w:t>n</w:t>
      </w:r>
      <w:r w:rsidR="008D40EE" w:rsidRPr="00334C46">
        <w:rPr>
          <w:rFonts w:ascii="Arial" w:hAnsi="Arial" w:cs="Arial"/>
          <w:sz w:val="24"/>
          <w:szCs w:val="24"/>
        </w:rPr>
        <w:t xml:space="preserve"> agreed sale </w:t>
      </w:r>
      <w:r w:rsidR="009879AD" w:rsidRPr="00334C46">
        <w:rPr>
          <w:rFonts w:ascii="Arial" w:hAnsi="Arial" w:cs="Arial"/>
          <w:sz w:val="24"/>
          <w:szCs w:val="24"/>
        </w:rPr>
        <w:t>ball park</w:t>
      </w:r>
      <w:r w:rsidR="008D40EE" w:rsidRPr="00334C46">
        <w:rPr>
          <w:rFonts w:ascii="Arial" w:hAnsi="Arial" w:cs="Arial"/>
          <w:sz w:val="24"/>
          <w:szCs w:val="24"/>
        </w:rPr>
        <w:t xml:space="preserve"> figure of at least US$ 120,000</w:t>
      </w:r>
      <w:r w:rsidR="004E23E8" w:rsidRPr="00334C46">
        <w:rPr>
          <w:rFonts w:ascii="Arial" w:hAnsi="Arial" w:cs="Arial"/>
          <w:sz w:val="24"/>
          <w:szCs w:val="24"/>
        </w:rPr>
        <w:t>.00</w:t>
      </w:r>
      <w:r w:rsidR="008D40EE" w:rsidRPr="00334C46">
        <w:rPr>
          <w:rFonts w:ascii="Arial" w:hAnsi="Arial" w:cs="Arial"/>
          <w:sz w:val="24"/>
          <w:szCs w:val="24"/>
        </w:rPr>
        <w:t xml:space="preserve"> or the Kwacha equivalent.</w:t>
      </w:r>
      <w:r w:rsidR="00971884" w:rsidRPr="00334C46">
        <w:rPr>
          <w:rFonts w:ascii="Arial" w:hAnsi="Arial" w:cs="Arial"/>
          <w:sz w:val="24"/>
          <w:szCs w:val="24"/>
        </w:rPr>
        <w:t xml:space="preserve"> </w:t>
      </w:r>
    </w:p>
    <w:p w:rsidR="009A6E94" w:rsidRDefault="009A6E94" w:rsidP="005776AA">
      <w:pPr>
        <w:spacing w:after="0" w:line="360" w:lineRule="auto"/>
        <w:jc w:val="both"/>
        <w:rPr>
          <w:rFonts w:ascii="Arial" w:hAnsi="Arial" w:cs="Arial"/>
          <w:sz w:val="24"/>
          <w:szCs w:val="24"/>
        </w:rPr>
      </w:pPr>
    </w:p>
    <w:p w:rsidR="005776AA" w:rsidRPr="005776AA" w:rsidRDefault="008D40EE" w:rsidP="005776AA">
      <w:pPr>
        <w:spacing w:after="0" w:line="360" w:lineRule="auto"/>
        <w:jc w:val="both"/>
        <w:rPr>
          <w:rFonts w:ascii="Arial" w:hAnsi="Arial" w:cs="Arial"/>
          <w:sz w:val="24"/>
          <w:szCs w:val="24"/>
        </w:rPr>
      </w:pPr>
      <w:r w:rsidRPr="005776AA">
        <w:rPr>
          <w:rFonts w:ascii="Arial" w:hAnsi="Arial" w:cs="Arial"/>
          <w:sz w:val="24"/>
          <w:szCs w:val="24"/>
        </w:rPr>
        <w:t xml:space="preserve">Mr </w:t>
      </w:r>
      <w:r w:rsidR="009879AD">
        <w:rPr>
          <w:rFonts w:ascii="Arial" w:hAnsi="Arial" w:cs="Arial"/>
          <w:sz w:val="24"/>
          <w:szCs w:val="24"/>
        </w:rPr>
        <w:t>K</w:t>
      </w:r>
      <w:r w:rsidRPr="005776AA">
        <w:rPr>
          <w:rFonts w:ascii="Arial" w:hAnsi="Arial" w:cs="Arial"/>
          <w:sz w:val="24"/>
          <w:szCs w:val="24"/>
        </w:rPr>
        <w:t>ang’ombe has proposed a rate of K200,000</w:t>
      </w:r>
      <w:r w:rsidR="00971884">
        <w:rPr>
          <w:rFonts w:ascii="Arial" w:hAnsi="Arial" w:cs="Arial"/>
          <w:sz w:val="24"/>
          <w:szCs w:val="24"/>
        </w:rPr>
        <w:t>.00</w:t>
      </w:r>
      <w:r w:rsidRPr="005776AA">
        <w:rPr>
          <w:rFonts w:ascii="Arial" w:hAnsi="Arial" w:cs="Arial"/>
          <w:sz w:val="24"/>
          <w:szCs w:val="24"/>
        </w:rPr>
        <w:t xml:space="preserve"> per hour and a commission of 8% on the gross realised/disposal value/turnover with overheads/expenses to the account of the</w:t>
      </w:r>
      <w:r w:rsidR="005776AA" w:rsidRPr="005776AA">
        <w:rPr>
          <w:rFonts w:ascii="Arial" w:hAnsi="Arial" w:cs="Arial"/>
          <w:sz w:val="24"/>
          <w:szCs w:val="24"/>
        </w:rPr>
        <w:t xml:space="preserve"> receivership</w:t>
      </w:r>
      <w:r w:rsidRPr="005776AA">
        <w:rPr>
          <w:rFonts w:ascii="Arial" w:hAnsi="Arial" w:cs="Arial"/>
          <w:sz w:val="24"/>
          <w:szCs w:val="24"/>
        </w:rPr>
        <w:t>. Mr. Kabwe has pro</w:t>
      </w:r>
      <w:r w:rsidR="005776AA" w:rsidRPr="005776AA">
        <w:rPr>
          <w:rFonts w:ascii="Arial" w:hAnsi="Arial" w:cs="Arial"/>
          <w:sz w:val="24"/>
          <w:szCs w:val="24"/>
        </w:rPr>
        <w:t>posed an average charge out rate of K250,000</w:t>
      </w:r>
      <w:r w:rsidR="00971884">
        <w:rPr>
          <w:rFonts w:ascii="Arial" w:hAnsi="Arial" w:cs="Arial"/>
          <w:sz w:val="24"/>
          <w:szCs w:val="24"/>
        </w:rPr>
        <w:t>.00</w:t>
      </w:r>
      <w:r w:rsidR="005776AA" w:rsidRPr="005776AA">
        <w:rPr>
          <w:rFonts w:ascii="Arial" w:hAnsi="Arial" w:cs="Arial"/>
          <w:sz w:val="24"/>
          <w:szCs w:val="24"/>
        </w:rPr>
        <w:t xml:space="preserve"> per man hours or 10% of the amounts recoverable which would be US$ 39,912.50 and K78,066,358.70.</w:t>
      </w:r>
    </w:p>
    <w:p w:rsidR="005776AA" w:rsidRDefault="005776AA" w:rsidP="005776AA">
      <w:pPr>
        <w:spacing w:after="0" w:line="360" w:lineRule="auto"/>
        <w:jc w:val="both"/>
        <w:rPr>
          <w:rFonts w:ascii="Arial" w:hAnsi="Arial" w:cs="Arial"/>
          <w:sz w:val="24"/>
          <w:szCs w:val="24"/>
        </w:rPr>
      </w:pPr>
    </w:p>
    <w:p w:rsidR="005776AA" w:rsidRDefault="005776AA" w:rsidP="005776AA">
      <w:pPr>
        <w:spacing w:after="0" w:line="360" w:lineRule="auto"/>
        <w:jc w:val="both"/>
        <w:rPr>
          <w:rFonts w:ascii="Arial" w:hAnsi="Arial" w:cs="Arial"/>
          <w:sz w:val="24"/>
          <w:szCs w:val="24"/>
        </w:rPr>
      </w:pPr>
      <w:r>
        <w:rPr>
          <w:rFonts w:ascii="Arial" w:hAnsi="Arial" w:cs="Arial"/>
          <w:sz w:val="24"/>
          <w:szCs w:val="24"/>
        </w:rPr>
        <w:t>Having taken into consideration the suitability of the proposed receiver and that of the other two named person</w:t>
      </w:r>
      <w:r w:rsidR="009879AD">
        <w:rPr>
          <w:rFonts w:ascii="Arial" w:hAnsi="Arial" w:cs="Arial"/>
          <w:sz w:val="24"/>
          <w:szCs w:val="24"/>
        </w:rPr>
        <w:t>s</w:t>
      </w:r>
      <w:r>
        <w:rPr>
          <w:rFonts w:ascii="Arial" w:hAnsi="Arial" w:cs="Arial"/>
          <w:sz w:val="24"/>
          <w:szCs w:val="24"/>
        </w:rPr>
        <w:t xml:space="preserve"> as well as the amounts claimed, the amount likely to be recovered by the receiver and the cost of appointment, I am satisfied that </w:t>
      </w:r>
      <w:r w:rsidR="009A6E94">
        <w:rPr>
          <w:rFonts w:ascii="Arial" w:hAnsi="Arial" w:cs="Arial"/>
          <w:sz w:val="24"/>
          <w:szCs w:val="24"/>
        </w:rPr>
        <w:t>t</w:t>
      </w:r>
      <w:r w:rsidR="00C90889">
        <w:rPr>
          <w:rFonts w:ascii="Arial" w:hAnsi="Arial" w:cs="Arial"/>
          <w:sz w:val="24"/>
          <w:szCs w:val="24"/>
        </w:rPr>
        <w:t xml:space="preserve">he </w:t>
      </w:r>
      <w:r w:rsidR="009A6E94">
        <w:rPr>
          <w:rFonts w:ascii="Arial" w:hAnsi="Arial" w:cs="Arial"/>
          <w:sz w:val="24"/>
          <w:szCs w:val="24"/>
        </w:rPr>
        <w:t>appoint</w:t>
      </w:r>
      <w:r w:rsidR="00C90889">
        <w:rPr>
          <w:rFonts w:ascii="Arial" w:hAnsi="Arial" w:cs="Arial"/>
          <w:sz w:val="24"/>
          <w:szCs w:val="24"/>
        </w:rPr>
        <w:t>ment of</w:t>
      </w:r>
      <w:r w:rsidR="009A6E94">
        <w:rPr>
          <w:rFonts w:ascii="Arial" w:hAnsi="Arial" w:cs="Arial"/>
          <w:sz w:val="24"/>
          <w:szCs w:val="24"/>
        </w:rPr>
        <w:t xml:space="preserve"> a receiver </w:t>
      </w:r>
      <w:r w:rsidR="00C90889">
        <w:rPr>
          <w:rFonts w:ascii="Arial" w:hAnsi="Arial" w:cs="Arial"/>
          <w:sz w:val="24"/>
          <w:szCs w:val="24"/>
        </w:rPr>
        <w:t xml:space="preserve">will be of practical value </w:t>
      </w:r>
      <w:r w:rsidR="009A6E94">
        <w:rPr>
          <w:rFonts w:ascii="Arial" w:hAnsi="Arial" w:cs="Arial"/>
          <w:sz w:val="24"/>
          <w:szCs w:val="24"/>
        </w:rPr>
        <w:t xml:space="preserve">and that </w:t>
      </w:r>
      <w:r>
        <w:rPr>
          <w:rFonts w:ascii="Arial" w:hAnsi="Arial" w:cs="Arial"/>
          <w:sz w:val="24"/>
          <w:szCs w:val="24"/>
        </w:rPr>
        <w:t xml:space="preserve">Mr. Elijah C. Banda, SC is </w:t>
      </w:r>
      <w:r w:rsidR="009879AD">
        <w:rPr>
          <w:rFonts w:ascii="Arial" w:hAnsi="Arial" w:cs="Arial"/>
          <w:sz w:val="24"/>
          <w:szCs w:val="24"/>
        </w:rPr>
        <w:t xml:space="preserve">a </w:t>
      </w:r>
      <w:r>
        <w:rPr>
          <w:rFonts w:ascii="Arial" w:hAnsi="Arial" w:cs="Arial"/>
          <w:sz w:val="24"/>
          <w:szCs w:val="24"/>
        </w:rPr>
        <w:t xml:space="preserve">proper </w:t>
      </w:r>
      <w:r w:rsidR="009879AD">
        <w:rPr>
          <w:rFonts w:ascii="Arial" w:hAnsi="Arial" w:cs="Arial"/>
          <w:sz w:val="24"/>
          <w:szCs w:val="24"/>
        </w:rPr>
        <w:t xml:space="preserve">and fit </w:t>
      </w:r>
      <w:r w:rsidR="009A6E94">
        <w:rPr>
          <w:rFonts w:ascii="Arial" w:hAnsi="Arial" w:cs="Arial"/>
          <w:sz w:val="24"/>
          <w:szCs w:val="24"/>
        </w:rPr>
        <w:t xml:space="preserve">person to be appointed as </w:t>
      </w:r>
      <w:r>
        <w:rPr>
          <w:rFonts w:ascii="Arial" w:hAnsi="Arial" w:cs="Arial"/>
          <w:sz w:val="24"/>
          <w:szCs w:val="24"/>
        </w:rPr>
        <w:t>receiver</w:t>
      </w:r>
      <w:r w:rsidR="00C90889" w:rsidRPr="00C90889">
        <w:rPr>
          <w:rFonts w:ascii="Arial" w:hAnsi="Arial" w:cs="Arial"/>
          <w:sz w:val="24"/>
          <w:szCs w:val="24"/>
        </w:rPr>
        <w:t xml:space="preserve"> </w:t>
      </w:r>
      <w:r w:rsidR="00C90889">
        <w:rPr>
          <w:rFonts w:ascii="Arial" w:hAnsi="Arial" w:cs="Arial"/>
          <w:sz w:val="24"/>
          <w:szCs w:val="24"/>
        </w:rPr>
        <w:t>in equitable execution</w:t>
      </w:r>
      <w:r>
        <w:rPr>
          <w:rFonts w:ascii="Arial" w:hAnsi="Arial" w:cs="Arial"/>
          <w:sz w:val="24"/>
          <w:szCs w:val="24"/>
        </w:rPr>
        <w:t xml:space="preserve">. Accordingly, I grant the order sought by the plaintiff and appoint Mr. Banda, SC as receiver over the defendant’s property and mineral right </w:t>
      </w:r>
      <w:r w:rsidR="009879AD">
        <w:rPr>
          <w:rFonts w:ascii="Arial" w:hAnsi="Arial" w:cs="Arial"/>
          <w:sz w:val="24"/>
          <w:szCs w:val="24"/>
        </w:rPr>
        <w:t>kn</w:t>
      </w:r>
      <w:r>
        <w:rPr>
          <w:rFonts w:ascii="Arial" w:hAnsi="Arial" w:cs="Arial"/>
          <w:sz w:val="24"/>
          <w:szCs w:val="24"/>
        </w:rPr>
        <w:t>own a</w:t>
      </w:r>
      <w:r w:rsidR="009879AD">
        <w:rPr>
          <w:rFonts w:ascii="Arial" w:hAnsi="Arial" w:cs="Arial"/>
          <w:sz w:val="24"/>
          <w:szCs w:val="24"/>
        </w:rPr>
        <w:t>s</w:t>
      </w:r>
      <w:r>
        <w:rPr>
          <w:rFonts w:ascii="Arial" w:hAnsi="Arial" w:cs="Arial"/>
          <w:sz w:val="24"/>
          <w:szCs w:val="24"/>
        </w:rPr>
        <w:t xml:space="preserve"> Plot 7 Pirala in the Ndola Rural Emerald Restricted area, which is also specifically described at paragraph 5.1 of the Joint Venture Agreement that was signed by the parties. </w:t>
      </w:r>
      <w:r w:rsidR="00C90889">
        <w:rPr>
          <w:rFonts w:ascii="Arial" w:hAnsi="Arial" w:cs="Arial"/>
          <w:sz w:val="24"/>
          <w:szCs w:val="24"/>
        </w:rPr>
        <w:t>However, t</w:t>
      </w:r>
      <w:r>
        <w:rPr>
          <w:rFonts w:ascii="Arial" w:hAnsi="Arial" w:cs="Arial"/>
          <w:sz w:val="24"/>
          <w:szCs w:val="24"/>
        </w:rPr>
        <w:t>he appointment is subject to the receiver giving security.</w:t>
      </w:r>
      <w:r w:rsidR="009879AD">
        <w:rPr>
          <w:rFonts w:ascii="Arial" w:hAnsi="Arial" w:cs="Arial"/>
          <w:sz w:val="24"/>
          <w:szCs w:val="24"/>
        </w:rPr>
        <w:t xml:space="preserve"> </w:t>
      </w:r>
      <w:r w:rsidR="00C90889">
        <w:rPr>
          <w:rFonts w:ascii="Arial" w:hAnsi="Arial" w:cs="Arial"/>
          <w:sz w:val="24"/>
          <w:szCs w:val="24"/>
        </w:rPr>
        <w:t>Therefore, i</w:t>
      </w:r>
      <w:r>
        <w:rPr>
          <w:rFonts w:ascii="Arial" w:hAnsi="Arial" w:cs="Arial"/>
          <w:sz w:val="24"/>
          <w:szCs w:val="24"/>
        </w:rPr>
        <w:t xml:space="preserve">n accordance with </w:t>
      </w:r>
      <w:r w:rsidR="00C90889">
        <w:rPr>
          <w:rFonts w:ascii="Arial" w:hAnsi="Arial" w:cs="Arial"/>
          <w:sz w:val="24"/>
          <w:szCs w:val="24"/>
        </w:rPr>
        <w:t>O</w:t>
      </w:r>
      <w:r>
        <w:rPr>
          <w:rFonts w:ascii="Arial" w:hAnsi="Arial" w:cs="Arial"/>
          <w:sz w:val="24"/>
          <w:szCs w:val="24"/>
        </w:rPr>
        <w:t>rder 30/1/10 RSC 1999, I direct that summons should be issued forthwith before the</w:t>
      </w:r>
      <w:r w:rsidR="006052DE">
        <w:rPr>
          <w:rFonts w:ascii="Arial" w:hAnsi="Arial" w:cs="Arial"/>
          <w:sz w:val="24"/>
          <w:szCs w:val="24"/>
        </w:rPr>
        <w:t xml:space="preserve"> </w:t>
      </w:r>
      <w:r w:rsidR="00C90889">
        <w:rPr>
          <w:rFonts w:ascii="Arial" w:hAnsi="Arial" w:cs="Arial"/>
          <w:sz w:val="24"/>
          <w:szCs w:val="24"/>
        </w:rPr>
        <w:t xml:space="preserve">learned </w:t>
      </w:r>
      <w:r w:rsidR="006052DE">
        <w:rPr>
          <w:rFonts w:ascii="Arial" w:hAnsi="Arial" w:cs="Arial"/>
          <w:sz w:val="24"/>
          <w:szCs w:val="24"/>
        </w:rPr>
        <w:t>Deputy Registrar, for directions as to security</w:t>
      </w:r>
      <w:r w:rsidR="009879AD">
        <w:rPr>
          <w:rFonts w:ascii="Arial" w:hAnsi="Arial" w:cs="Arial"/>
          <w:sz w:val="24"/>
          <w:szCs w:val="24"/>
        </w:rPr>
        <w:t>,</w:t>
      </w:r>
      <w:r w:rsidR="006052DE">
        <w:rPr>
          <w:rFonts w:ascii="Arial" w:hAnsi="Arial" w:cs="Arial"/>
          <w:sz w:val="24"/>
          <w:szCs w:val="24"/>
        </w:rPr>
        <w:t xml:space="preserve"> the receiver’s remuneration and accounts. </w:t>
      </w:r>
    </w:p>
    <w:p w:rsidR="009879AD" w:rsidRDefault="009879AD" w:rsidP="005776AA">
      <w:pPr>
        <w:spacing w:after="0" w:line="360" w:lineRule="auto"/>
        <w:jc w:val="both"/>
        <w:rPr>
          <w:rFonts w:ascii="Arial" w:hAnsi="Arial" w:cs="Arial"/>
          <w:sz w:val="24"/>
          <w:szCs w:val="24"/>
        </w:rPr>
      </w:pPr>
    </w:p>
    <w:p w:rsidR="006052DE" w:rsidRDefault="006052DE" w:rsidP="005776AA">
      <w:pPr>
        <w:spacing w:after="0" w:line="360" w:lineRule="auto"/>
        <w:jc w:val="both"/>
        <w:rPr>
          <w:rFonts w:ascii="Arial" w:hAnsi="Arial" w:cs="Arial"/>
          <w:sz w:val="24"/>
          <w:szCs w:val="24"/>
        </w:rPr>
      </w:pPr>
      <w:r>
        <w:rPr>
          <w:rFonts w:ascii="Arial" w:hAnsi="Arial" w:cs="Arial"/>
          <w:sz w:val="24"/>
          <w:szCs w:val="24"/>
        </w:rPr>
        <w:lastRenderedPageBreak/>
        <w:t>I turn now to the second leg of the plaintiff’s application, that is, for an injunction to restrain the defendants, their servants and or agents from engaging third parties in the mining of the minerals and emeralds at the min</w:t>
      </w:r>
      <w:r w:rsidR="009879AD">
        <w:rPr>
          <w:rFonts w:ascii="Arial" w:hAnsi="Arial" w:cs="Arial"/>
          <w:sz w:val="24"/>
          <w:szCs w:val="24"/>
        </w:rPr>
        <w:t>e</w:t>
      </w:r>
      <w:r>
        <w:rPr>
          <w:rFonts w:ascii="Arial" w:hAnsi="Arial" w:cs="Arial"/>
          <w:sz w:val="24"/>
          <w:szCs w:val="24"/>
        </w:rPr>
        <w:t xml:space="preserve"> in question. As rightly submitted by </w:t>
      </w:r>
      <w:r w:rsidR="006540E4">
        <w:rPr>
          <w:rFonts w:ascii="Arial" w:hAnsi="Arial" w:cs="Arial"/>
          <w:sz w:val="24"/>
          <w:szCs w:val="24"/>
        </w:rPr>
        <w:t>Mr. Twumasi,</w:t>
      </w:r>
      <w:r>
        <w:rPr>
          <w:rFonts w:ascii="Arial" w:hAnsi="Arial" w:cs="Arial"/>
          <w:sz w:val="24"/>
          <w:szCs w:val="24"/>
        </w:rPr>
        <w:t xml:space="preserve"> on 14</w:t>
      </w:r>
      <w:r w:rsidRPr="006052DE">
        <w:rPr>
          <w:rFonts w:ascii="Arial" w:hAnsi="Arial" w:cs="Arial"/>
          <w:sz w:val="24"/>
          <w:szCs w:val="24"/>
          <w:vertAlign w:val="superscript"/>
        </w:rPr>
        <w:t>th</w:t>
      </w:r>
      <w:r>
        <w:rPr>
          <w:rFonts w:ascii="Arial" w:hAnsi="Arial" w:cs="Arial"/>
          <w:sz w:val="24"/>
          <w:szCs w:val="24"/>
        </w:rPr>
        <w:t xml:space="preserve"> June, 2010, I directed the defendants to refrain from wasting or depleting its assets pending the determination of the appeal to the Supreme Court, except for any legitimate and necessary expenditure. In the affidavit </w:t>
      </w:r>
      <w:r w:rsidR="006540E4">
        <w:rPr>
          <w:rFonts w:ascii="Arial" w:hAnsi="Arial" w:cs="Arial"/>
          <w:sz w:val="24"/>
          <w:szCs w:val="24"/>
        </w:rPr>
        <w:t>in</w:t>
      </w:r>
      <w:r w:rsidR="0022050D">
        <w:rPr>
          <w:rFonts w:ascii="Arial" w:hAnsi="Arial" w:cs="Arial"/>
          <w:sz w:val="24"/>
          <w:szCs w:val="24"/>
        </w:rPr>
        <w:t xml:space="preserve"> support</w:t>
      </w:r>
      <w:r>
        <w:rPr>
          <w:rFonts w:ascii="Arial" w:hAnsi="Arial" w:cs="Arial"/>
          <w:sz w:val="24"/>
          <w:szCs w:val="24"/>
        </w:rPr>
        <w:t xml:space="preserve">, in particular in paragraph 17, the plaintiff disclosed that the defendants are still working on the mines and that they make a lot of monies from the sale of the emeralds, </w:t>
      </w:r>
      <w:r w:rsidR="00971884">
        <w:rPr>
          <w:rFonts w:ascii="Arial" w:hAnsi="Arial" w:cs="Arial"/>
          <w:sz w:val="24"/>
          <w:szCs w:val="24"/>
        </w:rPr>
        <w:t>b</w:t>
      </w:r>
      <w:r>
        <w:rPr>
          <w:rFonts w:ascii="Arial" w:hAnsi="Arial" w:cs="Arial"/>
          <w:sz w:val="24"/>
          <w:szCs w:val="24"/>
        </w:rPr>
        <w:t xml:space="preserve">ut </w:t>
      </w:r>
      <w:r w:rsidR="00D81961">
        <w:rPr>
          <w:rFonts w:ascii="Arial" w:hAnsi="Arial" w:cs="Arial"/>
          <w:sz w:val="24"/>
          <w:szCs w:val="24"/>
        </w:rPr>
        <w:t xml:space="preserve">they </w:t>
      </w:r>
      <w:r>
        <w:rPr>
          <w:rFonts w:ascii="Arial" w:hAnsi="Arial" w:cs="Arial"/>
          <w:sz w:val="24"/>
          <w:szCs w:val="24"/>
        </w:rPr>
        <w:t>have refused to make payments for the judgment debt. In paragraph 18, it is stated that about 14</w:t>
      </w:r>
      <w:r w:rsidRPr="006052DE">
        <w:rPr>
          <w:rFonts w:ascii="Arial" w:hAnsi="Arial" w:cs="Arial"/>
          <w:sz w:val="24"/>
          <w:szCs w:val="24"/>
          <w:vertAlign w:val="superscript"/>
        </w:rPr>
        <w:t>th</w:t>
      </w:r>
      <w:r>
        <w:rPr>
          <w:rFonts w:ascii="Arial" w:hAnsi="Arial" w:cs="Arial"/>
          <w:sz w:val="24"/>
          <w:szCs w:val="24"/>
        </w:rPr>
        <w:t xml:space="preserve"> March, 2012, the defendants proposed to the plaintiff to make payments of US$ 100,000.00 and K100,000,000.00 which they have since failed to pay, but by their letter it was clear that they are running a successful business. In paragraph 19, it is stated that in the meantime, the defendants are engaging other persons and companies to enter into the mine</w:t>
      </w:r>
      <w:r w:rsidR="00715BD9">
        <w:rPr>
          <w:rFonts w:ascii="Arial" w:hAnsi="Arial" w:cs="Arial"/>
          <w:sz w:val="24"/>
          <w:szCs w:val="24"/>
        </w:rPr>
        <w:t xml:space="preserve"> to mine minerals and emeralds to the disadvantage of the plaintiffs who have a judgment in their favour. In paragraph 21 one of the persons who ha</w:t>
      </w:r>
      <w:r w:rsidR="00971884">
        <w:rPr>
          <w:rFonts w:ascii="Arial" w:hAnsi="Arial" w:cs="Arial"/>
          <w:sz w:val="24"/>
          <w:szCs w:val="24"/>
        </w:rPr>
        <w:t>ve</w:t>
      </w:r>
      <w:r w:rsidR="00715BD9">
        <w:rPr>
          <w:rFonts w:ascii="Arial" w:hAnsi="Arial" w:cs="Arial"/>
          <w:sz w:val="24"/>
          <w:szCs w:val="24"/>
        </w:rPr>
        <w:t xml:space="preserve"> been mining is named as Hadjigui Doucoure. In paragraph 22, it is stated that the conduct of the defendants shall result in the wasting of all the mineral wealth and is intended to frustrate the judgment of this court. </w:t>
      </w:r>
      <w:r>
        <w:rPr>
          <w:rFonts w:ascii="Arial" w:hAnsi="Arial" w:cs="Arial"/>
          <w:sz w:val="24"/>
          <w:szCs w:val="24"/>
        </w:rPr>
        <w:t xml:space="preserve"> </w:t>
      </w:r>
    </w:p>
    <w:p w:rsidR="00715BD9" w:rsidRDefault="00715BD9" w:rsidP="005776AA">
      <w:pPr>
        <w:spacing w:after="0" w:line="360" w:lineRule="auto"/>
        <w:jc w:val="both"/>
        <w:rPr>
          <w:rFonts w:ascii="Arial" w:hAnsi="Arial" w:cs="Arial"/>
          <w:sz w:val="24"/>
          <w:szCs w:val="24"/>
        </w:rPr>
      </w:pPr>
    </w:p>
    <w:p w:rsidR="004263EC" w:rsidRDefault="00715BD9" w:rsidP="005776AA">
      <w:pPr>
        <w:spacing w:after="0" w:line="360" w:lineRule="auto"/>
        <w:jc w:val="both"/>
        <w:rPr>
          <w:rFonts w:ascii="Arial" w:hAnsi="Arial" w:cs="Arial"/>
          <w:sz w:val="24"/>
          <w:szCs w:val="24"/>
        </w:rPr>
      </w:pPr>
      <w:r>
        <w:rPr>
          <w:rFonts w:ascii="Arial" w:hAnsi="Arial" w:cs="Arial"/>
          <w:sz w:val="24"/>
          <w:szCs w:val="24"/>
        </w:rPr>
        <w:t xml:space="preserve">It is the contention of </w:t>
      </w:r>
      <w:r w:rsidR="006540E4">
        <w:rPr>
          <w:rFonts w:ascii="Arial" w:hAnsi="Arial" w:cs="Arial"/>
          <w:sz w:val="24"/>
          <w:szCs w:val="24"/>
        </w:rPr>
        <w:t>Mr. Chalenga</w:t>
      </w:r>
      <w:r>
        <w:rPr>
          <w:rFonts w:ascii="Arial" w:hAnsi="Arial" w:cs="Arial"/>
          <w:sz w:val="24"/>
          <w:szCs w:val="24"/>
        </w:rPr>
        <w:t xml:space="preserve"> that the allegations in paragraphs 20 to 22 of the plaintiff’s first affidavit are not supported by any document</w:t>
      </w:r>
      <w:r w:rsidR="009879AD">
        <w:rPr>
          <w:rFonts w:ascii="Arial" w:hAnsi="Arial" w:cs="Arial"/>
          <w:sz w:val="24"/>
          <w:szCs w:val="24"/>
        </w:rPr>
        <w:t>ary</w:t>
      </w:r>
      <w:r>
        <w:rPr>
          <w:rFonts w:ascii="Arial" w:hAnsi="Arial" w:cs="Arial"/>
          <w:sz w:val="24"/>
          <w:szCs w:val="24"/>
        </w:rPr>
        <w:t xml:space="preserve"> proof to show that the defendants have been conducting a successful business or mining to enable them to pay the arbitral award or that the defendants are wasting or depleting the mineral wealth of the mine or that the defendants have not complied with the ruling of 14</w:t>
      </w:r>
      <w:r w:rsidRPr="00715BD9">
        <w:rPr>
          <w:rFonts w:ascii="Arial" w:hAnsi="Arial" w:cs="Arial"/>
          <w:sz w:val="24"/>
          <w:szCs w:val="24"/>
          <w:vertAlign w:val="superscript"/>
        </w:rPr>
        <w:t>th</w:t>
      </w:r>
      <w:r>
        <w:rPr>
          <w:rFonts w:ascii="Arial" w:hAnsi="Arial" w:cs="Arial"/>
          <w:sz w:val="24"/>
          <w:szCs w:val="24"/>
        </w:rPr>
        <w:t xml:space="preserve"> June, 2010.</w:t>
      </w:r>
    </w:p>
    <w:p w:rsidR="001D7E92" w:rsidRDefault="00715BD9" w:rsidP="005776AA">
      <w:pPr>
        <w:spacing w:after="0" w:line="360" w:lineRule="auto"/>
        <w:jc w:val="both"/>
        <w:rPr>
          <w:rFonts w:ascii="Arial" w:hAnsi="Arial" w:cs="Arial"/>
          <w:sz w:val="24"/>
          <w:szCs w:val="24"/>
        </w:rPr>
      </w:pPr>
      <w:r>
        <w:rPr>
          <w:rFonts w:ascii="Arial" w:hAnsi="Arial" w:cs="Arial"/>
          <w:sz w:val="24"/>
          <w:szCs w:val="24"/>
        </w:rPr>
        <w:t xml:space="preserve">I am inclined to agree with the argument of </w:t>
      </w:r>
      <w:r w:rsidR="001D7E92">
        <w:rPr>
          <w:rFonts w:ascii="Arial" w:hAnsi="Arial" w:cs="Arial"/>
          <w:sz w:val="24"/>
          <w:szCs w:val="24"/>
        </w:rPr>
        <w:t xml:space="preserve">Mr. Twumasi </w:t>
      </w:r>
      <w:r>
        <w:rPr>
          <w:rFonts w:ascii="Arial" w:hAnsi="Arial" w:cs="Arial"/>
          <w:sz w:val="24"/>
          <w:szCs w:val="24"/>
        </w:rPr>
        <w:t xml:space="preserve">that the matters deposed to in the </w:t>
      </w:r>
      <w:r w:rsidR="00D81961">
        <w:rPr>
          <w:rFonts w:ascii="Arial" w:hAnsi="Arial" w:cs="Arial"/>
          <w:sz w:val="24"/>
          <w:szCs w:val="24"/>
        </w:rPr>
        <w:t>two</w:t>
      </w:r>
      <w:r>
        <w:rPr>
          <w:rFonts w:ascii="Arial" w:hAnsi="Arial" w:cs="Arial"/>
          <w:sz w:val="24"/>
          <w:szCs w:val="24"/>
        </w:rPr>
        <w:t xml:space="preserve"> affidavits are not contested as there is no affidavit in opposition. Ther</w:t>
      </w:r>
      <w:r w:rsidR="009879AD">
        <w:rPr>
          <w:rFonts w:ascii="Arial" w:hAnsi="Arial" w:cs="Arial"/>
          <w:sz w:val="24"/>
          <w:szCs w:val="24"/>
        </w:rPr>
        <w:t>efore</w:t>
      </w:r>
      <w:r w:rsidR="001D7E92">
        <w:rPr>
          <w:rFonts w:ascii="Arial" w:hAnsi="Arial" w:cs="Arial"/>
          <w:sz w:val="24"/>
          <w:szCs w:val="24"/>
        </w:rPr>
        <w:t>,</w:t>
      </w:r>
      <w:r w:rsidR="009879AD">
        <w:rPr>
          <w:rFonts w:ascii="Arial" w:hAnsi="Arial" w:cs="Arial"/>
          <w:sz w:val="24"/>
          <w:szCs w:val="24"/>
        </w:rPr>
        <w:t xml:space="preserve"> </w:t>
      </w:r>
      <w:r w:rsidR="001D7E92">
        <w:rPr>
          <w:rFonts w:ascii="Arial" w:hAnsi="Arial" w:cs="Arial"/>
          <w:sz w:val="24"/>
          <w:szCs w:val="24"/>
        </w:rPr>
        <w:t xml:space="preserve">Mr. Chalenga </w:t>
      </w:r>
      <w:r>
        <w:rPr>
          <w:rFonts w:ascii="Arial" w:hAnsi="Arial" w:cs="Arial"/>
          <w:sz w:val="24"/>
          <w:szCs w:val="24"/>
        </w:rPr>
        <w:t>cannot be heard to argue that there is no documentary proof that the defendant</w:t>
      </w:r>
      <w:r w:rsidR="001D7E92">
        <w:rPr>
          <w:rFonts w:ascii="Arial" w:hAnsi="Arial" w:cs="Arial"/>
          <w:sz w:val="24"/>
          <w:szCs w:val="24"/>
        </w:rPr>
        <w:t>s</w:t>
      </w:r>
      <w:r>
        <w:rPr>
          <w:rFonts w:ascii="Arial" w:hAnsi="Arial" w:cs="Arial"/>
          <w:sz w:val="24"/>
          <w:szCs w:val="24"/>
        </w:rPr>
        <w:t xml:space="preserve"> </w:t>
      </w:r>
      <w:r w:rsidR="001D7E92">
        <w:rPr>
          <w:rFonts w:ascii="Arial" w:hAnsi="Arial" w:cs="Arial"/>
          <w:sz w:val="24"/>
          <w:szCs w:val="24"/>
        </w:rPr>
        <w:t>are</w:t>
      </w:r>
      <w:r w:rsidR="009879AD">
        <w:rPr>
          <w:rFonts w:ascii="Arial" w:hAnsi="Arial" w:cs="Arial"/>
          <w:sz w:val="24"/>
          <w:szCs w:val="24"/>
        </w:rPr>
        <w:t xml:space="preserve"> </w:t>
      </w:r>
      <w:r>
        <w:rPr>
          <w:rFonts w:ascii="Arial" w:hAnsi="Arial" w:cs="Arial"/>
          <w:sz w:val="24"/>
          <w:szCs w:val="24"/>
        </w:rPr>
        <w:t xml:space="preserve">carrying on a </w:t>
      </w:r>
      <w:r w:rsidR="000D00BC">
        <w:rPr>
          <w:rFonts w:ascii="Arial" w:hAnsi="Arial" w:cs="Arial"/>
          <w:sz w:val="24"/>
          <w:szCs w:val="24"/>
        </w:rPr>
        <w:t>successful business to enable them to pay the arbitral award or that the defendants are depleting the mineral wealth of the mine or that they have not complied with the order of 14</w:t>
      </w:r>
      <w:r w:rsidR="000D00BC" w:rsidRPr="000D00BC">
        <w:rPr>
          <w:rFonts w:ascii="Arial" w:hAnsi="Arial" w:cs="Arial"/>
          <w:sz w:val="24"/>
          <w:szCs w:val="24"/>
          <w:vertAlign w:val="superscript"/>
        </w:rPr>
        <w:t>th</w:t>
      </w:r>
      <w:r w:rsidR="000D00BC">
        <w:rPr>
          <w:rFonts w:ascii="Arial" w:hAnsi="Arial" w:cs="Arial"/>
          <w:sz w:val="24"/>
          <w:szCs w:val="24"/>
        </w:rPr>
        <w:t xml:space="preserve"> June, 2010. </w:t>
      </w:r>
    </w:p>
    <w:p w:rsidR="001D7E92" w:rsidRDefault="001D7E92" w:rsidP="005776AA">
      <w:pPr>
        <w:spacing w:after="0" w:line="360" w:lineRule="auto"/>
        <w:jc w:val="both"/>
        <w:rPr>
          <w:rFonts w:ascii="Arial" w:hAnsi="Arial" w:cs="Arial"/>
          <w:sz w:val="24"/>
          <w:szCs w:val="24"/>
        </w:rPr>
      </w:pPr>
    </w:p>
    <w:p w:rsidR="00426AB0" w:rsidRDefault="000D00BC" w:rsidP="005776AA">
      <w:pPr>
        <w:spacing w:after="0" w:line="360" w:lineRule="auto"/>
        <w:jc w:val="both"/>
        <w:rPr>
          <w:rFonts w:ascii="Arial" w:hAnsi="Arial" w:cs="Arial"/>
          <w:sz w:val="24"/>
          <w:szCs w:val="24"/>
        </w:rPr>
      </w:pPr>
      <w:r>
        <w:rPr>
          <w:rFonts w:ascii="Arial" w:hAnsi="Arial" w:cs="Arial"/>
          <w:sz w:val="24"/>
          <w:szCs w:val="24"/>
        </w:rPr>
        <w:lastRenderedPageBreak/>
        <w:t xml:space="preserve">I </w:t>
      </w:r>
      <w:r w:rsidR="001D7E92">
        <w:rPr>
          <w:rFonts w:ascii="Arial" w:hAnsi="Arial" w:cs="Arial"/>
          <w:sz w:val="24"/>
          <w:szCs w:val="24"/>
        </w:rPr>
        <w:t xml:space="preserve">am persuaded </w:t>
      </w:r>
      <w:r>
        <w:rPr>
          <w:rFonts w:ascii="Arial" w:hAnsi="Arial" w:cs="Arial"/>
          <w:sz w:val="24"/>
          <w:szCs w:val="24"/>
        </w:rPr>
        <w:t xml:space="preserve">that the defendants are carrying on a successful business, but for reasons only </w:t>
      </w:r>
      <w:r w:rsidR="00116119">
        <w:rPr>
          <w:rFonts w:ascii="Arial" w:hAnsi="Arial" w:cs="Arial"/>
          <w:sz w:val="24"/>
          <w:szCs w:val="24"/>
        </w:rPr>
        <w:t>kn</w:t>
      </w:r>
      <w:r>
        <w:rPr>
          <w:rFonts w:ascii="Arial" w:hAnsi="Arial" w:cs="Arial"/>
          <w:sz w:val="24"/>
          <w:szCs w:val="24"/>
        </w:rPr>
        <w:t xml:space="preserve">own to them </w:t>
      </w:r>
      <w:r w:rsidR="001D7E92">
        <w:rPr>
          <w:rFonts w:ascii="Arial" w:hAnsi="Arial" w:cs="Arial"/>
          <w:sz w:val="24"/>
          <w:szCs w:val="24"/>
        </w:rPr>
        <w:t xml:space="preserve">they have </w:t>
      </w:r>
      <w:r>
        <w:rPr>
          <w:rFonts w:ascii="Arial" w:hAnsi="Arial" w:cs="Arial"/>
          <w:sz w:val="24"/>
          <w:szCs w:val="24"/>
        </w:rPr>
        <w:t>f</w:t>
      </w:r>
      <w:r w:rsidR="00116119">
        <w:rPr>
          <w:rFonts w:ascii="Arial" w:hAnsi="Arial" w:cs="Arial"/>
          <w:sz w:val="24"/>
          <w:szCs w:val="24"/>
        </w:rPr>
        <w:t>a</w:t>
      </w:r>
      <w:r>
        <w:rPr>
          <w:rFonts w:ascii="Arial" w:hAnsi="Arial" w:cs="Arial"/>
          <w:sz w:val="24"/>
          <w:szCs w:val="24"/>
        </w:rPr>
        <w:t>iled to settle the arbitral award as proposed in their letter of 14</w:t>
      </w:r>
      <w:r w:rsidRPr="000D00BC">
        <w:rPr>
          <w:rFonts w:ascii="Arial" w:hAnsi="Arial" w:cs="Arial"/>
          <w:sz w:val="24"/>
          <w:szCs w:val="24"/>
          <w:vertAlign w:val="superscript"/>
        </w:rPr>
        <w:t>th</w:t>
      </w:r>
      <w:r>
        <w:rPr>
          <w:rFonts w:ascii="Arial" w:hAnsi="Arial" w:cs="Arial"/>
          <w:sz w:val="24"/>
          <w:szCs w:val="24"/>
        </w:rPr>
        <w:t xml:space="preserve"> March, 2012. </w:t>
      </w:r>
      <w:r w:rsidR="001D7E92">
        <w:rPr>
          <w:rFonts w:ascii="Arial" w:hAnsi="Arial" w:cs="Arial"/>
          <w:sz w:val="24"/>
          <w:szCs w:val="24"/>
        </w:rPr>
        <w:t>T</w:t>
      </w:r>
      <w:r>
        <w:rPr>
          <w:rFonts w:ascii="Arial" w:hAnsi="Arial" w:cs="Arial"/>
          <w:sz w:val="24"/>
          <w:szCs w:val="24"/>
        </w:rPr>
        <w:t>he</w:t>
      </w:r>
      <w:r w:rsidR="001D7E92">
        <w:rPr>
          <w:rFonts w:ascii="Arial" w:hAnsi="Arial" w:cs="Arial"/>
          <w:sz w:val="24"/>
          <w:szCs w:val="24"/>
        </w:rPr>
        <w:t xml:space="preserve">y </w:t>
      </w:r>
      <w:r>
        <w:rPr>
          <w:rFonts w:ascii="Arial" w:hAnsi="Arial" w:cs="Arial"/>
          <w:sz w:val="24"/>
          <w:szCs w:val="24"/>
        </w:rPr>
        <w:t xml:space="preserve">have allowed third parties such as Hadjugui Doucoure to </w:t>
      </w:r>
      <w:r w:rsidR="001D7E92">
        <w:rPr>
          <w:rFonts w:ascii="Arial" w:hAnsi="Arial" w:cs="Arial"/>
          <w:sz w:val="24"/>
          <w:szCs w:val="24"/>
        </w:rPr>
        <w:t>r</w:t>
      </w:r>
      <w:r>
        <w:rPr>
          <w:rFonts w:ascii="Arial" w:hAnsi="Arial" w:cs="Arial"/>
          <w:sz w:val="24"/>
          <w:szCs w:val="24"/>
        </w:rPr>
        <w:t>e</w:t>
      </w:r>
      <w:r w:rsidR="001D7E92">
        <w:rPr>
          <w:rFonts w:ascii="Arial" w:hAnsi="Arial" w:cs="Arial"/>
          <w:sz w:val="24"/>
          <w:szCs w:val="24"/>
        </w:rPr>
        <w:t>mov</w:t>
      </w:r>
      <w:r>
        <w:rPr>
          <w:rFonts w:ascii="Arial" w:hAnsi="Arial" w:cs="Arial"/>
          <w:sz w:val="24"/>
          <w:szCs w:val="24"/>
        </w:rPr>
        <w:t>e</w:t>
      </w:r>
      <w:r w:rsidR="00116119">
        <w:rPr>
          <w:rFonts w:ascii="Arial" w:hAnsi="Arial" w:cs="Arial"/>
          <w:sz w:val="24"/>
          <w:szCs w:val="24"/>
        </w:rPr>
        <w:t xml:space="preserve"> </w:t>
      </w:r>
      <w:r>
        <w:rPr>
          <w:rFonts w:ascii="Arial" w:hAnsi="Arial" w:cs="Arial"/>
          <w:sz w:val="24"/>
          <w:szCs w:val="24"/>
        </w:rPr>
        <w:t>minerals and emeralds without any payments to the plaintiff that has been denied the fruits of the arbitral award since 28</w:t>
      </w:r>
      <w:r w:rsidRPr="000D00BC">
        <w:rPr>
          <w:rFonts w:ascii="Arial" w:hAnsi="Arial" w:cs="Arial"/>
          <w:sz w:val="24"/>
          <w:szCs w:val="24"/>
          <w:vertAlign w:val="superscript"/>
        </w:rPr>
        <w:t>th</w:t>
      </w:r>
      <w:r>
        <w:rPr>
          <w:rFonts w:ascii="Arial" w:hAnsi="Arial" w:cs="Arial"/>
          <w:sz w:val="24"/>
          <w:szCs w:val="24"/>
        </w:rPr>
        <w:t xml:space="preserve"> August, 2008. I do not agree with the argument by </w:t>
      </w:r>
      <w:r w:rsidR="00EA0995">
        <w:rPr>
          <w:rFonts w:ascii="Arial" w:hAnsi="Arial" w:cs="Arial"/>
          <w:sz w:val="24"/>
          <w:szCs w:val="24"/>
        </w:rPr>
        <w:t>Mr. Chalenga</w:t>
      </w:r>
      <w:r>
        <w:rPr>
          <w:rFonts w:ascii="Arial" w:hAnsi="Arial" w:cs="Arial"/>
          <w:sz w:val="24"/>
          <w:szCs w:val="24"/>
        </w:rPr>
        <w:t xml:space="preserve"> that there is lack of full and frank disclosure</w:t>
      </w:r>
      <w:r w:rsidR="00EA0995">
        <w:rPr>
          <w:rFonts w:ascii="Arial" w:hAnsi="Arial" w:cs="Arial"/>
          <w:sz w:val="24"/>
          <w:szCs w:val="24"/>
        </w:rPr>
        <w:t xml:space="preserve"> of facts</w:t>
      </w:r>
      <w:r>
        <w:rPr>
          <w:rFonts w:ascii="Arial" w:hAnsi="Arial" w:cs="Arial"/>
          <w:sz w:val="24"/>
          <w:szCs w:val="24"/>
        </w:rPr>
        <w:t xml:space="preserve">. </w:t>
      </w:r>
    </w:p>
    <w:p w:rsidR="00426AB0" w:rsidRDefault="00426AB0" w:rsidP="005776AA">
      <w:pPr>
        <w:spacing w:after="0" w:line="360" w:lineRule="auto"/>
        <w:jc w:val="both"/>
        <w:rPr>
          <w:rFonts w:ascii="Arial" w:hAnsi="Arial" w:cs="Arial"/>
          <w:sz w:val="24"/>
          <w:szCs w:val="24"/>
        </w:rPr>
      </w:pPr>
    </w:p>
    <w:p w:rsidR="0015629C" w:rsidRDefault="000D00BC" w:rsidP="005776AA">
      <w:pPr>
        <w:spacing w:after="0" w:line="360" w:lineRule="auto"/>
        <w:jc w:val="both"/>
        <w:rPr>
          <w:rFonts w:ascii="Arial" w:hAnsi="Arial" w:cs="Arial"/>
          <w:sz w:val="24"/>
          <w:szCs w:val="24"/>
        </w:rPr>
      </w:pPr>
      <w:r>
        <w:rPr>
          <w:rFonts w:ascii="Arial" w:hAnsi="Arial" w:cs="Arial"/>
          <w:sz w:val="24"/>
          <w:szCs w:val="24"/>
        </w:rPr>
        <w:t xml:space="preserve">However, I ought to add that an order appointing a receiver by way of equitable execution operates in a similar manner as an injunction. Of course as urged by </w:t>
      </w:r>
      <w:r w:rsidR="00EA0995">
        <w:rPr>
          <w:rFonts w:ascii="Arial" w:hAnsi="Arial" w:cs="Arial"/>
          <w:sz w:val="24"/>
          <w:szCs w:val="24"/>
        </w:rPr>
        <w:t>Mr. Chalenga,</w:t>
      </w:r>
      <w:r>
        <w:rPr>
          <w:rFonts w:ascii="Arial" w:hAnsi="Arial" w:cs="Arial"/>
          <w:sz w:val="24"/>
          <w:szCs w:val="24"/>
        </w:rPr>
        <w:t xml:space="preserve"> under </w:t>
      </w:r>
      <w:r w:rsidR="00116119">
        <w:rPr>
          <w:rFonts w:ascii="Arial" w:hAnsi="Arial" w:cs="Arial"/>
          <w:sz w:val="24"/>
          <w:szCs w:val="24"/>
        </w:rPr>
        <w:t>O</w:t>
      </w:r>
      <w:r w:rsidR="00EA0995">
        <w:rPr>
          <w:rFonts w:ascii="Arial" w:hAnsi="Arial" w:cs="Arial"/>
          <w:sz w:val="24"/>
          <w:szCs w:val="24"/>
        </w:rPr>
        <w:t>rder 30 rule 1</w:t>
      </w:r>
      <w:r>
        <w:rPr>
          <w:rFonts w:ascii="Arial" w:hAnsi="Arial" w:cs="Arial"/>
          <w:sz w:val="24"/>
          <w:szCs w:val="24"/>
        </w:rPr>
        <w:t>(2) RS</w:t>
      </w:r>
      <w:r w:rsidR="00116119">
        <w:rPr>
          <w:rFonts w:ascii="Arial" w:hAnsi="Arial" w:cs="Arial"/>
          <w:sz w:val="24"/>
          <w:szCs w:val="24"/>
        </w:rPr>
        <w:t>C</w:t>
      </w:r>
      <w:r>
        <w:rPr>
          <w:rFonts w:ascii="Arial" w:hAnsi="Arial" w:cs="Arial"/>
          <w:sz w:val="24"/>
          <w:szCs w:val="24"/>
        </w:rPr>
        <w:t xml:space="preserve"> 1999, the application for injunction is </w:t>
      </w:r>
      <w:r w:rsidR="001629F4">
        <w:rPr>
          <w:rFonts w:ascii="Arial" w:hAnsi="Arial" w:cs="Arial"/>
          <w:sz w:val="24"/>
          <w:szCs w:val="24"/>
        </w:rPr>
        <w:t>ancillary</w:t>
      </w:r>
      <w:r>
        <w:rPr>
          <w:rFonts w:ascii="Arial" w:hAnsi="Arial" w:cs="Arial"/>
          <w:sz w:val="24"/>
          <w:szCs w:val="24"/>
        </w:rPr>
        <w:t xml:space="preserve"> to the appointment of a receiver to manage the property of the defendant. The court may grant an injunction restraining </w:t>
      </w:r>
      <w:r w:rsidR="0015629C">
        <w:rPr>
          <w:rFonts w:ascii="Arial" w:hAnsi="Arial" w:cs="Arial"/>
          <w:sz w:val="24"/>
          <w:szCs w:val="24"/>
        </w:rPr>
        <w:t xml:space="preserve">the party beneficiary entitled to any interest in the property of which the receiver is sought from assigning, charging or otherwise dealing with that property until after the hearing of the application for the appointment of the receiver.  </w:t>
      </w:r>
      <w:r w:rsidR="00EA0995">
        <w:rPr>
          <w:rFonts w:ascii="Arial" w:hAnsi="Arial" w:cs="Arial"/>
          <w:sz w:val="24"/>
          <w:szCs w:val="24"/>
        </w:rPr>
        <w:t>In this case, s</w:t>
      </w:r>
      <w:r w:rsidR="0015629C">
        <w:rPr>
          <w:rFonts w:ascii="Arial" w:hAnsi="Arial" w:cs="Arial"/>
          <w:sz w:val="24"/>
          <w:szCs w:val="24"/>
        </w:rPr>
        <w:t>ince the order appointing the receiver by way of equitable execution operates in a similar way as an injunction,</w:t>
      </w:r>
      <w:r w:rsidR="00EA0995">
        <w:rPr>
          <w:rFonts w:ascii="Arial" w:hAnsi="Arial" w:cs="Arial"/>
          <w:sz w:val="24"/>
          <w:szCs w:val="24"/>
        </w:rPr>
        <w:t xml:space="preserve"> there is no justification</w:t>
      </w:r>
      <w:r w:rsidR="0015629C">
        <w:rPr>
          <w:rFonts w:ascii="Arial" w:hAnsi="Arial" w:cs="Arial"/>
          <w:sz w:val="24"/>
          <w:szCs w:val="24"/>
        </w:rPr>
        <w:t xml:space="preserve"> </w:t>
      </w:r>
      <w:r w:rsidR="00EA0995">
        <w:rPr>
          <w:rFonts w:ascii="Arial" w:hAnsi="Arial" w:cs="Arial"/>
          <w:sz w:val="24"/>
          <w:szCs w:val="24"/>
        </w:rPr>
        <w:t>f</w:t>
      </w:r>
      <w:r w:rsidR="0015629C">
        <w:rPr>
          <w:rFonts w:ascii="Arial" w:hAnsi="Arial" w:cs="Arial"/>
          <w:sz w:val="24"/>
          <w:szCs w:val="24"/>
        </w:rPr>
        <w:t>o</w:t>
      </w:r>
      <w:r w:rsidR="00EA0995">
        <w:rPr>
          <w:rFonts w:ascii="Arial" w:hAnsi="Arial" w:cs="Arial"/>
          <w:sz w:val="24"/>
          <w:szCs w:val="24"/>
        </w:rPr>
        <w:t>r making a</w:t>
      </w:r>
      <w:r w:rsidR="0015629C">
        <w:rPr>
          <w:rFonts w:ascii="Arial" w:hAnsi="Arial" w:cs="Arial"/>
          <w:sz w:val="24"/>
          <w:szCs w:val="24"/>
        </w:rPr>
        <w:t>n</w:t>
      </w:r>
      <w:r w:rsidR="00EA0995">
        <w:rPr>
          <w:rFonts w:ascii="Arial" w:hAnsi="Arial" w:cs="Arial"/>
          <w:sz w:val="24"/>
          <w:szCs w:val="24"/>
        </w:rPr>
        <w:t xml:space="preserve"> </w:t>
      </w:r>
      <w:r w:rsidR="0015629C">
        <w:rPr>
          <w:rFonts w:ascii="Arial" w:hAnsi="Arial" w:cs="Arial"/>
          <w:sz w:val="24"/>
          <w:szCs w:val="24"/>
        </w:rPr>
        <w:t>or</w:t>
      </w:r>
      <w:r w:rsidR="00EA0995">
        <w:rPr>
          <w:rFonts w:ascii="Arial" w:hAnsi="Arial" w:cs="Arial"/>
          <w:sz w:val="24"/>
          <w:szCs w:val="24"/>
        </w:rPr>
        <w:t xml:space="preserve">der of </w:t>
      </w:r>
      <w:r w:rsidR="0015629C">
        <w:rPr>
          <w:rFonts w:ascii="Arial" w:hAnsi="Arial" w:cs="Arial"/>
          <w:sz w:val="24"/>
          <w:szCs w:val="24"/>
        </w:rPr>
        <w:t>injunction after the appointment of the receiver</w:t>
      </w:r>
      <w:r w:rsidR="00EA0995">
        <w:rPr>
          <w:rFonts w:ascii="Arial" w:hAnsi="Arial" w:cs="Arial"/>
          <w:sz w:val="24"/>
          <w:szCs w:val="24"/>
        </w:rPr>
        <w:t xml:space="preserve"> as t</w:t>
      </w:r>
      <w:r w:rsidR="001E50F3">
        <w:rPr>
          <w:rFonts w:ascii="Arial" w:hAnsi="Arial" w:cs="Arial"/>
          <w:sz w:val="24"/>
          <w:szCs w:val="24"/>
        </w:rPr>
        <w:t>he defendants are automatically restrained under the order of appointment of receive</w:t>
      </w:r>
      <w:r w:rsidR="00311ECB">
        <w:rPr>
          <w:rFonts w:ascii="Arial" w:hAnsi="Arial" w:cs="Arial"/>
          <w:sz w:val="24"/>
          <w:szCs w:val="24"/>
        </w:rPr>
        <w:t>r</w:t>
      </w:r>
      <w:r w:rsidR="001E50F3">
        <w:rPr>
          <w:rFonts w:ascii="Arial" w:hAnsi="Arial" w:cs="Arial"/>
          <w:sz w:val="24"/>
          <w:szCs w:val="24"/>
        </w:rPr>
        <w:t xml:space="preserve">. </w:t>
      </w:r>
      <w:r w:rsidR="00EA0995">
        <w:rPr>
          <w:rFonts w:ascii="Arial" w:hAnsi="Arial" w:cs="Arial"/>
          <w:sz w:val="24"/>
          <w:szCs w:val="24"/>
        </w:rPr>
        <w:t xml:space="preserve">In conclusion I award the </w:t>
      </w:r>
      <w:r w:rsidR="001E50F3">
        <w:rPr>
          <w:rFonts w:ascii="Arial" w:hAnsi="Arial" w:cs="Arial"/>
          <w:sz w:val="24"/>
          <w:szCs w:val="24"/>
        </w:rPr>
        <w:t xml:space="preserve">costs </w:t>
      </w:r>
      <w:r w:rsidR="00EA0995">
        <w:rPr>
          <w:rFonts w:ascii="Arial" w:hAnsi="Arial" w:cs="Arial"/>
          <w:sz w:val="24"/>
          <w:szCs w:val="24"/>
        </w:rPr>
        <w:t>of this application t</w:t>
      </w:r>
      <w:r w:rsidR="001E50F3">
        <w:rPr>
          <w:rFonts w:ascii="Arial" w:hAnsi="Arial" w:cs="Arial"/>
          <w:sz w:val="24"/>
          <w:szCs w:val="24"/>
        </w:rPr>
        <w:t>o the plaintiff to be taxed if not agreed. Leave to appeal is not granted.</w:t>
      </w:r>
    </w:p>
    <w:p w:rsidR="001E50F3" w:rsidRDefault="001E50F3" w:rsidP="001E50F3">
      <w:pPr>
        <w:spacing w:after="0" w:line="360" w:lineRule="auto"/>
        <w:jc w:val="both"/>
        <w:rPr>
          <w:rFonts w:ascii="Arial" w:hAnsi="Arial" w:cs="Arial"/>
          <w:sz w:val="24"/>
          <w:szCs w:val="24"/>
        </w:rPr>
      </w:pPr>
    </w:p>
    <w:p w:rsidR="00F37FE5" w:rsidRDefault="00F37FE5" w:rsidP="001E50F3">
      <w:pPr>
        <w:spacing w:after="0" w:line="360" w:lineRule="auto"/>
        <w:jc w:val="center"/>
        <w:rPr>
          <w:rFonts w:ascii="Arial" w:hAnsi="Arial" w:cs="Arial"/>
          <w:sz w:val="24"/>
          <w:szCs w:val="24"/>
        </w:rPr>
      </w:pPr>
    </w:p>
    <w:p w:rsidR="001E50F3" w:rsidRDefault="001E50F3" w:rsidP="001E50F3">
      <w:pPr>
        <w:spacing w:after="0" w:line="360" w:lineRule="auto"/>
        <w:jc w:val="center"/>
        <w:rPr>
          <w:rFonts w:ascii="Arial" w:hAnsi="Arial" w:cs="Arial"/>
          <w:sz w:val="24"/>
          <w:szCs w:val="24"/>
        </w:rPr>
      </w:pPr>
      <w:r>
        <w:rPr>
          <w:rFonts w:ascii="Arial" w:hAnsi="Arial" w:cs="Arial"/>
          <w:sz w:val="24"/>
          <w:szCs w:val="24"/>
        </w:rPr>
        <w:t xml:space="preserve">Delivered in </w:t>
      </w:r>
      <w:r w:rsidR="00F37FE5">
        <w:rPr>
          <w:rFonts w:ascii="Arial" w:hAnsi="Arial" w:cs="Arial"/>
          <w:sz w:val="24"/>
          <w:szCs w:val="24"/>
        </w:rPr>
        <w:t>C</w:t>
      </w:r>
      <w:r>
        <w:rPr>
          <w:rFonts w:ascii="Arial" w:hAnsi="Arial" w:cs="Arial"/>
          <w:sz w:val="24"/>
          <w:szCs w:val="24"/>
        </w:rPr>
        <w:t>hambers</w:t>
      </w:r>
      <w:r w:rsidR="00F37FE5">
        <w:rPr>
          <w:rFonts w:ascii="Arial" w:hAnsi="Arial" w:cs="Arial"/>
          <w:sz w:val="24"/>
          <w:szCs w:val="24"/>
        </w:rPr>
        <w:t xml:space="preserve"> at Kitwe</w:t>
      </w:r>
      <w:r>
        <w:rPr>
          <w:rFonts w:ascii="Arial" w:hAnsi="Arial" w:cs="Arial"/>
          <w:sz w:val="24"/>
          <w:szCs w:val="24"/>
        </w:rPr>
        <w:t xml:space="preserve"> this </w:t>
      </w:r>
      <w:r w:rsidRPr="004E23E8">
        <w:rPr>
          <w:rFonts w:ascii="Arial" w:hAnsi="Arial" w:cs="Arial"/>
          <w:b/>
          <w:sz w:val="24"/>
          <w:szCs w:val="24"/>
        </w:rPr>
        <w:t>22</w:t>
      </w:r>
      <w:r w:rsidRPr="004E23E8">
        <w:rPr>
          <w:rFonts w:ascii="Arial" w:hAnsi="Arial" w:cs="Arial"/>
          <w:b/>
          <w:sz w:val="24"/>
          <w:szCs w:val="24"/>
          <w:vertAlign w:val="superscript"/>
        </w:rPr>
        <w:t>nd</w:t>
      </w:r>
      <w:r>
        <w:rPr>
          <w:rFonts w:ascii="Arial" w:hAnsi="Arial" w:cs="Arial"/>
          <w:sz w:val="24"/>
          <w:szCs w:val="24"/>
        </w:rPr>
        <w:t xml:space="preserve"> day of </w:t>
      </w:r>
      <w:r w:rsidRPr="004E23E8">
        <w:rPr>
          <w:rFonts w:ascii="Arial" w:hAnsi="Arial" w:cs="Arial"/>
          <w:b/>
          <w:sz w:val="24"/>
          <w:szCs w:val="24"/>
        </w:rPr>
        <w:t>March</w:t>
      </w:r>
      <w:r>
        <w:rPr>
          <w:rFonts w:ascii="Arial" w:hAnsi="Arial" w:cs="Arial"/>
          <w:sz w:val="24"/>
          <w:szCs w:val="24"/>
        </w:rPr>
        <w:t>, 2013</w:t>
      </w:r>
    </w:p>
    <w:p w:rsidR="00F37FE5" w:rsidRDefault="00F37FE5" w:rsidP="001629F4">
      <w:pPr>
        <w:spacing w:after="0" w:line="240" w:lineRule="auto"/>
        <w:jc w:val="center"/>
        <w:rPr>
          <w:rFonts w:ascii="Arial" w:hAnsi="Arial" w:cs="Arial"/>
          <w:b/>
          <w:sz w:val="24"/>
          <w:szCs w:val="24"/>
        </w:rPr>
      </w:pPr>
    </w:p>
    <w:p w:rsidR="00F37FE5" w:rsidRDefault="00F37FE5" w:rsidP="001629F4">
      <w:pPr>
        <w:spacing w:after="0" w:line="240" w:lineRule="auto"/>
        <w:jc w:val="center"/>
        <w:rPr>
          <w:rFonts w:ascii="Arial" w:hAnsi="Arial" w:cs="Arial"/>
          <w:b/>
          <w:sz w:val="24"/>
          <w:szCs w:val="24"/>
        </w:rPr>
      </w:pPr>
    </w:p>
    <w:p w:rsidR="00F37FE5" w:rsidRDefault="00F37FE5" w:rsidP="001629F4">
      <w:pPr>
        <w:spacing w:after="0" w:line="240" w:lineRule="auto"/>
        <w:jc w:val="center"/>
        <w:rPr>
          <w:rFonts w:ascii="Arial" w:hAnsi="Arial" w:cs="Arial"/>
          <w:b/>
          <w:sz w:val="24"/>
          <w:szCs w:val="24"/>
        </w:rPr>
      </w:pPr>
      <w:r>
        <w:rPr>
          <w:rFonts w:ascii="Arial" w:hAnsi="Arial" w:cs="Arial"/>
          <w:b/>
          <w:sz w:val="24"/>
          <w:szCs w:val="24"/>
        </w:rPr>
        <w:t>……………………….</w:t>
      </w:r>
    </w:p>
    <w:p w:rsidR="001E50F3" w:rsidRPr="001E50F3" w:rsidRDefault="001E50F3" w:rsidP="001629F4">
      <w:pPr>
        <w:spacing w:after="0" w:line="240" w:lineRule="auto"/>
        <w:jc w:val="center"/>
        <w:rPr>
          <w:rFonts w:ascii="Arial" w:hAnsi="Arial" w:cs="Arial"/>
          <w:b/>
          <w:sz w:val="24"/>
          <w:szCs w:val="24"/>
        </w:rPr>
      </w:pPr>
      <w:r w:rsidRPr="001E50F3">
        <w:rPr>
          <w:rFonts w:ascii="Arial" w:hAnsi="Arial" w:cs="Arial"/>
          <w:b/>
          <w:sz w:val="24"/>
          <w:szCs w:val="24"/>
        </w:rPr>
        <w:t>R.M.C. Kaoma</w:t>
      </w:r>
    </w:p>
    <w:p w:rsidR="00401017" w:rsidRPr="00B02352" w:rsidRDefault="001E50F3" w:rsidP="00484FCD">
      <w:pPr>
        <w:spacing w:after="0" w:line="240" w:lineRule="auto"/>
        <w:jc w:val="center"/>
        <w:rPr>
          <w:rFonts w:ascii="Arial" w:hAnsi="Arial" w:cs="Arial"/>
          <w:sz w:val="24"/>
          <w:szCs w:val="24"/>
        </w:rPr>
      </w:pPr>
      <w:r w:rsidRPr="00484FCD">
        <w:rPr>
          <w:rFonts w:ascii="Arial" w:hAnsi="Arial" w:cs="Arial"/>
          <w:b/>
          <w:sz w:val="24"/>
          <w:szCs w:val="24"/>
          <w:u w:val="single"/>
        </w:rPr>
        <w:t>JUDGE</w:t>
      </w:r>
      <w:r w:rsidR="006A4AB4">
        <w:rPr>
          <w:rFonts w:ascii="Arial" w:hAnsi="Arial" w:cs="Arial"/>
          <w:sz w:val="24"/>
          <w:szCs w:val="24"/>
        </w:rPr>
        <w:t xml:space="preserve"> </w:t>
      </w:r>
      <w:r w:rsidR="00C87585">
        <w:rPr>
          <w:rFonts w:ascii="Arial" w:hAnsi="Arial" w:cs="Arial"/>
          <w:sz w:val="24"/>
          <w:szCs w:val="24"/>
        </w:rPr>
        <w:t xml:space="preserve"> </w:t>
      </w:r>
      <w:r w:rsidR="00401017">
        <w:rPr>
          <w:rFonts w:ascii="Arial" w:hAnsi="Arial" w:cs="Arial"/>
          <w:sz w:val="24"/>
          <w:szCs w:val="24"/>
        </w:rPr>
        <w:t xml:space="preserve">  </w:t>
      </w:r>
    </w:p>
    <w:sectPr w:rsidR="00401017" w:rsidRPr="00B02352" w:rsidSect="004438F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E92" w:rsidRDefault="001D7E92" w:rsidP="004438FA">
      <w:pPr>
        <w:spacing w:after="0" w:line="240" w:lineRule="auto"/>
      </w:pPr>
      <w:r>
        <w:separator/>
      </w:r>
    </w:p>
  </w:endnote>
  <w:endnote w:type="continuationSeparator" w:id="1">
    <w:p w:rsidR="001D7E92" w:rsidRDefault="001D7E92" w:rsidP="00443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E92" w:rsidRDefault="001D7E92" w:rsidP="004438FA">
      <w:pPr>
        <w:spacing w:after="0" w:line="240" w:lineRule="auto"/>
      </w:pPr>
      <w:r>
        <w:separator/>
      </w:r>
    </w:p>
  </w:footnote>
  <w:footnote w:type="continuationSeparator" w:id="1">
    <w:p w:rsidR="001D7E92" w:rsidRDefault="001D7E92" w:rsidP="00443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3516"/>
      <w:docPartObj>
        <w:docPartGallery w:val="Page Numbers (Top of Page)"/>
        <w:docPartUnique/>
      </w:docPartObj>
    </w:sdtPr>
    <w:sdtContent>
      <w:p w:rsidR="001D7E92" w:rsidRDefault="001D7E92">
        <w:pPr>
          <w:pStyle w:val="Header"/>
          <w:jc w:val="center"/>
        </w:pPr>
        <w:r>
          <w:t>R</w:t>
        </w:r>
        <w:fldSimple w:instr=" PAGE   \* MERGEFORMAT ">
          <w:r w:rsidR="005B7CB1">
            <w:rPr>
              <w:noProof/>
            </w:rPr>
            <w:t>13</w:t>
          </w:r>
        </w:fldSimple>
      </w:p>
    </w:sdtContent>
  </w:sdt>
  <w:p w:rsidR="001D7E92" w:rsidRDefault="001D7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C38"/>
    <w:multiLevelType w:val="hybridMultilevel"/>
    <w:tmpl w:val="CC60F68E"/>
    <w:lvl w:ilvl="0" w:tplc="8AB01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454A"/>
    <w:multiLevelType w:val="hybridMultilevel"/>
    <w:tmpl w:val="C7EAEEBA"/>
    <w:lvl w:ilvl="0" w:tplc="6352CB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1E5DC1"/>
    <w:multiLevelType w:val="hybridMultilevel"/>
    <w:tmpl w:val="5C4434A6"/>
    <w:lvl w:ilvl="0" w:tplc="A6CEA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E3240"/>
    <w:multiLevelType w:val="hybridMultilevel"/>
    <w:tmpl w:val="46BE4806"/>
    <w:lvl w:ilvl="0" w:tplc="6352C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94F1D"/>
    <w:multiLevelType w:val="hybridMultilevel"/>
    <w:tmpl w:val="745667C6"/>
    <w:lvl w:ilvl="0" w:tplc="FBB6007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46ABE"/>
    <w:multiLevelType w:val="hybridMultilevel"/>
    <w:tmpl w:val="7E56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A00C8"/>
    <w:multiLevelType w:val="hybridMultilevel"/>
    <w:tmpl w:val="5FAE197E"/>
    <w:lvl w:ilvl="0" w:tplc="6352C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5DBC"/>
    <w:rsid w:val="000311A3"/>
    <w:rsid w:val="000752B5"/>
    <w:rsid w:val="000D00BC"/>
    <w:rsid w:val="00113430"/>
    <w:rsid w:val="00116119"/>
    <w:rsid w:val="00150822"/>
    <w:rsid w:val="0015629C"/>
    <w:rsid w:val="001629F4"/>
    <w:rsid w:val="00166CD6"/>
    <w:rsid w:val="001814E3"/>
    <w:rsid w:val="00192F87"/>
    <w:rsid w:val="001C5607"/>
    <w:rsid w:val="001D7E92"/>
    <w:rsid w:val="001E50F3"/>
    <w:rsid w:val="001F05A4"/>
    <w:rsid w:val="001F5CC8"/>
    <w:rsid w:val="00202487"/>
    <w:rsid w:val="0022050D"/>
    <w:rsid w:val="00220D2E"/>
    <w:rsid w:val="00236417"/>
    <w:rsid w:val="002928D4"/>
    <w:rsid w:val="002A43D2"/>
    <w:rsid w:val="002B09FC"/>
    <w:rsid w:val="00300FD4"/>
    <w:rsid w:val="00302C3F"/>
    <w:rsid w:val="00311ECB"/>
    <w:rsid w:val="00312930"/>
    <w:rsid w:val="00334C46"/>
    <w:rsid w:val="003838E3"/>
    <w:rsid w:val="003E46DD"/>
    <w:rsid w:val="003E48B9"/>
    <w:rsid w:val="003E675D"/>
    <w:rsid w:val="003F2DFB"/>
    <w:rsid w:val="00401017"/>
    <w:rsid w:val="00405E05"/>
    <w:rsid w:val="00406A71"/>
    <w:rsid w:val="004263EC"/>
    <w:rsid w:val="00426AB0"/>
    <w:rsid w:val="004438FA"/>
    <w:rsid w:val="004752A0"/>
    <w:rsid w:val="00484FCD"/>
    <w:rsid w:val="004A7224"/>
    <w:rsid w:val="004B0BA7"/>
    <w:rsid w:val="004E23E8"/>
    <w:rsid w:val="00510605"/>
    <w:rsid w:val="00550352"/>
    <w:rsid w:val="005776AA"/>
    <w:rsid w:val="00592F30"/>
    <w:rsid w:val="0059612A"/>
    <w:rsid w:val="005B42C6"/>
    <w:rsid w:val="005B7CB1"/>
    <w:rsid w:val="005C0D35"/>
    <w:rsid w:val="006052DE"/>
    <w:rsid w:val="0060744A"/>
    <w:rsid w:val="0060781B"/>
    <w:rsid w:val="00623740"/>
    <w:rsid w:val="006540E4"/>
    <w:rsid w:val="00687B7F"/>
    <w:rsid w:val="006911F8"/>
    <w:rsid w:val="006A4AB4"/>
    <w:rsid w:val="006F34CE"/>
    <w:rsid w:val="007005DA"/>
    <w:rsid w:val="00715BD9"/>
    <w:rsid w:val="00765E46"/>
    <w:rsid w:val="00767E3B"/>
    <w:rsid w:val="00776988"/>
    <w:rsid w:val="00793D3B"/>
    <w:rsid w:val="00795715"/>
    <w:rsid w:val="007B2698"/>
    <w:rsid w:val="007D2E79"/>
    <w:rsid w:val="00825180"/>
    <w:rsid w:val="00841BB5"/>
    <w:rsid w:val="008D40EE"/>
    <w:rsid w:val="00940493"/>
    <w:rsid w:val="009471F3"/>
    <w:rsid w:val="00952F4D"/>
    <w:rsid w:val="00956860"/>
    <w:rsid w:val="0096400D"/>
    <w:rsid w:val="00971884"/>
    <w:rsid w:val="00972C72"/>
    <w:rsid w:val="009813E3"/>
    <w:rsid w:val="009879AD"/>
    <w:rsid w:val="009A6E94"/>
    <w:rsid w:val="009E0B6E"/>
    <w:rsid w:val="00AD1DC1"/>
    <w:rsid w:val="00AE5DBC"/>
    <w:rsid w:val="00B02352"/>
    <w:rsid w:val="00B100B9"/>
    <w:rsid w:val="00B10DF1"/>
    <w:rsid w:val="00B120A6"/>
    <w:rsid w:val="00B30C5F"/>
    <w:rsid w:val="00B33A9E"/>
    <w:rsid w:val="00B9512B"/>
    <w:rsid w:val="00BA30D8"/>
    <w:rsid w:val="00BA3FD9"/>
    <w:rsid w:val="00BC32BD"/>
    <w:rsid w:val="00C307D5"/>
    <w:rsid w:val="00C53D59"/>
    <w:rsid w:val="00C83FC7"/>
    <w:rsid w:val="00C87585"/>
    <w:rsid w:val="00C90889"/>
    <w:rsid w:val="00C96950"/>
    <w:rsid w:val="00CD590F"/>
    <w:rsid w:val="00D11D7D"/>
    <w:rsid w:val="00D61949"/>
    <w:rsid w:val="00D81961"/>
    <w:rsid w:val="00D82DB2"/>
    <w:rsid w:val="00DF69C4"/>
    <w:rsid w:val="00E44670"/>
    <w:rsid w:val="00E73204"/>
    <w:rsid w:val="00EA0995"/>
    <w:rsid w:val="00EE04D3"/>
    <w:rsid w:val="00EE6281"/>
    <w:rsid w:val="00F051B9"/>
    <w:rsid w:val="00F056D1"/>
    <w:rsid w:val="00F07EB9"/>
    <w:rsid w:val="00F23C33"/>
    <w:rsid w:val="00F37FE5"/>
    <w:rsid w:val="00F847F5"/>
    <w:rsid w:val="00FB00C0"/>
    <w:rsid w:val="00FC035C"/>
    <w:rsid w:val="00FF6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8FA"/>
  </w:style>
  <w:style w:type="paragraph" w:styleId="Footer">
    <w:name w:val="footer"/>
    <w:basedOn w:val="Normal"/>
    <w:link w:val="FooterChar"/>
    <w:uiPriority w:val="99"/>
    <w:semiHidden/>
    <w:unhideWhenUsed/>
    <w:rsid w:val="00443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8FA"/>
  </w:style>
  <w:style w:type="paragraph" w:styleId="ListParagraph">
    <w:name w:val="List Paragraph"/>
    <w:basedOn w:val="Normal"/>
    <w:uiPriority w:val="34"/>
    <w:qFormat/>
    <w:rsid w:val="008D40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cp:lastPrinted>2013-03-28T08:33:00Z</cp:lastPrinted>
  <dcterms:created xsi:type="dcterms:W3CDTF">2013-12-11T07:43:00Z</dcterms:created>
  <dcterms:modified xsi:type="dcterms:W3CDTF">2013-12-11T07:43:00Z</dcterms:modified>
</cp:coreProperties>
</file>