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43" w:rsidRDefault="00F42843" w:rsidP="00FB7FC9">
      <w:pPr>
        <w:spacing w:after="120" w:line="240" w:lineRule="auto"/>
        <w:rPr>
          <w:rFonts w:ascii="Bookman Old Style" w:hAnsi="Bookman Old Style"/>
          <w:b/>
          <w:sz w:val="28"/>
          <w:szCs w:val="28"/>
        </w:rPr>
      </w:pPr>
    </w:p>
    <w:p w:rsidR="00FB7FC9" w:rsidRDefault="00FB7FC9" w:rsidP="00FB7FC9">
      <w:pPr>
        <w:spacing w:after="120" w:line="240" w:lineRule="auto"/>
        <w:rPr>
          <w:rFonts w:ascii="Bookman Old Style" w:hAnsi="Bookman Old Style"/>
          <w:b/>
          <w:sz w:val="28"/>
          <w:szCs w:val="28"/>
        </w:rPr>
      </w:pPr>
      <w:r>
        <w:rPr>
          <w:rFonts w:ascii="Bookman Old Style" w:hAnsi="Bookman Old Style"/>
          <w:b/>
          <w:sz w:val="28"/>
          <w:szCs w:val="28"/>
        </w:rPr>
        <w:t>IN THE HIGH COURT FOR ZAMBIA</w:t>
      </w:r>
      <w:r>
        <w:rPr>
          <w:rFonts w:ascii="Bookman Old Style" w:hAnsi="Bookman Old Style"/>
          <w:b/>
          <w:sz w:val="28"/>
          <w:szCs w:val="28"/>
        </w:rPr>
        <w:tab/>
      </w:r>
      <w:r>
        <w:rPr>
          <w:rFonts w:ascii="Bookman Old Style" w:hAnsi="Bookman Old Style"/>
          <w:b/>
          <w:sz w:val="28"/>
          <w:szCs w:val="28"/>
        </w:rPr>
        <w:tab/>
        <w:t xml:space="preserve">   201</w:t>
      </w:r>
      <w:r w:rsidR="00CC30B7">
        <w:rPr>
          <w:rFonts w:ascii="Bookman Old Style" w:hAnsi="Bookman Old Style"/>
          <w:b/>
          <w:sz w:val="28"/>
          <w:szCs w:val="28"/>
        </w:rPr>
        <w:t>4/HPC/0363</w:t>
      </w:r>
    </w:p>
    <w:p w:rsidR="00FB7FC9" w:rsidRDefault="00FB7FC9" w:rsidP="00FB7FC9">
      <w:pPr>
        <w:spacing w:after="120" w:line="240" w:lineRule="auto"/>
        <w:rPr>
          <w:rFonts w:ascii="Bookman Old Style" w:hAnsi="Bookman Old Style"/>
          <w:b/>
          <w:sz w:val="28"/>
          <w:szCs w:val="28"/>
        </w:rPr>
      </w:pPr>
      <w:r>
        <w:rPr>
          <w:rFonts w:ascii="Bookman Old Style" w:hAnsi="Bookman Old Style"/>
          <w:b/>
          <w:sz w:val="28"/>
          <w:szCs w:val="28"/>
        </w:rPr>
        <w:t>AT THE COMMERCIAL REGISTRY</w:t>
      </w:r>
    </w:p>
    <w:p w:rsidR="00FB7FC9" w:rsidRDefault="00FB7FC9" w:rsidP="00FB7FC9">
      <w:pPr>
        <w:spacing w:after="120" w:line="240" w:lineRule="auto"/>
        <w:rPr>
          <w:rFonts w:ascii="Bookman Old Style" w:hAnsi="Bookman Old Style"/>
          <w:b/>
          <w:sz w:val="28"/>
          <w:szCs w:val="28"/>
        </w:rPr>
      </w:pPr>
      <w:r>
        <w:rPr>
          <w:rFonts w:ascii="Bookman Old Style" w:hAnsi="Bookman Old Style"/>
          <w:b/>
          <w:sz w:val="28"/>
          <w:szCs w:val="28"/>
        </w:rPr>
        <w:t>HOLDEN AT LUSAKA</w:t>
      </w:r>
    </w:p>
    <w:p w:rsidR="00FB7FC9" w:rsidRDefault="00FB7FC9" w:rsidP="00FB7FC9">
      <w:pPr>
        <w:spacing w:line="240" w:lineRule="auto"/>
        <w:rPr>
          <w:rFonts w:ascii="Bookman Old Style" w:hAnsi="Bookman Old Style"/>
          <w:sz w:val="28"/>
          <w:szCs w:val="28"/>
        </w:rPr>
      </w:pPr>
      <w:r>
        <w:rPr>
          <w:rFonts w:ascii="Bookman Old Style" w:hAnsi="Bookman Old Style"/>
          <w:sz w:val="28"/>
          <w:szCs w:val="28"/>
        </w:rPr>
        <w:t>(</w:t>
      </w:r>
      <w:r w:rsidR="00CC30B7">
        <w:rPr>
          <w:rFonts w:ascii="Bookman Old Style" w:hAnsi="Bookman Old Style"/>
        </w:rPr>
        <w:t>Commercial</w:t>
      </w:r>
      <w:r>
        <w:rPr>
          <w:rFonts w:ascii="Bookman Old Style" w:hAnsi="Bookman Old Style"/>
        </w:rPr>
        <w:t xml:space="preserve"> Jurisdiction</w:t>
      </w:r>
      <w:r>
        <w:rPr>
          <w:rFonts w:ascii="Bookman Old Style" w:hAnsi="Bookman Old Style"/>
          <w:sz w:val="28"/>
          <w:szCs w:val="28"/>
        </w:rPr>
        <w:t>)</w:t>
      </w:r>
    </w:p>
    <w:p w:rsidR="00FB7FC9" w:rsidRDefault="00FB7FC9" w:rsidP="00FB7FC9">
      <w:pPr>
        <w:rPr>
          <w:rFonts w:ascii="Bookman Old Style" w:hAnsi="Bookman Old Style"/>
          <w:sz w:val="28"/>
          <w:szCs w:val="28"/>
        </w:rPr>
      </w:pPr>
    </w:p>
    <w:p w:rsidR="00FB7FC9" w:rsidRPr="007022A9" w:rsidRDefault="00FB7FC9" w:rsidP="00FB7FC9">
      <w:pPr>
        <w:rPr>
          <w:rFonts w:ascii="Bookman Old Style" w:hAnsi="Bookman Old Style"/>
          <w:b/>
          <w:sz w:val="28"/>
          <w:szCs w:val="28"/>
        </w:rPr>
      </w:pPr>
      <w:r w:rsidRPr="007022A9">
        <w:rPr>
          <w:rFonts w:ascii="Bookman Old Style" w:hAnsi="Bookman Old Style"/>
          <w:b/>
          <w:sz w:val="28"/>
          <w:szCs w:val="28"/>
        </w:rPr>
        <w:t>BETWEEN:</w:t>
      </w:r>
    </w:p>
    <w:p w:rsidR="00FB7FC9" w:rsidRDefault="00CC30B7" w:rsidP="00FB7FC9">
      <w:pPr>
        <w:spacing w:after="0" w:line="240" w:lineRule="auto"/>
        <w:rPr>
          <w:rFonts w:ascii="Bookman Old Style" w:hAnsi="Bookman Old Style"/>
          <w:sz w:val="28"/>
          <w:szCs w:val="28"/>
        </w:rPr>
      </w:pPr>
      <w:r>
        <w:rPr>
          <w:rFonts w:ascii="Bookman Old Style" w:hAnsi="Bookman Old Style"/>
          <w:sz w:val="28"/>
          <w:szCs w:val="28"/>
        </w:rPr>
        <w:t>MICHEAL PASQUIN</w:t>
      </w:r>
      <w:r w:rsidR="00FB7FC9">
        <w:rPr>
          <w:rFonts w:ascii="Bookman Old Style" w:hAnsi="Bookman Old Style"/>
          <w:sz w:val="28"/>
          <w:szCs w:val="28"/>
        </w:rPr>
        <w:tab/>
        <w:t xml:space="preserve">    </w:t>
      </w:r>
      <w:r w:rsidR="00FB7FC9">
        <w:rPr>
          <w:rFonts w:ascii="Bookman Old Style" w:hAnsi="Bookman Old Style"/>
          <w:sz w:val="28"/>
          <w:szCs w:val="28"/>
        </w:rPr>
        <w:tab/>
      </w:r>
      <w:r w:rsidR="00FB7FC9">
        <w:rPr>
          <w:rFonts w:ascii="Bookman Old Style" w:hAnsi="Bookman Old Style"/>
          <w:sz w:val="28"/>
          <w:szCs w:val="28"/>
        </w:rPr>
        <w:tab/>
      </w:r>
      <w:r w:rsidR="00FB7FC9">
        <w:rPr>
          <w:rFonts w:ascii="Bookman Old Style" w:hAnsi="Bookman Old Style"/>
          <w:sz w:val="28"/>
          <w:szCs w:val="28"/>
        </w:rPr>
        <w:tab/>
        <w:t xml:space="preserve"> </w:t>
      </w:r>
      <w:r w:rsidR="00FB7FC9">
        <w:rPr>
          <w:rFonts w:ascii="Bookman Old Style" w:hAnsi="Bookman Old Style"/>
          <w:sz w:val="28"/>
          <w:szCs w:val="28"/>
        </w:rPr>
        <w:tab/>
      </w:r>
      <w:r w:rsidR="00FB7FC9">
        <w:rPr>
          <w:rFonts w:ascii="Bookman Old Style" w:hAnsi="Bookman Old Style"/>
          <w:sz w:val="28"/>
          <w:szCs w:val="28"/>
        </w:rPr>
        <w:tab/>
        <w:t xml:space="preserve">  </w:t>
      </w:r>
      <w:r>
        <w:rPr>
          <w:rFonts w:ascii="Bookman Old Style" w:hAnsi="Bookman Old Style"/>
          <w:sz w:val="28"/>
          <w:szCs w:val="28"/>
        </w:rPr>
        <w:tab/>
      </w:r>
      <w:r w:rsidR="00FB7FC9">
        <w:rPr>
          <w:rFonts w:ascii="Bookman Old Style" w:hAnsi="Bookman Old Style"/>
          <w:sz w:val="28"/>
          <w:szCs w:val="28"/>
        </w:rPr>
        <w:t xml:space="preserve">  </w:t>
      </w:r>
      <w:r w:rsidR="00FB7FC9">
        <w:rPr>
          <w:rFonts w:ascii="Bookman Old Style" w:hAnsi="Bookman Old Style"/>
          <w:b/>
          <w:sz w:val="28"/>
          <w:szCs w:val="28"/>
        </w:rPr>
        <w:t>PLAINTIFF</w:t>
      </w:r>
    </w:p>
    <w:p w:rsidR="00FB7FC9" w:rsidRDefault="00FB7FC9" w:rsidP="00FB7FC9">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FB7FC9" w:rsidRDefault="00F42843" w:rsidP="00FB7FC9">
      <w:pPr>
        <w:rPr>
          <w:rFonts w:ascii="Bookman Old Style" w:hAnsi="Bookman Old Style"/>
          <w:b/>
          <w:sz w:val="28"/>
          <w:szCs w:val="28"/>
        </w:rPr>
      </w:pPr>
      <w:r>
        <w:rPr>
          <w:rFonts w:ascii="Bookman Old Style" w:hAnsi="Bookman Old Style"/>
          <w:b/>
          <w:sz w:val="28"/>
          <w:szCs w:val="28"/>
        </w:rPr>
        <w:t>and</w:t>
      </w:r>
    </w:p>
    <w:p w:rsidR="00FB7FC9" w:rsidRDefault="00CC30B7" w:rsidP="00FB7FC9">
      <w:pPr>
        <w:rPr>
          <w:rFonts w:ascii="Bookman Old Style" w:hAnsi="Bookman Old Style"/>
          <w:b/>
          <w:sz w:val="28"/>
          <w:szCs w:val="28"/>
        </w:rPr>
      </w:pPr>
      <w:r>
        <w:rPr>
          <w:rFonts w:ascii="Bookman Old Style" w:hAnsi="Bookman Old Style"/>
          <w:sz w:val="28"/>
          <w:szCs w:val="28"/>
        </w:rPr>
        <w:t>COSTAS REFRIGERATION LIMITED</w:t>
      </w:r>
      <w:r>
        <w:rPr>
          <w:rFonts w:ascii="Bookman Old Style" w:hAnsi="Bookman Old Style"/>
          <w:sz w:val="28"/>
          <w:szCs w:val="28"/>
        </w:rPr>
        <w:tab/>
      </w:r>
      <w:r w:rsidR="00FB7FC9">
        <w:rPr>
          <w:rFonts w:ascii="Bookman Old Style" w:hAnsi="Bookman Old Style"/>
          <w:sz w:val="28"/>
          <w:szCs w:val="28"/>
        </w:rPr>
        <w:tab/>
      </w:r>
      <w:r w:rsidR="00FB7FC9">
        <w:rPr>
          <w:rFonts w:ascii="Bookman Old Style" w:hAnsi="Bookman Old Style"/>
          <w:sz w:val="28"/>
          <w:szCs w:val="28"/>
        </w:rPr>
        <w:tab/>
      </w:r>
      <w:r>
        <w:rPr>
          <w:rFonts w:ascii="Bookman Old Style" w:hAnsi="Bookman Old Style"/>
          <w:sz w:val="28"/>
          <w:szCs w:val="28"/>
        </w:rPr>
        <w:tab/>
      </w:r>
      <w:r w:rsidR="00FB7FC9">
        <w:rPr>
          <w:rFonts w:ascii="Bookman Old Style" w:hAnsi="Bookman Old Style"/>
          <w:sz w:val="28"/>
          <w:szCs w:val="28"/>
        </w:rPr>
        <w:t xml:space="preserve"> </w:t>
      </w:r>
      <w:r w:rsidR="00FB7FC9">
        <w:rPr>
          <w:rFonts w:ascii="Bookman Old Style" w:hAnsi="Bookman Old Style"/>
          <w:b/>
          <w:sz w:val="28"/>
          <w:szCs w:val="28"/>
        </w:rPr>
        <w:t>DEFENDANT</w:t>
      </w:r>
    </w:p>
    <w:p w:rsidR="00FB7FC9" w:rsidRDefault="00FB7FC9" w:rsidP="00FB7FC9">
      <w:pPr>
        <w:spacing w:line="240" w:lineRule="auto"/>
        <w:jc w:val="both"/>
        <w:rPr>
          <w:rFonts w:ascii="Bookman Old Style" w:hAnsi="Bookman Old Style"/>
          <w:b/>
          <w:sz w:val="28"/>
          <w:szCs w:val="28"/>
        </w:rPr>
      </w:pPr>
    </w:p>
    <w:p w:rsidR="00FB7FC9" w:rsidRDefault="00FB7FC9" w:rsidP="00FB7FC9">
      <w:pPr>
        <w:spacing w:line="240" w:lineRule="auto"/>
        <w:jc w:val="both"/>
        <w:rPr>
          <w:rFonts w:ascii="Bookman Old Style" w:hAnsi="Bookman Old Style"/>
          <w:b/>
          <w:sz w:val="28"/>
          <w:szCs w:val="28"/>
        </w:rPr>
      </w:pPr>
      <w:r>
        <w:rPr>
          <w:rFonts w:ascii="Bookman Old Style" w:hAnsi="Bookman Old Style"/>
          <w:b/>
          <w:sz w:val="28"/>
          <w:szCs w:val="28"/>
        </w:rPr>
        <w:t xml:space="preserve">BEFORE THE HON. MR JUSTICE JUSTIN CHASHI IN </w:t>
      </w:r>
      <w:r w:rsidR="00CC30B7">
        <w:rPr>
          <w:rFonts w:ascii="Bookman Old Style" w:hAnsi="Bookman Old Style"/>
          <w:b/>
          <w:sz w:val="28"/>
          <w:szCs w:val="28"/>
        </w:rPr>
        <w:t xml:space="preserve">CHAMBERS </w:t>
      </w:r>
      <w:r>
        <w:rPr>
          <w:rFonts w:ascii="Bookman Old Style" w:hAnsi="Bookman Old Style"/>
          <w:b/>
          <w:sz w:val="28"/>
          <w:szCs w:val="28"/>
        </w:rPr>
        <w:t xml:space="preserve">ON THE </w:t>
      </w:r>
      <w:r w:rsidR="00CC30B7">
        <w:rPr>
          <w:rFonts w:ascii="Bookman Old Style" w:hAnsi="Bookman Old Style"/>
          <w:b/>
          <w:sz w:val="28"/>
          <w:szCs w:val="28"/>
        </w:rPr>
        <w:t>8</w:t>
      </w:r>
      <w:r w:rsidR="00CC30B7" w:rsidRPr="00CC30B7">
        <w:rPr>
          <w:rFonts w:ascii="Bookman Old Style" w:hAnsi="Bookman Old Style"/>
          <w:b/>
          <w:sz w:val="28"/>
          <w:szCs w:val="28"/>
          <w:vertAlign w:val="superscript"/>
        </w:rPr>
        <w:t>TH</w:t>
      </w:r>
      <w:r w:rsidR="00CC30B7">
        <w:rPr>
          <w:rFonts w:ascii="Bookman Old Style" w:hAnsi="Bookman Old Style"/>
          <w:b/>
          <w:sz w:val="28"/>
          <w:szCs w:val="28"/>
        </w:rPr>
        <w:t xml:space="preserve"> </w:t>
      </w:r>
      <w:r>
        <w:rPr>
          <w:rFonts w:ascii="Bookman Old Style" w:hAnsi="Bookman Old Style"/>
          <w:b/>
          <w:sz w:val="28"/>
          <w:szCs w:val="28"/>
        </w:rPr>
        <w:t>DAY OF MAY 2015</w:t>
      </w:r>
    </w:p>
    <w:p w:rsidR="00FB7FC9" w:rsidRDefault="00CC30B7" w:rsidP="00CC30B7">
      <w:pPr>
        <w:spacing w:after="0" w:line="240" w:lineRule="auto"/>
        <w:ind w:left="2880" w:hanging="2880"/>
        <w:rPr>
          <w:rFonts w:ascii="Bookman Old Style" w:hAnsi="Bookman Old Style"/>
          <w:i/>
        </w:rPr>
      </w:pPr>
      <w:r>
        <w:rPr>
          <w:rFonts w:ascii="Bookman Old Style" w:hAnsi="Bookman Old Style"/>
          <w:i/>
        </w:rPr>
        <w:t>For t</w:t>
      </w:r>
      <w:r w:rsidR="00C069E5">
        <w:rPr>
          <w:rFonts w:ascii="Bookman Old Style" w:hAnsi="Bookman Old Style"/>
          <w:i/>
        </w:rPr>
        <w:t>he Plaintiff</w:t>
      </w:r>
      <w:r w:rsidR="00F42843">
        <w:rPr>
          <w:rFonts w:ascii="Bookman Old Style" w:hAnsi="Bookman Old Style"/>
          <w:i/>
        </w:rPr>
        <w:t>:</w:t>
      </w:r>
      <w:r w:rsidR="00F42843">
        <w:rPr>
          <w:rFonts w:ascii="Bookman Old Style" w:hAnsi="Bookman Old Style"/>
          <w:i/>
        </w:rPr>
        <w:tab/>
      </w:r>
      <w:r w:rsidR="008D43B9">
        <w:rPr>
          <w:rFonts w:ascii="Bookman Old Style" w:hAnsi="Bookman Old Style"/>
          <w:i/>
        </w:rPr>
        <w:t>J.</w:t>
      </w:r>
      <w:r w:rsidR="00F42843">
        <w:rPr>
          <w:rFonts w:ascii="Bookman Old Style" w:hAnsi="Bookman Old Style"/>
          <w:i/>
        </w:rPr>
        <w:t xml:space="preserve"> Mutime (Ms) Me</w:t>
      </w:r>
      <w:r>
        <w:rPr>
          <w:rFonts w:ascii="Bookman Old Style" w:hAnsi="Bookman Old Style"/>
          <w:i/>
        </w:rPr>
        <w:t>s</w:t>
      </w:r>
      <w:r w:rsidR="00F42843">
        <w:rPr>
          <w:rFonts w:ascii="Bookman Old Style" w:hAnsi="Bookman Old Style"/>
          <w:i/>
        </w:rPr>
        <w:t xml:space="preserve">srs </w:t>
      </w:r>
      <w:r>
        <w:rPr>
          <w:rFonts w:ascii="Bookman Old Style" w:hAnsi="Bookman Old Style"/>
          <w:i/>
        </w:rPr>
        <w:t xml:space="preserve"> Theotis Mataka and Sampa Legal Practitioners</w:t>
      </w:r>
    </w:p>
    <w:p w:rsidR="00CC30B7" w:rsidRDefault="00CC30B7" w:rsidP="00CC30B7">
      <w:pPr>
        <w:spacing w:after="0" w:line="240" w:lineRule="auto"/>
        <w:ind w:left="2880" w:hanging="2880"/>
        <w:rPr>
          <w:rFonts w:ascii="Bookman Old Style" w:hAnsi="Bookman Old Style"/>
          <w:i/>
        </w:rPr>
      </w:pPr>
    </w:p>
    <w:p w:rsidR="00FB7FC9" w:rsidRDefault="00FB7FC9" w:rsidP="00FB7FC9">
      <w:pPr>
        <w:spacing w:after="0" w:line="240" w:lineRule="auto"/>
        <w:rPr>
          <w:rFonts w:ascii="Bookman Old Style" w:hAnsi="Bookman Old Style"/>
          <w:i/>
        </w:rPr>
      </w:pPr>
      <w:r>
        <w:rPr>
          <w:rFonts w:ascii="Bookman Old Style" w:hAnsi="Bookman Old Style"/>
          <w:i/>
        </w:rPr>
        <w:t>For the Defendant:</w:t>
      </w:r>
      <w:r>
        <w:rPr>
          <w:rFonts w:ascii="Bookman Old Style" w:hAnsi="Bookman Old Style"/>
          <w:i/>
        </w:rPr>
        <w:tab/>
      </w:r>
      <w:r>
        <w:rPr>
          <w:rFonts w:ascii="Bookman Old Style" w:hAnsi="Bookman Old Style"/>
          <w:i/>
        </w:rPr>
        <w:tab/>
      </w:r>
      <w:r w:rsidR="00CC30B7">
        <w:rPr>
          <w:rFonts w:ascii="Bookman Old Style" w:hAnsi="Bookman Old Style"/>
          <w:i/>
        </w:rPr>
        <w:t xml:space="preserve"> M. Katolo, Messrs Milner Katolo and Associates</w:t>
      </w:r>
    </w:p>
    <w:p w:rsidR="00FB7FC9" w:rsidRDefault="00FB7FC9" w:rsidP="00FB7FC9">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FB7FC9" w:rsidRDefault="00CC30B7" w:rsidP="00FB7FC9">
      <w:pPr>
        <w:spacing w:after="120" w:line="240" w:lineRule="auto"/>
        <w:jc w:val="center"/>
        <w:rPr>
          <w:rFonts w:ascii="Bookman Old Style" w:hAnsi="Bookman Old Style"/>
          <w:b/>
          <w:sz w:val="28"/>
          <w:szCs w:val="28"/>
        </w:rPr>
      </w:pPr>
      <w:r>
        <w:rPr>
          <w:rFonts w:ascii="Bookman Old Style" w:hAnsi="Bookman Old Style"/>
          <w:b/>
          <w:sz w:val="28"/>
          <w:szCs w:val="28"/>
        </w:rPr>
        <w:t>RULING</w:t>
      </w:r>
      <w:r w:rsidR="00FB7FC9">
        <w:rPr>
          <w:rFonts w:ascii="Bookman Old Style" w:hAnsi="Bookman Old Style"/>
          <w:b/>
          <w:sz w:val="28"/>
          <w:szCs w:val="28"/>
        </w:rPr>
        <w:t xml:space="preserve"> </w:t>
      </w:r>
      <w:r w:rsidR="00FB7FC9">
        <w:rPr>
          <w:rFonts w:ascii="Bookman Old Style" w:hAnsi="Bookman Old Style"/>
          <w:b/>
          <w:i/>
          <w:sz w:val="28"/>
          <w:szCs w:val="28"/>
        </w:rPr>
        <w:t>_________________________________________________________________</w:t>
      </w:r>
    </w:p>
    <w:p w:rsidR="00FB7FC9" w:rsidRDefault="00FB7FC9" w:rsidP="00FB7FC9">
      <w:pPr>
        <w:spacing w:after="120" w:line="240" w:lineRule="auto"/>
        <w:rPr>
          <w:rFonts w:ascii="Bookman Old Style" w:hAnsi="Bookman Old Style"/>
          <w:sz w:val="24"/>
          <w:szCs w:val="24"/>
          <w:u w:val="single"/>
        </w:rPr>
      </w:pPr>
    </w:p>
    <w:p w:rsidR="00FB7FC9" w:rsidRPr="00CC30B7" w:rsidRDefault="00FB7FC9" w:rsidP="00FB7FC9">
      <w:pPr>
        <w:spacing w:after="120" w:line="240" w:lineRule="auto"/>
        <w:rPr>
          <w:rFonts w:ascii="Bookman Old Style" w:hAnsi="Bookman Old Style"/>
          <w:b/>
          <w:sz w:val="24"/>
          <w:szCs w:val="24"/>
          <w:u w:val="single"/>
        </w:rPr>
      </w:pPr>
      <w:r w:rsidRPr="00CC30B7">
        <w:rPr>
          <w:rFonts w:ascii="Bookman Old Style" w:hAnsi="Bookman Old Style"/>
          <w:b/>
          <w:sz w:val="24"/>
          <w:szCs w:val="24"/>
          <w:u w:val="single"/>
        </w:rPr>
        <w:t>Cases referred to:</w:t>
      </w:r>
    </w:p>
    <w:p w:rsidR="00FB7FC9" w:rsidRPr="00CC30B7" w:rsidRDefault="00CC30B7" w:rsidP="00CC30B7">
      <w:pPr>
        <w:pStyle w:val="ListParagraph"/>
        <w:numPr>
          <w:ilvl w:val="0"/>
          <w:numId w:val="1"/>
        </w:numPr>
        <w:spacing w:after="120" w:line="240" w:lineRule="auto"/>
        <w:rPr>
          <w:rFonts w:ascii="Bookman Old Style" w:hAnsi="Bookman Old Style"/>
          <w:sz w:val="24"/>
          <w:szCs w:val="24"/>
        </w:rPr>
      </w:pPr>
      <w:r w:rsidRPr="00CC30B7">
        <w:rPr>
          <w:rFonts w:ascii="Bookman Old Style" w:hAnsi="Bookman Old Style"/>
          <w:sz w:val="24"/>
          <w:szCs w:val="24"/>
        </w:rPr>
        <w:t>Shell  and  BP Zambia Limited and Conidaris and Others (1974) ZR 291</w:t>
      </w:r>
    </w:p>
    <w:p w:rsidR="00CC30B7" w:rsidRDefault="00CC30B7" w:rsidP="00CC30B7">
      <w:pPr>
        <w:pStyle w:val="ListParagraph"/>
        <w:numPr>
          <w:ilvl w:val="0"/>
          <w:numId w:val="1"/>
        </w:numPr>
        <w:spacing w:after="120" w:line="240" w:lineRule="auto"/>
        <w:rPr>
          <w:rFonts w:ascii="Bookman Old Style" w:hAnsi="Bookman Old Style"/>
          <w:sz w:val="24"/>
          <w:szCs w:val="24"/>
        </w:rPr>
      </w:pPr>
      <w:r>
        <w:rPr>
          <w:rFonts w:ascii="Bookman Old Style" w:hAnsi="Bookman Old Style"/>
          <w:sz w:val="24"/>
          <w:szCs w:val="24"/>
        </w:rPr>
        <w:t>Tur</w:t>
      </w:r>
      <w:r w:rsidR="008D43B9">
        <w:rPr>
          <w:rFonts w:ascii="Bookman Old Style" w:hAnsi="Bookman Old Style"/>
          <w:sz w:val="24"/>
          <w:szCs w:val="24"/>
        </w:rPr>
        <w:t>n</w:t>
      </w:r>
      <w:r>
        <w:rPr>
          <w:rFonts w:ascii="Bookman Old Style" w:hAnsi="Bookman Old Style"/>
          <w:sz w:val="24"/>
          <w:szCs w:val="24"/>
        </w:rPr>
        <w:t>key Properties v Lusaka West Development Company and Others (1984) ZR 85.</w:t>
      </w:r>
    </w:p>
    <w:p w:rsidR="00F42843" w:rsidRDefault="00F42843" w:rsidP="00F42843">
      <w:pPr>
        <w:pStyle w:val="ListParagraph"/>
        <w:spacing w:after="120" w:line="240" w:lineRule="auto"/>
        <w:ind w:left="1080"/>
        <w:rPr>
          <w:rFonts w:ascii="Bookman Old Style" w:hAnsi="Bookman Old Style"/>
          <w:sz w:val="24"/>
          <w:szCs w:val="24"/>
        </w:rPr>
      </w:pPr>
    </w:p>
    <w:p w:rsidR="00CC30B7" w:rsidRPr="00CC30B7" w:rsidRDefault="00CC30B7" w:rsidP="00CC30B7">
      <w:pPr>
        <w:spacing w:after="120" w:line="240" w:lineRule="auto"/>
        <w:rPr>
          <w:rFonts w:ascii="Bookman Old Style" w:hAnsi="Bookman Old Style"/>
          <w:b/>
          <w:sz w:val="24"/>
          <w:szCs w:val="24"/>
          <w:u w:val="single"/>
        </w:rPr>
      </w:pPr>
      <w:r w:rsidRPr="00CC30B7">
        <w:rPr>
          <w:rFonts w:ascii="Bookman Old Style" w:hAnsi="Bookman Old Style"/>
          <w:b/>
          <w:sz w:val="24"/>
          <w:szCs w:val="24"/>
          <w:u w:val="single"/>
        </w:rPr>
        <w:t>Legislation referred to:</w:t>
      </w:r>
    </w:p>
    <w:p w:rsidR="00CC30B7" w:rsidRDefault="00CC30B7" w:rsidP="00CC30B7">
      <w:pPr>
        <w:pStyle w:val="ListParagraph"/>
        <w:numPr>
          <w:ilvl w:val="0"/>
          <w:numId w:val="1"/>
        </w:numPr>
        <w:spacing w:after="120" w:line="240" w:lineRule="auto"/>
        <w:rPr>
          <w:rFonts w:ascii="Bookman Old Style" w:hAnsi="Bookman Old Style"/>
          <w:sz w:val="24"/>
          <w:szCs w:val="24"/>
        </w:rPr>
      </w:pPr>
      <w:r>
        <w:rPr>
          <w:rFonts w:ascii="Bookman Old Style" w:hAnsi="Bookman Old Style"/>
          <w:sz w:val="24"/>
          <w:szCs w:val="24"/>
        </w:rPr>
        <w:t>The High Court Act, Chapter 27 of The Laws of Zambia.</w:t>
      </w:r>
    </w:p>
    <w:p w:rsidR="00F42843" w:rsidRDefault="00F42843" w:rsidP="00F42843">
      <w:pPr>
        <w:pStyle w:val="ListParagraph"/>
        <w:spacing w:after="120" w:line="240" w:lineRule="auto"/>
        <w:ind w:left="1080"/>
        <w:rPr>
          <w:rFonts w:ascii="Bookman Old Style" w:hAnsi="Bookman Old Style"/>
          <w:sz w:val="24"/>
          <w:szCs w:val="24"/>
        </w:rPr>
      </w:pPr>
    </w:p>
    <w:p w:rsidR="00CC30B7" w:rsidRDefault="00CC30B7" w:rsidP="00CC30B7">
      <w:pPr>
        <w:spacing w:after="120" w:line="240" w:lineRule="auto"/>
        <w:rPr>
          <w:rFonts w:ascii="Bookman Old Style" w:hAnsi="Bookman Old Style"/>
          <w:sz w:val="24"/>
          <w:szCs w:val="24"/>
        </w:rPr>
      </w:pPr>
    </w:p>
    <w:p w:rsidR="006627BF" w:rsidRDefault="006627BF" w:rsidP="00CC30B7">
      <w:pPr>
        <w:spacing w:after="120" w:line="360" w:lineRule="auto"/>
        <w:jc w:val="both"/>
        <w:rPr>
          <w:rFonts w:ascii="Bookman Old Style" w:hAnsi="Bookman Old Style"/>
          <w:sz w:val="28"/>
          <w:szCs w:val="28"/>
        </w:rPr>
      </w:pPr>
    </w:p>
    <w:p w:rsidR="00BC0A27" w:rsidRDefault="00CC30B7" w:rsidP="00CC30B7">
      <w:pPr>
        <w:spacing w:after="120" w:line="360" w:lineRule="auto"/>
        <w:jc w:val="both"/>
        <w:rPr>
          <w:rFonts w:ascii="Bookman Old Style" w:hAnsi="Bookman Old Style"/>
          <w:sz w:val="28"/>
          <w:szCs w:val="28"/>
        </w:rPr>
      </w:pPr>
      <w:r>
        <w:rPr>
          <w:rFonts w:ascii="Bookman Old Style" w:hAnsi="Bookman Old Style"/>
          <w:sz w:val="28"/>
          <w:szCs w:val="28"/>
        </w:rPr>
        <w:t>On the 4</w:t>
      </w:r>
      <w:r w:rsidRPr="00CC30B7">
        <w:rPr>
          <w:rFonts w:ascii="Bookman Old Style" w:hAnsi="Bookman Old Style"/>
          <w:sz w:val="28"/>
          <w:szCs w:val="28"/>
          <w:vertAlign w:val="superscript"/>
        </w:rPr>
        <w:t>th</w:t>
      </w:r>
      <w:r>
        <w:rPr>
          <w:rFonts w:ascii="Bookman Old Style" w:hAnsi="Bookman Old Style"/>
          <w:sz w:val="28"/>
          <w:szCs w:val="28"/>
        </w:rPr>
        <w:t xml:space="preserve"> day of September</w:t>
      </w:r>
      <w:r w:rsidR="00BC0A27">
        <w:rPr>
          <w:rFonts w:ascii="Bookman Old Style" w:hAnsi="Bookman Old Style"/>
          <w:sz w:val="28"/>
          <w:szCs w:val="28"/>
        </w:rPr>
        <w:t xml:space="preserve"> 2014, the Plaintiff Michael Pasquini commenced proceedings against the Defendant Costas Refrigeration</w:t>
      </w:r>
    </w:p>
    <w:p w:rsidR="00BC0A27" w:rsidRDefault="00BC0A27" w:rsidP="00CC30B7">
      <w:pPr>
        <w:spacing w:after="120" w:line="360" w:lineRule="auto"/>
        <w:jc w:val="both"/>
        <w:rPr>
          <w:rFonts w:ascii="Bookman Old Style" w:hAnsi="Bookman Old Style"/>
          <w:sz w:val="28"/>
          <w:szCs w:val="28"/>
        </w:rPr>
      </w:pPr>
      <w:r>
        <w:rPr>
          <w:rFonts w:ascii="Bookman Old Style" w:hAnsi="Bookman Old Style"/>
          <w:sz w:val="28"/>
          <w:szCs w:val="28"/>
        </w:rPr>
        <w:t>Limited by way of Writ of Summons seeking the following reliefs:</w:t>
      </w:r>
    </w:p>
    <w:p w:rsidR="00BC0A27" w:rsidRPr="00F12F7A" w:rsidRDefault="00BC0A27" w:rsidP="00BC0A27">
      <w:pPr>
        <w:pStyle w:val="ListParagraph"/>
        <w:numPr>
          <w:ilvl w:val="0"/>
          <w:numId w:val="2"/>
        </w:numPr>
        <w:spacing w:after="120" w:line="360" w:lineRule="auto"/>
        <w:jc w:val="both"/>
        <w:rPr>
          <w:rFonts w:ascii="Bookman Old Style" w:hAnsi="Bookman Old Style"/>
          <w:b/>
          <w:sz w:val="28"/>
          <w:szCs w:val="28"/>
        </w:rPr>
      </w:pPr>
      <w:r w:rsidRPr="00F12F7A">
        <w:rPr>
          <w:rFonts w:ascii="Bookman Old Style" w:hAnsi="Bookman Old Style"/>
          <w:b/>
          <w:sz w:val="28"/>
          <w:szCs w:val="28"/>
        </w:rPr>
        <w:t>Specific performance of the Contract of Sale of Stand No. 9546 dated the 23</w:t>
      </w:r>
      <w:r w:rsidRPr="00F12F7A">
        <w:rPr>
          <w:rFonts w:ascii="Bookman Old Style" w:hAnsi="Bookman Old Style"/>
          <w:b/>
          <w:sz w:val="28"/>
          <w:szCs w:val="28"/>
          <w:vertAlign w:val="superscript"/>
        </w:rPr>
        <w:t>rd</w:t>
      </w:r>
      <w:r w:rsidRPr="00F12F7A">
        <w:rPr>
          <w:rFonts w:ascii="Bookman Old Style" w:hAnsi="Bookman Old Style"/>
          <w:b/>
          <w:sz w:val="28"/>
          <w:szCs w:val="28"/>
        </w:rPr>
        <w:t xml:space="preserve"> day of February 2004,</w:t>
      </w:r>
    </w:p>
    <w:p w:rsidR="00BC0A27" w:rsidRPr="00F12F7A" w:rsidRDefault="00BC0A27" w:rsidP="00BC0A27">
      <w:pPr>
        <w:pStyle w:val="ListParagraph"/>
        <w:numPr>
          <w:ilvl w:val="0"/>
          <w:numId w:val="2"/>
        </w:numPr>
        <w:spacing w:after="120" w:line="360" w:lineRule="auto"/>
        <w:jc w:val="both"/>
        <w:rPr>
          <w:rFonts w:ascii="Bookman Old Style" w:hAnsi="Bookman Old Style"/>
          <w:b/>
          <w:sz w:val="28"/>
          <w:szCs w:val="28"/>
        </w:rPr>
      </w:pPr>
      <w:r w:rsidRPr="00F12F7A">
        <w:rPr>
          <w:rFonts w:ascii="Bookman Old Style" w:hAnsi="Bookman Old Style"/>
          <w:b/>
          <w:sz w:val="28"/>
          <w:szCs w:val="28"/>
        </w:rPr>
        <w:t>A declaration that the Plaintiff is the lawful owner of Stand No. 9546,</w:t>
      </w:r>
    </w:p>
    <w:p w:rsidR="00BC0A27" w:rsidRPr="00F12F7A" w:rsidRDefault="00BC0A27" w:rsidP="00BC0A27">
      <w:pPr>
        <w:pStyle w:val="ListParagraph"/>
        <w:numPr>
          <w:ilvl w:val="0"/>
          <w:numId w:val="2"/>
        </w:numPr>
        <w:spacing w:after="120" w:line="360" w:lineRule="auto"/>
        <w:jc w:val="both"/>
        <w:rPr>
          <w:rFonts w:ascii="Bookman Old Style" w:hAnsi="Bookman Old Style"/>
          <w:b/>
          <w:sz w:val="28"/>
          <w:szCs w:val="28"/>
        </w:rPr>
      </w:pPr>
      <w:r w:rsidRPr="00F12F7A">
        <w:rPr>
          <w:rFonts w:ascii="Bookman Old Style" w:hAnsi="Bookman Old Style"/>
          <w:b/>
          <w:sz w:val="28"/>
          <w:szCs w:val="28"/>
        </w:rPr>
        <w:t>Mesne profit from August 2004 to August 2014</w:t>
      </w:r>
    </w:p>
    <w:p w:rsidR="00BC0A27" w:rsidRPr="00F12F7A" w:rsidRDefault="00BC0A27" w:rsidP="00BC0A27">
      <w:pPr>
        <w:pStyle w:val="ListParagraph"/>
        <w:numPr>
          <w:ilvl w:val="0"/>
          <w:numId w:val="2"/>
        </w:numPr>
        <w:spacing w:after="120" w:line="360" w:lineRule="auto"/>
        <w:jc w:val="both"/>
        <w:rPr>
          <w:rFonts w:ascii="Bookman Old Style" w:hAnsi="Bookman Old Style"/>
          <w:b/>
          <w:sz w:val="28"/>
          <w:szCs w:val="28"/>
        </w:rPr>
      </w:pPr>
      <w:r w:rsidRPr="00F12F7A">
        <w:rPr>
          <w:rFonts w:ascii="Bookman Old Style" w:hAnsi="Bookman Old Style"/>
          <w:b/>
          <w:sz w:val="28"/>
          <w:szCs w:val="28"/>
        </w:rPr>
        <w:t>Interest,</w:t>
      </w:r>
    </w:p>
    <w:p w:rsidR="00BC0A27" w:rsidRPr="00F12F7A" w:rsidRDefault="00BC0A27" w:rsidP="00BC0A27">
      <w:pPr>
        <w:pStyle w:val="ListParagraph"/>
        <w:numPr>
          <w:ilvl w:val="0"/>
          <w:numId w:val="2"/>
        </w:numPr>
        <w:spacing w:after="120" w:line="360" w:lineRule="auto"/>
        <w:jc w:val="both"/>
        <w:rPr>
          <w:rFonts w:ascii="Bookman Old Style" w:hAnsi="Bookman Old Style"/>
          <w:b/>
          <w:sz w:val="28"/>
          <w:szCs w:val="28"/>
        </w:rPr>
      </w:pPr>
      <w:r w:rsidRPr="00F12F7A">
        <w:rPr>
          <w:rFonts w:ascii="Bookman Old Style" w:hAnsi="Bookman Old Style"/>
          <w:b/>
          <w:sz w:val="28"/>
          <w:szCs w:val="28"/>
        </w:rPr>
        <w:t>Any other relief the Court may deem fit and</w:t>
      </w:r>
    </w:p>
    <w:p w:rsidR="00BC0A27" w:rsidRPr="00F12F7A" w:rsidRDefault="00BC0A27" w:rsidP="00BC0A27">
      <w:pPr>
        <w:pStyle w:val="ListParagraph"/>
        <w:numPr>
          <w:ilvl w:val="0"/>
          <w:numId w:val="2"/>
        </w:numPr>
        <w:spacing w:after="120" w:line="360" w:lineRule="auto"/>
        <w:jc w:val="both"/>
        <w:rPr>
          <w:rFonts w:ascii="Bookman Old Style" w:hAnsi="Bookman Old Style"/>
          <w:b/>
          <w:sz w:val="28"/>
          <w:szCs w:val="28"/>
        </w:rPr>
      </w:pPr>
      <w:r w:rsidRPr="00F12F7A">
        <w:rPr>
          <w:rFonts w:ascii="Bookman Old Style" w:hAnsi="Bookman Old Style"/>
          <w:b/>
          <w:sz w:val="28"/>
          <w:szCs w:val="28"/>
        </w:rPr>
        <w:t>Costs of and incidental to this action.</w:t>
      </w:r>
    </w:p>
    <w:p w:rsidR="00232A0F" w:rsidRDefault="00232A0F" w:rsidP="00BC0A27">
      <w:pPr>
        <w:spacing w:after="120" w:line="360" w:lineRule="auto"/>
        <w:jc w:val="both"/>
        <w:rPr>
          <w:rFonts w:ascii="Bookman Old Style" w:hAnsi="Bookman Old Style"/>
          <w:sz w:val="28"/>
          <w:szCs w:val="28"/>
        </w:rPr>
      </w:pPr>
      <w:r>
        <w:rPr>
          <w:rFonts w:ascii="Bookman Old Style" w:hAnsi="Bookman Old Style"/>
          <w:sz w:val="28"/>
          <w:szCs w:val="28"/>
        </w:rPr>
        <w:t>The Writ of Summons is accompanied by a Statement of Claim of even date.</w:t>
      </w:r>
    </w:p>
    <w:p w:rsidR="00B919BB" w:rsidRDefault="00232A0F" w:rsidP="00BC0A27">
      <w:pPr>
        <w:spacing w:after="120" w:line="360" w:lineRule="auto"/>
        <w:jc w:val="both"/>
        <w:rPr>
          <w:rFonts w:ascii="Bookman Old Style" w:hAnsi="Bookman Old Style"/>
          <w:sz w:val="28"/>
          <w:szCs w:val="28"/>
        </w:rPr>
      </w:pPr>
      <w:r>
        <w:rPr>
          <w:rFonts w:ascii="Bookman Old Style" w:hAnsi="Bookman Old Style"/>
          <w:sz w:val="28"/>
          <w:szCs w:val="28"/>
        </w:rPr>
        <w:t>It would seem from a perusal of the</w:t>
      </w:r>
      <w:r w:rsidR="003910A6">
        <w:rPr>
          <w:rFonts w:ascii="Bookman Old Style" w:hAnsi="Bookman Old Style"/>
          <w:sz w:val="28"/>
          <w:szCs w:val="28"/>
        </w:rPr>
        <w:t xml:space="preserve"> Statement of Claim that the property therein subject of the Plaintiff’s claim is the Remaining extent of </w:t>
      </w:r>
      <w:r w:rsidR="003910A6" w:rsidRPr="00F12F7A">
        <w:rPr>
          <w:rFonts w:ascii="Bookman Old Style" w:hAnsi="Bookman Old Style"/>
          <w:b/>
          <w:sz w:val="28"/>
          <w:szCs w:val="28"/>
        </w:rPr>
        <w:t>Stand No. 9546 Lusaka</w:t>
      </w:r>
      <w:r w:rsidR="003910A6">
        <w:rPr>
          <w:rFonts w:ascii="Bookman Old Style" w:hAnsi="Bookman Old Style"/>
          <w:sz w:val="28"/>
          <w:szCs w:val="28"/>
        </w:rPr>
        <w:t xml:space="preserve"> and not </w:t>
      </w:r>
      <w:r w:rsidR="003910A6" w:rsidRPr="00F12F7A">
        <w:rPr>
          <w:rFonts w:ascii="Bookman Old Style" w:hAnsi="Bookman Old Style"/>
          <w:b/>
          <w:sz w:val="28"/>
          <w:szCs w:val="28"/>
        </w:rPr>
        <w:t>Stand No.9546.</w:t>
      </w:r>
      <w:r w:rsidR="003910A6">
        <w:rPr>
          <w:rFonts w:ascii="Bookman Old Style" w:hAnsi="Bookman Old Style"/>
          <w:sz w:val="28"/>
          <w:szCs w:val="28"/>
        </w:rPr>
        <w:t xml:space="preserve">  To that extent the Writ of Summons and the</w:t>
      </w:r>
      <w:r w:rsidR="00B919BB">
        <w:rPr>
          <w:rFonts w:ascii="Bookman Old Style" w:hAnsi="Bookman Old Style"/>
          <w:sz w:val="28"/>
          <w:szCs w:val="28"/>
        </w:rPr>
        <w:t xml:space="preserve"> Statement of Claim are at variance and that issue will need to be addressed in due course.</w:t>
      </w:r>
    </w:p>
    <w:p w:rsidR="00D11656" w:rsidRDefault="00B919BB" w:rsidP="00BC0A27">
      <w:pPr>
        <w:spacing w:after="120" w:line="360" w:lineRule="auto"/>
        <w:jc w:val="both"/>
        <w:rPr>
          <w:rFonts w:ascii="Bookman Old Style" w:hAnsi="Bookman Old Style"/>
          <w:sz w:val="28"/>
          <w:szCs w:val="28"/>
        </w:rPr>
      </w:pPr>
      <w:r>
        <w:rPr>
          <w:rFonts w:ascii="Bookman Old Style" w:hAnsi="Bookman Old Style"/>
          <w:sz w:val="28"/>
          <w:szCs w:val="28"/>
        </w:rPr>
        <w:t>What followed thereafter is that the Defendant on the 12</w:t>
      </w:r>
      <w:r w:rsidRPr="00B919BB">
        <w:rPr>
          <w:rFonts w:ascii="Bookman Old Style" w:hAnsi="Bookman Old Style"/>
          <w:sz w:val="28"/>
          <w:szCs w:val="28"/>
          <w:vertAlign w:val="superscript"/>
        </w:rPr>
        <w:t>th</w:t>
      </w:r>
      <w:r>
        <w:rPr>
          <w:rFonts w:ascii="Bookman Old Style" w:hAnsi="Bookman Old Style"/>
          <w:sz w:val="28"/>
          <w:szCs w:val="28"/>
        </w:rPr>
        <w:t xml:space="preserve"> day of September 2014 filed a Memorandum of appearance and subsequently filed a Defence and Counter Claim on the 19</w:t>
      </w:r>
      <w:r w:rsidRPr="00B919BB">
        <w:rPr>
          <w:rFonts w:ascii="Bookman Old Style" w:hAnsi="Bookman Old Style"/>
          <w:sz w:val="28"/>
          <w:szCs w:val="28"/>
          <w:vertAlign w:val="superscript"/>
        </w:rPr>
        <w:t>th</w:t>
      </w:r>
      <w:r>
        <w:rPr>
          <w:rFonts w:ascii="Bookman Old Style" w:hAnsi="Bookman Old Style"/>
          <w:sz w:val="28"/>
          <w:szCs w:val="28"/>
        </w:rPr>
        <w:t xml:space="preserve"> day of September</w:t>
      </w:r>
      <w:r w:rsidR="008015B6">
        <w:rPr>
          <w:rFonts w:ascii="Bookman Old Style" w:hAnsi="Bookman Old Style"/>
          <w:sz w:val="28"/>
          <w:szCs w:val="28"/>
        </w:rPr>
        <w:t xml:space="preserve"> 2014</w:t>
      </w:r>
      <w:r w:rsidR="006627BF">
        <w:rPr>
          <w:rFonts w:ascii="Bookman Old Style" w:hAnsi="Bookman Old Style"/>
          <w:sz w:val="28"/>
          <w:szCs w:val="28"/>
        </w:rPr>
        <w:t>.</w:t>
      </w:r>
      <w:r w:rsidR="008015B6">
        <w:rPr>
          <w:rFonts w:ascii="Bookman Old Style" w:hAnsi="Bookman Old Style"/>
          <w:sz w:val="28"/>
          <w:szCs w:val="28"/>
        </w:rPr>
        <w:t xml:space="preserve"> </w:t>
      </w:r>
      <w:r w:rsidR="00D11656">
        <w:rPr>
          <w:rFonts w:ascii="Bookman Old Style" w:hAnsi="Bookman Old Style"/>
          <w:sz w:val="28"/>
          <w:szCs w:val="28"/>
        </w:rPr>
        <w:t>I should point out at the earliest that an Injunction is not amongst the reliefs being sought under the Counter Claim.</w:t>
      </w:r>
    </w:p>
    <w:p w:rsidR="00D11656" w:rsidRDefault="00D11656" w:rsidP="00BC0A27">
      <w:pPr>
        <w:spacing w:after="120" w:line="360" w:lineRule="auto"/>
        <w:jc w:val="both"/>
        <w:rPr>
          <w:rFonts w:ascii="Bookman Old Style" w:hAnsi="Bookman Old Style"/>
          <w:sz w:val="28"/>
          <w:szCs w:val="28"/>
        </w:rPr>
      </w:pPr>
      <w:r>
        <w:rPr>
          <w:rFonts w:ascii="Bookman Old Style" w:hAnsi="Bookman Old Style"/>
          <w:sz w:val="28"/>
          <w:szCs w:val="28"/>
        </w:rPr>
        <w:lastRenderedPageBreak/>
        <w:t xml:space="preserve">At the time of filing the Defence and Counter Claim, the Defendant also filed an application for an Interim Injunction to restrain the Plaintiff from trespassing on the Remaining extent of Subdivision of </w:t>
      </w:r>
      <w:r w:rsidRPr="00F12F7A">
        <w:rPr>
          <w:rFonts w:ascii="Bookman Old Style" w:hAnsi="Bookman Old Style"/>
          <w:b/>
          <w:sz w:val="28"/>
          <w:szCs w:val="28"/>
        </w:rPr>
        <w:t>Stand No. 9546 Lusaka</w:t>
      </w:r>
      <w:r>
        <w:rPr>
          <w:rFonts w:ascii="Bookman Old Style" w:hAnsi="Bookman Old Style"/>
          <w:sz w:val="28"/>
          <w:szCs w:val="28"/>
        </w:rPr>
        <w:t>.</w:t>
      </w:r>
    </w:p>
    <w:p w:rsidR="000F5F90" w:rsidRDefault="00D11656" w:rsidP="00BC0A27">
      <w:pPr>
        <w:spacing w:after="120" w:line="360" w:lineRule="auto"/>
        <w:jc w:val="both"/>
        <w:rPr>
          <w:rFonts w:ascii="Bookman Old Style" w:hAnsi="Bookman Old Style"/>
          <w:sz w:val="28"/>
          <w:szCs w:val="28"/>
        </w:rPr>
      </w:pPr>
      <w:r>
        <w:rPr>
          <w:rFonts w:ascii="Bookman Old Style" w:hAnsi="Bookman Old Style"/>
          <w:sz w:val="28"/>
          <w:szCs w:val="28"/>
        </w:rPr>
        <w:t>The affidavit in support thereof</w:t>
      </w:r>
      <w:r w:rsidR="000F5F90">
        <w:rPr>
          <w:rFonts w:ascii="Bookman Old Style" w:hAnsi="Bookman Old Style"/>
          <w:sz w:val="28"/>
          <w:szCs w:val="28"/>
        </w:rPr>
        <w:t xml:space="preserve"> deposed to by Constantinos loannnidas, a Director of the Defendant’s Company, makes very interesting reading.  The depo</w:t>
      </w:r>
      <w:r w:rsidR="007F2B2D">
        <w:rPr>
          <w:rFonts w:ascii="Bookman Old Style" w:hAnsi="Bookman Old Style"/>
          <w:sz w:val="28"/>
          <w:szCs w:val="28"/>
        </w:rPr>
        <w:t xml:space="preserve">nent seems to be the aggrieved </w:t>
      </w:r>
      <w:r w:rsidR="000F5F90">
        <w:rPr>
          <w:rFonts w:ascii="Bookman Old Style" w:hAnsi="Bookman Old Style"/>
          <w:sz w:val="28"/>
          <w:szCs w:val="28"/>
        </w:rPr>
        <w:t>party and the one seeking the Interim relief when the Defendant is a separate legal entity which has sued in its own legal capacity.</w:t>
      </w:r>
    </w:p>
    <w:p w:rsidR="007F2B2D" w:rsidRDefault="000F5F90" w:rsidP="00BC0A27">
      <w:pPr>
        <w:spacing w:after="120" w:line="360" w:lineRule="auto"/>
        <w:jc w:val="both"/>
        <w:rPr>
          <w:rFonts w:ascii="Bookman Old Style" w:hAnsi="Bookman Old Style"/>
          <w:sz w:val="28"/>
          <w:szCs w:val="28"/>
        </w:rPr>
      </w:pPr>
      <w:r>
        <w:rPr>
          <w:rFonts w:ascii="Bookman Old Style" w:hAnsi="Bookman Old Style"/>
          <w:sz w:val="28"/>
          <w:szCs w:val="28"/>
        </w:rPr>
        <w:t xml:space="preserve">Furthermore, the content falls far short of what is expected in </w:t>
      </w:r>
      <w:r w:rsidR="007F2B2D">
        <w:rPr>
          <w:rFonts w:ascii="Bookman Old Style" w:hAnsi="Bookman Old Style"/>
          <w:sz w:val="28"/>
          <w:szCs w:val="28"/>
        </w:rPr>
        <w:t>applications of this nature.  I will revert to this point in due course.</w:t>
      </w:r>
    </w:p>
    <w:p w:rsidR="007F2B2D" w:rsidRDefault="007F2B2D" w:rsidP="00BC0A27">
      <w:pPr>
        <w:spacing w:after="120" w:line="360" w:lineRule="auto"/>
        <w:jc w:val="both"/>
        <w:rPr>
          <w:rFonts w:ascii="Bookman Old Style" w:hAnsi="Bookman Old Style"/>
          <w:sz w:val="28"/>
          <w:szCs w:val="28"/>
        </w:rPr>
      </w:pPr>
      <w:r>
        <w:rPr>
          <w:rFonts w:ascii="Bookman Old Style" w:hAnsi="Bookman Old Style"/>
          <w:sz w:val="28"/>
          <w:szCs w:val="28"/>
        </w:rPr>
        <w:t>Despite the shortcomings on both side</w:t>
      </w:r>
      <w:r w:rsidR="006627BF">
        <w:rPr>
          <w:rFonts w:ascii="Bookman Old Style" w:hAnsi="Bookman Old Style"/>
          <w:sz w:val="28"/>
          <w:szCs w:val="28"/>
        </w:rPr>
        <w:t>s</w:t>
      </w:r>
      <w:r>
        <w:rPr>
          <w:rFonts w:ascii="Bookman Old Style" w:hAnsi="Bookman Old Style"/>
          <w:sz w:val="28"/>
          <w:szCs w:val="28"/>
        </w:rPr>
        <w:t xml:space="preserve"> in this matter, I have in determining the application taken into consideration the Summons, the affidavit evidence by both parties and their respective Skeleton arguments.</w:t>
      </w:r>
    </w:p>
    <w:p w:rsidR="007F2B2D" w:rsidRDefault="007F2B2D" w:rsidP="00BC0A27">
      <w:pPr>
        <w:spacing w:after="120" w:line="360" w:lineRule="auto"/>
        <w:jc w:val="both"/>
        <w:rPr>
          <w:rFonts w:ascii="Bookman Old Style" w:hAnsi="Bookman Old Style"/>
          <w:sz w:val="28"/>
          <w:szCs w:val="28"/>
        </w:rPr>
      </w:pPr>
      <w:r>
        <w:rPr>
          <w:rFonts w:ascii="Bookman Old Style" w:hAnsi="Bookman Old Style"/>
          <w:sz w:val="28"/>
          <w:szCs w:val="28"/>
        </w:rPr>
        <w:t>One fact clearly comes out in the evidence and</w:t>
      </w:r>
      <w:r w:rsidR="003717CB">
        <w:rPr>
          <w:rFonts w:ascii="Bookman Old Style" w:hAnsi="Bookman Old Style"/>
          <w:sz w:val="28"/>
          <w:szCs w:val="28"/>
        </w:rPr>
        <w:t xml:space="preserve"> that is, the Defendant as a Company is no longer in possession or occupancy of the property in issue, having been evicted, a fact which has been acknowledged by the Defendant.</w:t>
      </w:r>
    </w:p>
    <w:p w:rsidR="00645099" w:rsidRDefault="003717CB" w:rsidP="00BC0A27">
      <w:pPr>
        <w:spacing w:after="120" w:line="360" w:lineRule="auto"/>
        <w:jc w:val="both"/>
        <w:rPr>
          <w:rFonts w:ascii="Bookman Old Style" w:hAnsi="Bookman Old Style"/>
          <w:sz w:val="28"/>
          <w:szCs w:val="28"/>
        </w:rPr>
      </w:pPr>
      <w:r>
        <w:rPr>
          <w:rFonts w:ascii="Bookman Old Style" w:hAnsi="Bookman Old Style"/>
          <w:sz w:val="28"/>
          <w:szCs w:val="28"/>
        </w:rPr>
        <w:t>The starting point for the granting of an Injunction is that the application does not come</w:t>
      </w:r>
      <w:r w:rsidR="00C0207B">
        <w:rPr>
          <w:rFonts w:ascii="Bookman Old Style" w:hAnsi="Bookman Old Style"/>
          <w:sz w:val="28"/>
          <w:szCs w:val="28"/>
        </w:rPr>
        <w:t xml:space="preserve"> to Court in isolation.  It must be pleaded by a party in either the Statement of Claim or Counter Claim.  Failure to do so means that the application has no leg to stand on.  </w:t>
      </w:r>
    </w:p>
    <w:p w:rsidR="00645099" w:rsidRDefault="00645099" w:rsidP="00BC0A27">
      <w:pPr>
        <w:spacing w:after="120" w:line="360" w:lineRule="auto"/>
        <w:jc w:val="both"/>
        <w:rPr>
          <w:rFonts w:ascii="Bookman Old Style" w:hAnsi="Bookman Old Style"/>
          <w:sz w:val="28"/>
          <w:szCs w:val="28"/>
        </w:rPr>
      </w:pPr>
    </w:p>
    <w:p w:rsidR="00C0207B" w:rsidRDefault="00C0207B" w:rsidP="00BC0A27">
      <w:pPr>
        <w:spacing w:after="120" w:line="360" w:lineRule="auto"/>
        <w:jc w:val="both"/>
        <w:rPr>
          <w:rFonts w:ascii="Bookman Old Style" w:hAnsi="Bookman Old Style"/>
          <w:sz w:val="28"/>
          <w:szCs w:val="28"/>
        </w:rPr>
      </w:pPr>
      <w:r>
        <w:rPr>
          <w:rFonts w:ascii="Bookman Old Style" w:hAnsi="Bookman Old Style"/>
          <w:sz w:val="28"/>
          <w:szCs w:val="28"/>
        </w:rPr>
        <w:lastRenderedPageBreak/>
        <w:t>As earlier alluded to, the Defendant has not pleaded for the relief in its Counter Claim and therefore the application has no leg to stand on.  On that basis only, this is not a proper case for granting of an Interim Injunction.</w:t>
      </w:r>
    </w:p>
    <w:p w:rsidR="00057CD9" w:rsidRDefault="00C0207B" w:rsidP="00BC0A27">
      <w:pPr>
        <w:spacing w:after="120" w:line="360" w:lineRule="auto"/>
        <w:jc w:val="both"/>
        <w:rPr>
          <w:rFonts w:ascii="Bookman Old Style" w:hAnsi="Bookman Old Style"/>
          <w:sz w:val="28"/>
          <w:szCs w:val="28"/>
        </w:rPr>
      </w:pPr>
      <w:r>
        <w:rPr>
          <w:rFonts w:ascii="Bookman Old Style" w:hAnsi="Bookman Old Style"/>
          <w:sz w:val="28"/>
          <w:szCs w:val="28"/>
        </w:rPr>
        <w:t>However, I need to go further and state that an Injunct</w:t>
      </w:r>
      <w:r w:rsidR="00706CB7">
        <w:rPr>
          <w:rFonts w:ascii="Bookman Old Style" w:hAnsi="Bookman Old Style"/>
          <w:sz w:val="28"/>
          <w:szCs w:val="28"/>
        </w:rPr>
        <w:t>ion is a discretionary necessity</w:t>
      </w:r>
      <w:r>
        <w:rPr>
          <w:rFonts w:ascii="Bookman Old Style" w:hAnsi="Bookman Old Style"/>
          <w:sz w:val="28"/>
          <w:szCs w:val="28"/>
        </w:rPr>
        <w:t xml:space="preserve">.  A party is not entitled to it as a right.  It is only granted to preserve the </w:t>
      </w:r>
      <w:r w:rsidRPr="00F12F7A">
        <w:rPr>
          <w:rFonts w:ascii="Bookman Old Style" w:hAnsi="Bookman Old Style"/>
          <w:b/>
          <w:sz w:val="28"/>
          <w:szCs w:val="28"/>
        </w:rPr>
        <w:t>status</w:t>
      </w:r>
      <w:r w:rsidR="00057CD9" w:rsidRPr="00F12F7A">
        <w:rPr>
          <w:rFonts w:ascii="Bookman Old Style" w:hAnsi="Bookman Old Style"/>
          <w:b/>
          <w:sz w:val="28"/>
          <w:szCs w:val="28"/>
        </w:rPr>
        <w:t xml:space="preserve"> quo</w:t>
      </w:r>
      <w:r w:rsidR="00057CD9">
        <w:rPr>
          <w:rFonts w:ascii="Bookman Old Style" w:hAnsi="Bookman Old Style"/>
          <w:sz w:val="28"/>
          <w:szCs w:val="28"/>
        </w:rPr>
        <w:t xml:space="preserve"> until the rights of the parties have been determined in the action.</w:t>
      </w:r>
    </w:p>
    <w:p w:rsidR="00057CD9" w:rsidRDefault="00057CD9" w:rsidP="00BC0A27">
      <w:pPr>
        <w:spacing w:after="120" w:line="360" w:lineRule="auto"/>
        <w:jc w:val="both"/>
        <w:rPr>
          <w:rFonts w:ascii="Bookman Old Style" w:hAnsi="Bookman Old Style"/>
          <w:sz w:val="28"/>
          <w:szCs w:val="28"/>
        </w:rPr>
      </w:pPr>
      <w:r>
        <w:rPr>
          <w:rFonts w:ascii="Bookman Old Style" w:hAnsi="Bookman Old Style"/>
          <w:sz w:val="28"/>
          <w:szCs w:val="28"/>
        </w:rPr>
        <w:t>In exercising that discretion, generally the Court has to take into consideration two main issues.</w:t>
      </w:r>
    </w:p>
    <w:p w:rsidR="00057CD9" w:rsidRDefault="00057CD9" w:rsidP="00BC0A27">
      <w:pPr>
        <w:spacing w:after="120" w:line="360" w:lineRule="auto"/>
        <w:jc w:val="both"/>
        <w:rPr>
          <w:rFonts w:ascii="Bookman Old Style" w:hAnsi="Bookman Old Style"/>
          <w:sz w:val="28"/>
          <w:szCs w:val="28"/>
        </w:rPr>
      </w:pPr>
      <w:r>
        <w:rPr>
          <w:rFonts w:ascii="Bookman Old Style" w:hAnsi="Bookman Old Style"/>
          <w:sz w:val="28"/>
          <w:szCs w:val="28"/>
        </w:rPr>
        <w:t xml:space="preserve">Firstly, a party seeking an Injunction must establish clearly that he is entitled to the right which he seeks to protect.  The modern tendency as elaborated in the case of </w:t>
      </w:r>
      <w:r w:rsidRPr="00F12F7A">
        <w:rPr>
          <w:rFonts w:ascii="Bookman Old Style" w:hAnsi="Bookman Old Style"/>
          <w:b/>
          <w:sz w:val="28"/>
          <w:szCs w:val="28"/>
        </w:rPr>
        <w:t>Shell &amp; BP Zambia Limited and Conidaris and Others</w:t>
      </w:r>
      <w:r w:rsidRPr="00F12F7A">
        <w:rPr>
          <w:rFonts w:ascii="Bookman Old Style" w:hAnsi="Bookman Old Style"/>
          <w:b/>
          <w:sz w:val="28"/>
          <w:szCs w:val="28"/>
          <w:vertAlign w:val="superscript"/>
        </w:rPr>
        <w:t>1</w:t>
      </w:r>
      <w:r>
        <w:rPr>
          <w:rFonts w:ascii="Bookman Old Style" w:hAnsi="Bookman Old Style"/>
          <w:sz w:val="28"/>
          <w:szCs w:val="28"/>
        </w:rPr>
        <w:t xml:space="preserve"> is to grant an Interlocutory Injunction only where the right to relief being sought is clear.</w:t>
      </w:r>
    </w:p>
    <w:p w:rsidR="00057CD9" w:rsidRPr="00706CB7" w:rsidRDefault="00057CD9" w:rsidP="00BC0A27">
      <w:pPr>
        <w:spacing w:after="120" w:line="360" w:lineRule="auto"/>
        <w:jc w:val="both"/>
        <w:rPr>
          <w:rFonts w:ascii="Bookman Old Style" w:hAnsi="Bookman Old Style"/>
          <w:sz w:val="28"/>
          <w:szCs w:val="28"/>
        </w:rPr>
      </w:pPr>
      <w:r>
        <w:rPr>
          <w:rFonts w:ascii="Bookman Old Style" w:hAnsi="Bookman Old Style"/>
          <w:sz w:val="28"/>
          <w:szCs w:val="28"/>
        </w:rPr>
        <w:t xml:space="preserve">The second issue is that an applicant must show that an Injunction is necessary to protect him against irreparable injury.  The case of </w:t>
      </w:r>
      <w:r w:rsidRPr="00F12F7A">
        <w:rPr>
          <w:rFonts w:ascii="Bookman Old Style" w:hAnsi="Bookman Old Style"/>
          <w:b/>
          <w:sz w:val="28"/>
          <w:szCs w:val="28"/>
        </w:rPr>
        <w:t>Turnkey Properties v Lusaka West Development Company Limited</w:t>
      </w:r>
      <w:r w:rsidRPr="00F12F7A">
        <w:rPr>
          <w:rFonts w:ascii="Bookman Old Style" w:hAnsi="Bookman Old Style"/>
          <w:b/>
          <w:sz w:val="28"/>
          <w:szCs w:val="28"/>
          <w:vertAlign w:val="superscript"/>
        </w:rPr>
        <w:t>2</w:t>
      </w:r>
      <w:r w:rsidR="00706CB7">
        <w:rPr>
          <w:rFonts w:ascii="Bookman Old Style" w:hAnsi="Bookman Old Style"/>
          <w:sz w:val="28"/>
          <w:szCs w:val="28"/>
        </w:rPr>
        <w:t xml:space="preserve"> refers.</w:t>
      </w:r>
    </w:p>
    <w:p w:rsidR="003717CB" w:rsidRDefault="00057CD9" w:rsidP="00BC0A27">
      <w:pPr>
        <w:spacing w:after="120" w:line="360" w:lineRule="auto"/>
        <w:jc w:val="both"/>
        <w:rPr>
          <w:rFonts w:ascii="Bookman Old Style" w:hAnsi="Bookman Old Style"/>
          <w:sz w:val="28"/>
          <w:szCs w:val="28"/>
        </w:rPr>
      </w:pPr>
      <w:r>
        <w:rPr>
          <w:rFonts w:ascii="Bookman Old Style" w:hAnsi="Bookman Old Style"/>
          <w:sz w:val="28"/>
          <w:szCs w:val="28"/>
        </w:rPr>
        <w:t>Both issues are subject to affidavit evidence.  As earlier stated, very little of relevance has been said in the affidavit in support of the application.</w:t>
      </w:r>
      <w:r w:rsidR="00C0207B">
        <w:rPr>
          <w:rFonts w:ascii="Bookman Old Style" w:hAnsi="Bookman Old Style"/>
          <w:sz w:val="28"/>
          <w:szCs w:val="28"/>
        </w:rPr>
        <w:t xml:space="preserve"> </w:t>
      </w:r>
    </w:p>
    <w:p w:rsidR="00AB6F47" w:rsidRDefault="00AB6F47" w:rsidP="00BC0A27">
      <w:pPr>
        <w:spacing w:after="120" w:line="360" w:lineRule="auto"/>
        <w:jc w:val="both"/>
        <w:rPr>
          <w:rFonts w:ascii="Bookman Old Style" w:hAnsi="Bookman Old Style"/>
          <w:sz w:val="28"/>
          <w:szCs w:val="28"/>
        </w:rPr>
      </w:pPr>
      <w:r>
        <w:rPr>
          <w:rFonts w:ascii="Bookman Old Style" w:hAnsi="Bookman Old Style"/>
          <w:sz w:val="28"/>
          <w:szCs w:val="28"/>
        </w:rPr>
        <w:t>The applicant has neither demonstrated the right that the Defendant is seeking to protect nor</w:t>
      </w:r>
      <w:r w:rsidR="00830855">
        <w:rPr>
          <w:rFonts w:ascii="Bookman Old Style" w:hAnsi="Bookman Old Style"/>
          <w:sz w:val="28"/>
          <w:szCs w:val="28"/>
        </w:rPr>
        <w:t xml:space="preserve"> the irreparable injury the Defendant is likely to suffer if the application is not granted.</w:t>
      </w:r>
    </w:p>
    <w:p w:rsidR="00830855" w:rsidRDefault="00830855" w:rsidP="00BC0A27">
      <w:pPr>
        <w:spacing w:after="120" w:line="360" w:lineRule="auto"/>
        <w:jc w:val="both"/>
        <w:rPr>
          <w:rFonts w:ascii="Bookman Old Style" w:hAnsi="Bookman Old Style"/>
          <w:sz w:val="28"/>
          <w:szCs w:val="28"/>
        </w:rPr>
      </w:pPr>
      <w:r>
        <w:rPr>
          <w:rFonts w:ascii="Bookman Old Style" w:hAnsi="Bookman Old Style"/>
          <w:sz w:val="28"/>
          <w:szCs w:val="28"/>
        </w:rPr>
        <w:lastRenderedPageBreak/>
        <w:t>Lastly, the object of an Injunction is to maintain the status quo.</w:t>
      </w:r>
    </w:p>
    <w:p w:rsidR="00830855" w:rsidRDefault="00830855" w:rsidP="00BC0A27">
      <w:pPr>
        <w:spacing w:after="120" w:line="360" w:lineRule="auto"/>
        <w:jc w:val="both"/>
        <w:rPr>
          <w:rFonts w:ascii="Bookman Old Style" w:hAnsi="Bookman Old Style"/>
          <w:sz w:val="28"/>
          <w:szCs w:val="28"/>
        </w:rPr>
      </w:pPr>
      <w:r>
        <w:rPr>
          <w:rFonts w:ascii="Bookman Old Style" w:hAnsi="Bookman Old Style"/>
          <w:sz w:val="28"/>
          <w:szCs w:val="28"/>
        </w:rPr>
        <w:t>It is not in dispute as earlier stated that the Defendant is no longer in possession or occupancy of the property.  Therefore an Order for  an Interim Injunction to restrain the Plaintiff from trespassing will be totally in a vacuum and will not serve any useful purpose.  In short there is no status quo to preserve.</w:t>
      </w:r>
    </w:p>
    <w:p w:rsidR="00830855" w:rsidRDefault="00830855" w:rsidP="00BC0A27">
      <w:pPr>
        <w:spacing w:after="120" w:line="360" w:lineRule="auto"/>
        <w:jc w:val="both"/>
        <w:rPr>
          <w:rFonts w:ascii="Bookman Old Style" w:hAnsi="Bookman Old Style"/>
          <w:sz w:val="28"/>
          <w:szCs w:val="28"/>
        </w:rPr>
      </w:pPr>
      <w:r>
        <w:rPr>
          <w:rFonts w:ascii="Bookman Old Style" w:hAnsi="Bookman Old Style"/>
          <w:sz w:val="28"/>
          <w:szCs w:val="28"/>
        </w:rPr>
        <w:t>In the view that I have taken, this is not a proper case for granting of an Interim Injunction.  The application is therefore dismissed with costs to the Plaintiff.  Same to be taxed in default of agreement.</w:t>
      </w:r>
    </w:p>
    <w:p w:rsidR="00830855" w:rsidRDefault="00830855" w:rsidP="00BC0A27">
      <w:pPr>
        <w:spacing w:after="120" w:line="360" w:lineRule="auto"/>
        <w:jc w:val="both"/>
        <w:rPr>
          <w:rFonts w:ascii="Bookman Old Style" w:hAnsi="Bookman Old Style"/>
          <w:sz w:val="28"/>
          <w:szCs w:val="28"/>
        </w:rPr>
      </w:pPr>
      <w:r>
        <w:rPr>
          <w:rFonts w:ascii="Bookman Old Style" w:hAnsi="Bookman Old Style"/>
          <w:sz w:val="28"/>
          <w:szCs w:val="28"/>
        </w:rPr>
        <w:t>Leave to appeal is hereby granted.</w:t>
      </w:r>
    </w:p>
    <w:p w:rsidR="00830855" w:rsidRPr="00641391" w:rsidRDefault="00A164FE" w:rsidP="00BC0A27">
      <w:pPr>
        <w:spacing w:after="120" w:line="360" w:lineRule="auto"/>
        <w:jc w:val="both"/>
        <w:rPr>
          <w:rFonts w:ascii="Bookman Old Style" w:hAnsi="Bookman Old Style"/>
          <w:b/>
          <w:sz w:val="28"/>
          <w:szCs w:val="28"/>
        </w:rPr>
      </w:pPr>
      <w:r w:rsidRPr="00641391">
        <w:rPr>
          <w:rFonts w:ascii="Bookman Old Style" w:hAnsi="Bookman Old Style"/>
          <w:b/>
          <w:sz w:val="28"/>
          <w:szCs w:val="28"/>
        </w:rPr>
        <w:t>Delivered at Lusaka this 8</w:t>
      </w:r>
      <w:r w:rsidRPr="00641391">
        <w:rPr>
          <w:rFonts w:ascii="Bookman Old Style" w:hAnsi="Bookman Old Style"/>
          <w:b/>
          <w:sz w:val="28"/>
          <w:szCs w:val="28"/>
          <w:vertAlign w:val="superscript"/>
        </w:rPr>
        <w:t>th</w:t>
      </w:r>
      <w:r w:rsidRPr="00641391">
        <w:rPr>
          <w:rFonts w:ascii="Bookman Old Style" w:hAnsi="Bookman Old Style"/>
          <w:b/>
          <w:sz w:val="28"/>
          <w:szCs w:val="28"/>
        </w:rPr>
        <w:t xml:space="preserve"> day of May 2015.</w:t>
      </w:r>
    </w:p>
    <w:p w:rsidR="00A164FE" w:rsidRDefault="00A164FE" w:rsidP="00BC0A27">
      <w:pPr>
        <w:spacing w:after="120" w:line="360" w:lineRule="auto"/>
        <w:jc w:val="both"/>
        <w:rPr>
          <w:rFonts w:ascii="Bookman Old Style" w:hAnsi="Bookman Old Style"/>
          <w:sz w:val="28"/>
          <w:szCs w:val="28"/>
        </w:rPr>
      </w:pPr>
    </w:p>
    <w:p w:rsidR="00A164FE" w:rsidRDefault="00A164FE" w:rsidP="00641391">
      <w:pPr>
        <w:spacing w:after="120" w:line="240" w:lineRule="auto"/>
        <w:jc w:val="both"/>
        <w:rPr>
          <w:rFonts w:ascii="Bookman Old Style" w:hAnsi="Bookman Old Style"/>
          <w:sz w:val="28"/>
          <w:szCs w:val="28"/>
        </w:rPr>
      </w:pPr>
    </w:p>
    <w:p w:rsidR="00641391" w:rsidRDefault="0045467A" w:rsidP="00641391">
      <w:pPr>
        <w:spacing w:after="120" w:line="240" w:lineRule="auto"/>
        <w:jc w:val="both"/>
        <w:rPr>
          <w:rFonts w:ascii="Bookman Old Style" w:hAnsi="Bookman Old Style"/>
          <w:sz w:val="28"/>
          <w:szCs w:val="28"/>
        </w:rPr>
      </w:pPr>
      <w:r>
        <w:rPr>
          <w:rFonts w:ascii="Bookman Old Style" w:hAnsi="Bookman Old Style"/>
          <w:sz w:val="28"/>
          <w:szCs w:val="28"/>
        </w:rPr>
        <w:t xml:space="preserve">  </w:t>
      </w:r>
    </w:p>
    <w:p w:rsidR="00A164FE" w:rsidRDefault="00A164FE" w:rsidP="00641391">
      <w:pPr>
        <w:spacing w:after="120" w:line="240" w:lineRule="auto"/>
        <w:jc w:val="center"/>
        <w:rPr>
          <w:rFonts w:ascii="Bookman Old Style" w:hAnsi="Bookman Old Style"/>
          <w:sz w:val="28"/>
          <w:szCs w:val="28"/>
        </w:rPr>
      </w:pPr>
      <w:r>
        <w:rPr>
          <w:rFonts w:ascii="Bookman Old Style" w:hAnsi="Bookman Old Style"/>
          <w:sz w:val="28"/>
          <w:szCs w:val="28"/>
        </w:rPr>
        <w:t>-----------------------------</w:t>
      </w:r>
    </w:p>
    <w:p w:rsidR="00A164FE" w:rsidRDefault="00641391" w:rsidP="00641391">
      <w:pPr>
        <w:spacing w:after="120" w:line="240" w:lineRule="auto"/>
        <w:jc w:val="center"/>
        <w:rPr>
          <w:rFonts w:ascii="Bookman Old Style" w:hAnsi="Bookman Old Style"/>
          <w:sz w:val="28"/>
          <w:szCs w:val="28"/>
        </w:rPr>
      </w:pPr>
      <w:r>
        <w:rPr>
          <w:rFonts w:ascii="Bookman Old Style" w:hAnsi="Bookman Old Style"/>
          <w:sz w:val="28"/>
          <w:szCs w:val="28"/>
        </w:rPr>
        <w:t>Justin Chashi</w:t>
      </w:r>
    </w:p>
    <w:p w:rsidR="00641391" w:rsidRPr="00641391" w:rsidRDefault="00641391" w:rsidP="00641391">
      <w:pPr>
        <w:spacing w:after="120" w:line="240" w:lineRule="auto"/>
        <w:jc w:val="center"/>
        <w:rPr>
          <w:rFonts w:ascii="Bookman Old Style" w:hAnsi="Bookman Old Style"/>
          <w:b/>
          <w:sz w:val="28"/>
          <w:szCs w:val="28"/>
        </w:rPr>
      </w:pPr>
      <w:r w:rsidRPr="00641391">
        <w:rPr>
          <w:rFonts w:ascii="Bookman Old Style" w:hAnsi="Bookman Old Style"/>
          <w:b/>
          <w:sz w:val="28"/>
          <w:szCs w:val="28"/>
        </w:rPr>
        <w:t>HIGH COURT JUDGE</w:t>
      </w:r>
    </w:p>
    <w:p w:rsidR="00FB7FC9" w:rsidRDefault="00FB7FC9" w:rsidP="00FB7FC9"/>
    <w:p w:rsidR="00E63E2F" w:rsidRDefault="00776DB0"/>
    <w:sectPr w:rsidR="00E63E2F" w:rsidSect="0064139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B0" w:rsidRDefault="00776DB0" w:rsidP="00641391">
      <w:pPr>
        <w:spacing w:after="0" w:line="240" w:lineRule="auto"/>
      </w:pPr>
      <w:r>
        <w:separator/>
      </w:r>
    </w:p>
  </w:endnote>
  <w:endnote w:type="continuationSeparator" w:id="1">
    <w:p w:rsidR="00776DB0" w:rsidRDefault="00776DB0" w:rsidP="00641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B0" w:rsidRDefault="00776DB0" w:rsidP="00641391">
      <w:pPr>
        <w:spacing w:after="0" w:line="240" w:lineRule="auto"/>
      </w:pPr>
      <w:r>
        <w:separator/>
      </w:r>
    </w:p>
  </w:footnote>
  <w:footnote w:type="continuationSeparator" w:id="1">
    <w:p w:rsidR="00776DB0" w:rsidRDefault="00776DB0" w:rsidP="00641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9122"/>
      <w:docPartObj>
        <w:docPartGallery w:val="Page Numbers (Top of Page)"/>
        <w:docPartUnique/>
      </w:docPartObj>
    </w:sdtPr>
    <w:sdtContent>
      <w:p w:rsidR="00641391" w:rsidRDefault="00641391">
        <w:pPr>
          <w:pStyle w:val="Header"/>
          <w:jc w:val="center"/>
        </w:pPr>
        <w:r>
          <w:t>-R</w:t>
        </w:r>
        <w:fldSimple w:instr=" PAGE   \* MERGEFORMAT ">
          <w:r w:rsidR="0045467A">
            <w:rPr>
              <w:noProof/>
            </w:rPr>
            <w:t>5</w:t>
          </w:r>
        </w:fldSimple>
        <w:r>
          <w:t>-</w:t>
        </w:r>
      </w:p>
    </w:sdtContent>
  </w:sdt>
  <w:p w:rsidR="00641391" w:rsidRDefault="00641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31B"/>
    <w:multiLevelType w:val="hybridMultilevel"/>
    <w:tmpl w:val="A76E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336FE"/>
    <w:multiLevelType w:val="hybridMultilevel"/>
    <w:tmpl w:val="392EE53E"/>
    <w:lvl w:ilvl="0" w:tplc="538C7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7FC9"/>
    <w:rsid w:val="000328AB"/>
    <w:rsid w:val="00057CD9"/>
    <w:rsid w:val="000F5F90"/>
    <w:rsid w:val="001B4E7B"/>
    <w:rsid w:val="00232A0F"/>
    <w:rsid w:val="003717CB"/>
    <w:rsid w:val="003910A6"/>
    <w:rsid w:val="0045467A"/>
    <w:rsid w:val="00460409"/>
    <w:rsid w:val="00641391"/>
    <w:rsid w:val="00645099"/>
    <w:rsid w:val="006627BF"/>
    <w:rsid w:val="00706CB7"/>
    <w:rsid w:val="00776DB0"/>
    <w:rsid w:val="007F2B2D"/>
    <w:rsid w:val="008015B6"/>
    <w:rsid w:val="00830855"/>
    <w:rsid w:val="008D189F"/>
    <w:rsid w:val="008D43B9"/>
    <w:rsid w:val="00921480"/>
    <w:rsid w:val="00A164FE"/>
    <w:rsid w:val="00A577BE"/>
    <w:rsid w:val="00AB6F47"/>
    <w:rsid w:val="00B91918"/>
    <w:rsid w:val="00B919BB"/>
    <w:rsid w:val="00BC0A27"/>
    <w:rsid w:val="00C0207B"/>
    <w:rsid w:val="00C069E5"/>
    <w:rsid w:val="00C938B5"/>
    <w:rsid w:val="00CC30B7"/>
    <w:rsid w:val="00CF1124"/>
    <w:rsid w:val="00D11656"/>
    <w:rsid w:val="00DF46E0"/>
    <w:rsid w:val="00EB1317"/>
    <w:rsid w:val="00F12F7A"/>
    <w:rsid w:val="00F42843"/>
    <w:rsid w:val="00F524C1"/>
    <w:rsid w:val="00F906B6"/>
    <w:rsid w:val="00FB521E"/>
    <w:rsid w:val="00FB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B7"/>
    <w:pPr>
      <w:ind w:left="720"/>
      <w:contextualSpacing/>
    </w:pPr>
  </w:style>
  <w:style w:type="paragraph" w:styleId="Header">
    <w:name w:val="header"/>
    <w:basedOn w:val="Normal"/>
    <w:link w:val="HeaderChar"/>
    <w:uiPriority w:val="99"/>
    <w:unhideWhenUsed/>
    <w:rsid w:val="0064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391"/>
  </w:style>
  <w:style w:type="paragraph" w:styleId="Footer">
    <w:name w:val="footer"/>
    <w:basedOn w:val="Normal"/>
    <w:link w:val="FooterChar"/>
    <w:uiPriority w:val="99"/>
    <w:semiHidden/>
    <w:unhideWhenUsed/>
    <w:rsid w:val="006413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mercy.mweembe</dc:creator>
  <cp:lastModifiedBy>mercy.mweembe</cp:lastModifiedBy>
  <cp:revision>21</cp:revision>
  <cp:lastPrinted>2015-05-11T13:48:00Z</cp:lastPrinted>
  <dcterms:created xsi:type="dcterms:W3CDTF">2015-05-08T12:17:00Z</dcterms:created>
  <dcterms:modified xsi:type="dcterms:W3CDTF">2015-05-11T14:05:00Z</dcterms:modified>
</cp:coreProperties>
</file>