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89D" w:rsidRPr="00EB69BF" w:rsidRDefault="00EB69BF" w:rsidP="007A3423">
      <w:pPr>
        <w:spacing w:line="360" w:lineRule="auto"/>
        <w:jc w:val="both"/>
        <w:rPr>
          <w:rFonts w:ascii="Bookman Old Style" w:hAnsi="Bookman Old Style"/>
          <w:b/>
        </w:rPr>
      </w:pPr>
      <w:bookmarkStart w:id="0" w:name="_GoBack"/>
      <w:bookmarkEnd w:id="0"/>
      <w:r w:rsidRPr="00EB69BF">
        <w:rPr>
          <w:rFonts w:ascii="Bookman Old Style" w:hAnsi="Bookman Old Style"/>
          <w:b/>
        </w:rPr>
        <w:t>I</w:t>
      </w:r>
      <w:r>
        <w:rPr>
          <w:rFonts w:ascii="Bookman Old Style" w:hAnsi="Bookman Old Style"/>
          <w:b/>
        </w:rPr>
        <w:t>N THE HIGH COURT FOR ZAMBIA</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sidRPr="00EB69BF">
        <w:rPr>
          <w:rFonts w:ascii="Bookman Old Style" w:hAnsi="Bookman Old Style"/>
          <w:b/>
        </w:rPr>
        <w:t>2015/HPC/0040</w:t>
      </w:r>
    </w:p>
    <w:p w:rsidR="00EB69BF" w:rsidRPr="00EB69BF" w:rsidRDefault="00EB69BF" w:rsidP="007A3423">
      <w:pPr>
        <w:spacing w:line="360" w:lineRule="auto"/>
        <w:jc w:val="both"/>
        <w:rPr>
          <w:rFonts w:ascii="Bookman Old Style" w:hAnsi="Bookman Old Style"/>
          <w:b/>
        </w:rPr>
      </w:pPr>
      <w:r w:rsidRPr="00EB69BF">
        <w:rPr>
          <w:rFonts w:ascii="Bookman Old Style" w:hAnsi="Bookman Old Style"/>
          <w:b/>
        </w:rPr>
        <w:t>AT THE COMMERCIAL REGISTRY</w:t>
      </w:r>
    </w:p>
    <w:p w:rsidR="00EB69BF" w:rsidRPr="00EB69BF" w:rsidRDefault="00EB69BF" w:rsidP="007A3423">
      <w:pPr>
        <w:spacing w:line="360" w:lineRule="auto"/>
        <w:jc w:val="both"/>
        <w:rPr>
          <w:rFonts w:ascii="Bookman Old Style" w:hAnsi="Bookman Old Style"/>
          <w:b/>
        </w:rPr>
      </w:pPr>
      <w:r w:rsidRPr="00EB69BF">
        <w:rPr>
          <w:rFonts w:ascii="Bookman Old Style" w:hAnsi="Bookman Old Style"/>
          <w:b/>
        </w:rPr>
        <w:t>AT LUSAKA</w:t>
      </w:r>
    </w:p>
    <w:p w:rsidR="00EB69BF" w:rsidRPr="00EB69BF" w:rsidRDefault="00EB69BF" w:rsidP="007A3423">
      <w:pPr>
        <w:spacing w:line="360" w:lineRule="auto"/>
        <w:jc w:val="both"/>
        <w:rPr>
          <w:rFonts w:ascii="Bookman Old Style" w:hAnsi="Bookman Old Style"/>
        </w:rPr>
      </w:pPr>
      <w:r w:rsidRPr="00EB69BF">
        <w:rPr>
          <w:rFonts w:ascii="Bookman Old Style" w:hAnsi="Bookman Old Style"/>
        </w:rPr>
        <w:t>(Civil Jurisdiction)</w:t>
      </w:r>
    </w:p>
    <w:p w:rsidR="00EB69BF" w:rsidRPr="00EB69BF" w:rsidRDefault="00EB69BF" w:rsidP="007A3423">
      <w:pPr>
        <w:spacing w:line="360" w:lineRule="auto"/>
        <w:jc w:val="both"/>
        <w:rPr>
          <w:rFonts w:ascii="Bookman Old Style" w:hAnsi="Bookman Old Style"/>
        </w:rPr>
      </w:pPr>
      <w:r w:rsidRPr="00EB69BF">
        <w:rPr>
          <w:rFonts w:ascii="Bookman Old Style" w:hAnsi="Bookman Old Style"/>
        </w:rPr>
        <w:t>BETWEEN:</w:t>
      </w:r>
    </w:p>
    <w:p w:rsidR="00EB69BF" w:rsidRPr="00EB69BF" w:rsidRDefault="007A3423" w:rsidP="007A3423">
      <w:pPr>
        <w:spacing w:line="360" w:lineRule="auto"/>
        <w:ind w:firstLine="720"/>
        <w:jc w:val="both"/>
        <w:rPr>
          <w:rFonts w:ascii="Bookman Old Style" w:hAnsi="Bookman Old Style"/>
          <w:b/>
        </w:rPr>
      </w:pPr>
      <w:r>
        <w:rPr>
          <w:rFonts w:ascii="Bookman Old Style" w:hAnsi="Bookman Old Style"/>
          <w:b/>
        </w:rPr>
        <w:t>JOHN KAKUNGU KAITE</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sidR="00EB69BF" w:rsidRPr="00EB69BF">
        <w:rPr>
          <w:rFonts w:ascii="Bookman Old Style" w:hAnsi="Bookman Old Style"/>
          <w:b/>
        </w:rPr>
        <w:t>PLAINTIFF</w:t>
      </w:r>
    </w:p>
    <w:p w:rsidR="00EB69BF" w:rsidRPr="00EB69BF" w:rsidRDefault="00EB69BF" w:rsidP="007A3423">
      <w:pPr>
        <w:ind w:firstLine="720"/>
        <w:jc w:val="both"/>
        <w:rPr>
          <w:rFonts w:ascii="Bookman Old Style" w:hAnsi="Bookman Old Style"/>
          <w:b/>
        </w:rPr>
      </w:pPr>
      <w:r w:rsidRPr="00EB69BF">
        <w:rPr>
          <w:rFonts w:ascii="Bookman Old Style" w:hAnsi="Bookman Old Style"/>
          <w:b/>
        </w:rPr>
        <w:t>AND</w:t>
      </w:r>
    </w:p>
    <w:p w:rsidR="00EB69BF" w:rsidRPr="00EB69BF" w:rsidRDefault="00EB69BF" w:rsidP="007A3423">
      <w:pPr>
        <w:spacing w:after="0" w:line="240" w:lineRule="auto"/>
        <w:ind w:firstLine="720"/>
        <w:jc w:val="both"/>
        <w:rPr>
          <w:rFonts w:ascii="Bookman Old Style" w:hAnsi="Bookman Old Style"/>
          <w:i/>
        </w:rPr>
      </w:pPr>
      <w:r w:rsidRPr="00EB69BF">
        <w:rPr>
          <w:rFonts w:ascii="Bookman Old Style" w:hAnsi="Bookman Old Style"/>
          <w:b/>
        </w:rPr>
        <w:t xml:space="preserve">CHARITY MALAMA </w:t>
      </w:r>
      <w:r w:rsidRPr="00EB69BF">
        <w:rPr>
          <w:rFonts w:ascii="Bookman Old Style" w:hAnsi="Bookman Old Style"/>
          <w:i/>
        </w:rPr>
        <w:t>(Administrator of the estate</w:t>
      </w:r>
      <w:r w:rsidR="007A3423">
        <w:rPr>
          <w:rFonts w:ascii="Bookman Old Style" w:hAnsi="Bookman Old Style"/>
          <w:i/>
        </w:rPr>
        <w:tab/>
      </w:r>
      <w:r w:rsidRPr="00EB69BF">
        <w:rPr>
          <w:rFonts w:ascii="Bookman Old Style" w:hAnsi="Bookman Old Style"/>
          <w:b/>
        </w:rPr>
        <w:t>1</w:t>
      </w:r>
      <w:r w:rsidRPr="00EB69BF">
        <w:rPr>
          <w:rFonts w:ascii="Bookman Old Style" w:hAnsi="Bookman Old Style"/>
          <w:b/>
          <w:vertAlign w:val="superscript"/>
        </w:rPr>
        <w:t>ST</w:t>
      </w:r>
      <w:r w:rsidRPr="00EB69BF">
        <w:rPr>
          <w:rFonts w:ascii="Bookman Old Style" w:hAnsi="Bookman Old Style"/>
          <w:b/>
        </w:rPr>
        <w:t xml:space="preserve"> DEFENDANT</w:t>
      </w:r>
      <w:r>
        <w:rPr>
          <w:rFonts w:ascii="Bookman Old Style" w:hAnsi="Bookman Old Style"/>
          <w:i/>
        </w:rPr>
        <w:tab/>
      </w:r>
      <w:r>
        <w:rPr>
          <w:rFonts w:ascii="Bookman Old Style" w:hAnsi="Bookman Old Style"/>
          <w:i/>
        </w:rPr>
        <w:tab/>
      </w:r>
    </w:p>
    <w:p w:rsidR="00EB69BF" w:rsidRDefault="00EB69BF" w:rsidP="007A3423">
      <w:pPr>
        <w:spacing w:line="240" w:lineRule="auto"/>
        <w:ind w:firstLine="720"/>
        <w:jc w:val="both"/>
        <w:rPr>
          <w:rFonts w:ascii="Bookman Old Style" w:hAnsi="Bookman Old Style"/>
          <w:i/>
        </w:rPr>
      </w:pPr>
      <w:r w:rsidRPr="00EB69BF">
        <w:rPr>
          <w:rFonts w:ascii="Bookman Old Style" w:hAnsi="Bookman Old Style"/>
          <w:i/>
        </w:rPr>
        <w:t xml:space="preserve">of </w:t>
      </w:r>
      <w:r>
        <w:rPr>
          <w:rFonts w:ascii="Bookman Old Style" w:hAnsi="Bookman Old Style"/>
          <w:i/>
        </w:rPr>
        <w:t>the late George Mukaya</w:t>
      </w:r>
      <w:r w:rsidRPr="00EB69BF">
        <w:rPr>
          <w:rFonts w:ascii="Bookman Old Style" w:hAnsi="Bookman Old Style"/>
          <w:i/>
        </w:rPr>
        <w:t>)</w:t>
      </w:r>
    </w:p>
    <w:p w:rsidR="007A3423" w:rsidRDefault="00EB69BF" w:rsidP="007A3423">
      <w:pPr>
        <w:spacing w:line="240" w:lineRule="auto"/>
        <w:ind w:firstLine="720"/>
        <w:jc w:val="both"/>
        <w:rPr>
          <w:rFonts w:ascii="Bookman Old Style" w:hAnsi="Bookman Old Style"/>
          <w:i/>
        </w:rPr>
      </w:pPr>
      <w:r w:rsidRPr="007A3423">
        <w:rPr>
          <w:rFonts w:ascii="Bookman Old Style" w:hAnsi="Bookman Old Style"/>
          <w:b/>
        </w:rPr>
        <w:t>SAWYERS KATENGU</w:t>
      </w:r>
      <w:r>
        <w:rPr>
          <w:rFonts w:ascii="Bookman Old Style" w:hAnsi="Bookman Old Style"/>
          <w:i/>
        </w:rPr>
        <w:t xml:space="preserve"> (Administrator of the</w:t>
      </w:r>
      <w:r w:rsidR="007A3423">
        <w:rPr>
          <w:rFonts w:ascii="Bookman Old Style" w:hAnsi="Bookman Old Style"/>
          <w:i/>
        </w:rPr>
        <w:tab/>
      </w:r>
      <w:r w:rsidR="007A3423">
        <w:rPr>
          <w:rFonts w:ascii="Bookman Old Style" w:hAnsi="Bookman Old Style"/>
          <w:i/>
        </w:rPr>
        <w:tab/>
      </w:r>
      <w:r w:rsidR="007A3423" w:rsidRPr="007A3423">
        <w:rPr>
          <w:rFonts w:ascii="Bookman Old Style" w:hAnsi="Bookman Old Style"/>
          <w:b/>
        </w:rPr>
        <w:t>2</w:t>
      </w:r>
      <w:r w:rsidR="007A3423" w:rsidRPr="007A3423">
        <w:rPr>
          <w:rFonts w:ascii="Bookman Old Style" w:hAnsi="Bookman Old Style"/>
          <w:b/>
          <w:vertAlign w:val="superscript"/>
        </w:rPr>
        <w:t>ND</w:t>
      </w:r>
      <w:r w:rsidR="007A3423" w:rsidRPr="007A3423">
        <w:rPr>
          <w:rFonts w:ascii="Bookman Old Style" w:hAnsi="Bookman Old Style"/>
          <w:b/>
        </w:rPr>
        <w:t xml:space="preserve"> DEFENDANT</w:t>
      </w:r>
      <w:r>
        <w:rPr>
          <w:rFonts w:ascii="Bookman Old Style" w:hAnsi="Bookman Old Style"/>
          <w:i/>
        </w:rPr>
        <w:t xml:space="preserve"> </w:t>
      </w:r>
    </w:p>
    <w:p w:rsidR="00EB69BF" w:rsidRDefault="007A3423" w:rsidP="007A3423">
      <w:pPr>
        <w:spacing w:line="240" w:lineRule="auto"/>
        <w:ind w:firstLine="720"/>
        <w:jc w:val="both"/>
        <w:rPr>
          <w:rFonts w:ascii="Bookman Old Style" w:hAnsi="Bookman Old Style"/>
          <w:i/>
        </w:rPr>
      </w:pPr>
      <w:r>
        <w:rPr>
          <w:rFonts w:ascii="Bookman Old Style" w:hAnsi="Bookman Old Style"/>
          <w:i/>
        </w:rPr>
        <w:t>estate</w:t>
      </w:r>
      <w:r>
        <w:rPr>
          <w:rFonts w:ascii="Bookman Old Style" w:hAnsi="Bookman Old Style"/>
          <w:i/>
        </w:rPr>
        <w:tab/>
      </w:r>
      <w:r w:rsidR="00EB69BF">
        <w:rPr>
          <w:rFonts w:ascii="Bookman Old Style" w:hAnsi="Bookman Old Style"/>
          <w:i/>
        </w:rPr>
        <w:t>o</w:t>
      </w:r>
      <w:r w:rsidR="00EB69BF" w:rsidRPr="00EB69BF">
        <w:rPr>
          <w:rFonts w:ascii="Bookman Old Style" w:hAnsi="Bookman Old Style"/>
          <w:i/>
        </w:rPr>
        <w:t>f the late George Mukaya</w:t>
      </w:r>
    </w:p>
    <w:p w:rsidR="005222F5" w:rsidRDefault="005222F5" w:rsidP="005222F5">
      <w:pPr>
        <w:spacing w:line="240" w:lineRule="auto"/>
        <w:jc w:val="both"/>
        <w:rPr>
          <w:rFonts w:ascii="Bookman Old Style" w:hAnsi="Bookman Old Style"/>
          <w:b/>
        </w:rPr>
      </w:pPr>
    </w:p>
    <w:p w:rsidR="005222F5" w:rsidRPr="006A734C" w:rsidRDefault="005222F5" w:rsidP="005222F5">
      <w:pPr>
        <w:spacing w:line="240" w:lineRule="auto"/>
        <w:jc w:val="both"/>
        <w:rPr>
          <w:rFonts w:ascii="Bookman Old Style" w:hAnsi="Bookman Old Style"/>
          <w:b/>
          <w:sz w:val="24"/>
          <w:szCs w:val="24"/>
        </w:rPr>
      </w:pPr>
      <w:r w:rsidRPr="006A734C">
        <w:rPr>
          <w:rFonts w:ascii="Bookman Old Style" w:hAnsi="Bookman Old Style"/>
          <w:b/>
          <w:sz w:val="24"/>
          <w:szCs w:val="24"/>
        </w:rPr>
        <w:t>BEFORE HON. MR. JUSTICE NIGEL K. MUTUNA ON THE</w:t>
      </w:r>
      <w:r w:rsidR="003D5CBE">
        <w:rPr>
          <w:rFonts w:ascii="Bookman Old Style" w:hAnsi="Bookman Old Style"/>
          <w:b/>
          <w:sz w:val="24"/>
          <w:szCs w:val="24"/>
        </w:rPr>
        <w:t xml:space="preserve"> 23</w:t>
      </w:r>
      <w:r w:rsidR="003D5CBE" w:rsidRPr="003578BF">
        <w:rPr>
          <w:rFonts w:ascii="Bookman Old Style" w:hAnsi="Bookman Old Style"/>
          <w:b/>
          <w:sz w:val="24"/>
          <w:szCs w:val="24"/>
          <w:vertAlign w:val="superscript"/>
        </w:rPr>
        <w:t>RD</w:t>
      </w:r>
      <w:r w:rsidR="003D5CBE">
        <w:rPr>
          <w:rFonts w:ascii="Bookman Old Style" w:hAnsi="Bookman Old Style"/>
          <w:b/>
          <w:sz w:val="24"/>
          <w:szCs w:val="24"/>
        </w:rPr>
        <w:t xml:space="preserve"> </w:t>
      </w:r>
      <w:r w:rsidR="003D5CBE" w:rsidRPr="006A734C">
        <w:rPr>
          <w:rFonts w:ascii="Bookman Old Style" w:hAnsi="Bookman Old Style"/>
          <w:b/>
          <w:sz w:val="24"/>
          <w:szCs w:val="24"/>
        </w:rPr>
        <w:t>DAY</w:t>
      </w:r>
      <w:r w:rsidRPr="006A734C">
        <w:rPr>
          <w:rFonts w:ascii="Bookman Old Style" w:hAnsi="Bookman Old Style"/>
          <w:b/>
          <w:sz w:val="24"/>
          <w:szCs w:val="24"/>
        </w:rPr>
        <w:t xml:space="preserve"> OF JUNE 2015</w:t>
      </w:r>
    </w:p>
    <w:p w:rsidR="005222F5" w:rsidRPr="006A734C" w:rsidRDefault="005222F5" w:rsidP="005222F5">
      <w:pPr>
        <w:spacing w:line="240" w:lineRule="auto"/>
        <w:ind w:left="2160" w:hanging="2160"/>
        <w:jc w:val="both"/>
        <w:rPr>
          <w:rFonts w:ascii="Bookman Old Style" w:hAnsi="Bookman Old Style"/>
          <w:b/>
          <w:sz w:val="24"/>
          <w:szCs w:val="24"/>
        </w:rPr>
      </w:pPr>
      <w:r w:rsidRPr="006A734C">
        <w:rPr>
          <w:rFonts w:ascii="Bookman Old Style" w:hAnsi="Bookman Old Style"/>
          <w:b/>
          <w:sz w:val="24"/>
          <w:szCs w:val="24"/>
        </w:rPr>
        <w:t>For the Plaintiff</w:t>
      </w:r>
      <w:r w:rsidRPr="006A734C">
        <w:rPr>
          <w:rFonts w:ascii="Bookman Old Style" w:hAnsi="Bookman Old Style"/>
          <w:b/>
          <w:sz w:val="24"/>
          <w:szCs w:val="24"/>
        </w:rPr>
        <w:tab/>
      </w:r>
      <w:r w:rsidRPr="006A734C">
        <w:rPr>
          <w:rFonts w:ascii="Bookman Old Style" w:hAnsi="Bookman Old Style"/>
          <w:b/>
          <w:sz w:val="24"/>
          <w:szCs w:val="24"/>
        </w:rPr>
        <w:tab/>
      </w:r>
      <w:r w:rsidRPr="006A734C">
        <w:rPr>
          <w:rFonts w:ascii="Bookman Old Style" w:hAnsi="Bookman Old Style"/>
          <w:b/>
          <w:sz w:val="24"/>
          <w:szCs w:val="24"/>
        </w:rPr>
        <w:tab/>
      </w:r>
      <w:r w:rsidR="006A734C">
        <w:rPr>
          <w:rFonts w:ascii="Bookman Old Style" w:hAnsi="Bookman Old Style"/>
          <w:b/>
          <w:sz w:val="24"/>
          <w:szCs w:val="24"/>
        </w:rPr>
        <w:t>:</w:t>
      </w:r>
      <w:r w:rsidR="006A734C">
        <w:rPr>
          <w:rFonts w:ascii="Bookman Old Style" w:hAnsi="Bookman Old Style"/>
          <w:b/>
          <w:sz w:val="24"/>
          <w:szCs w:val="24"/>
        </w:rPr>
        <w:tab/>
        <w:t>Mr. Mbambara</w:t>
      </w:r>
      <w:r w:rsidR="003578BF">
        <w:rPr>
          <w:rFonts w:ascii="Bookman Old Style" w:hAnsi="Bookman Old Style"/>
          <w:b/>
          <w:sz w:val="24"/>
          <w:szCs w:val="24"/>
        </w:rPr>
        <w:t>,</w:t>
      </w:r>
      <w:r w:rsidRPr="006A734C">
        <w:rPr>
          <w:rFonts w:ascii="Bookman Old Style" w:hAnsi="Bookman Old Style"/>
          <w:b/>
          <w:sz w:val="24"/>
          <w:szCs w:val="24"/>
        </w:rPr>
        <w:t xml:space="preserve"> agent for Messrs John </w:t>
      </w:r>
    </w:p>
    <w:p w:rsidR="005222F5" w:rsidRDefault="005222F5" w:rsidP="005222F5">
      <w:pPr>
        <w:spacing w:line="240" w:lineRule="auto"/>
        <w:ind w:left="2160" w:hanging="2160"/>
        <w:jc w:val="both"/>
        <w:rPr>
          <w:rFonts w:ascii="Bookman Old Style" w:hAnsi="Bookman Old Style"/>
          <w:b/>
          <w:sz w:val="24"/>
          <w:szCs w:val="24"/>
        </w:rPr>
      </w:pPr>
      <w:r w:rsidRPr="006A734C">
        <w:rPr>
          <w:rFonts w:ascii="Bookman Old Style" w:hAnsi="Bookman Old Style"/>
          <w:b/>
          <w:sz w:val="24"/>
          <w:szCs w:val="24"/>
        </w:rPr>
        <w:tab/>
      </w:r>
      <w:r w:rsidRPr="006A734C">
        <w:rPr>
          <w:rFonts w:ascii="Bookman Old Style" w:hAnsi="Bookman Old Style"/>
          <w:b/>
          <w:sz w:val="24"/>
          <w:szCs w:val="24"/>
        </w:rPr>
        <w:tab/>
      </w:r>
      <w:r w:rsidRPr="006A734C">
        <w:rPr>
          <w:rFonts w:ascii="Bookman Old Style" w:hAnsi="Bookman Old Style"/>
          <w:b/>
          <w:sz w:val="24"/>
          <w:szCs w:val="24"/>
        </w:rPr>
        <w:tab/>
      </w:r>
      <w:r w:rsidRPr="006A734C">
        <w:rPr>
          <w:rFonts w:ascii="Bookman Old Style" w:hAnsi="Bookman Old Style"/>
          <w:b/>
          <w:sz w:val="24"/>
          <w:szCs w:val="24"/>
        </w:rPr>
        <w:tab/>
        <w:t xml:space="preserve">Kaite Legal Practitioners </w:t>
      </w:r>
    </w:p>
    <w:p w:rsidR="001D110B" w:rsidRPr="006A734C" w:rsidRDefault="001D110B" w:rsidP="005222F5">
      <w:pPr>
        <w:spacing w:line="240" w:lineRule="auto"/>
        <w:ind w:left="2160" w:hanging="2160"/>
        <w:jc w:val="both"/>
        <w:rPr>
          <w:rFonts w:ascii="Bookman Old Style" w:hAnsi="Bookman Old Style"/>
          <w:b/>
          <w:sz w:val="24"/>
          <w:szCs w:val="24"/>
        </w:rPr>
      </w:pPr>
      <w:r>
        <w:rPr>
          <w:rFonts w:ascii="Bookman Old Style" w:hAnsi="Bookman Old Style"/>
          <w:b/>
          <w:sz w:val="24"/>
          <w:szCs w:val="24"/>
        </w:rPr>
        <w:t>For the First Defendant</w:t>
      </w:r>
      <w:r>
        <w:rPr>
          <w:rFonts w:ascii="Bookman Old Style" w:hAnsi="Bookman Old Style"/>
          <w:b/>
          <w:sz w:val="24"/>
          <w:szCs w:val="24"/>
        </w:rPr>
        <w:tab/>
        <w:t>:</w:t>
      </w:r>
      <w:r>
        <w:rPr>
          <w:rFonts w:ascii="Bookman Old Style" w:hAnsi="Bookman Old Style"/>
          <w:b/>
          <w:sz w:val="24"/>
          <w:szCs w:val="24"/>
        </w:rPr>
        <w:tab/>
        <w:t>N/A</w:t>
      </w:r>
    </w:p>
    <w:p w:rsidR="005222F5" w:rsidRPr="006A734C" w:rsidRDefault="005222F5" w:rsidP="005222F5">
      <w:pPr>
        <w:spacing w:line="240" w:lineRule="auto"/>
        <w:ind w:left="2160" w:hanging="2160"/>
        <w:jc w:val="both"/>
        <w:rPr>
          <w:rFonts w:ascii="Bookman Old Style" w:hAnsi="Bookman Old Style"/>
          <w:b/>
          <w:sz w:val="24"/>
          <w:szCs w:val="24"/>
        </w:rPr>
      </w:pPr>
      <w:r w:rsidRPr="006A734C">
        <w:rPr>
          <w:rFonts w:ascii="Bookman Old Style" w:hAnsi="Bookman Old Style"/>
          <w:b/>
          <w:sz w:val="24"/>
          <w:szCs w:val="24"/>
        </w:rPr>
        <w:tab/>
      </w:r>
      <w:r w:rsidRPr="006A734C">
        <w:rPr>
          <w:rFonts w:ascii="Bookman Old Style" w:hAnsi="Bookman Old Style"/>
          <w:b/>
          <w:sz w:val="24"/>
          <w:szCs w:val="24"/>
        </w:rPr>
        <w:tab/>
      </w:r>
      <w:r w:rsidRPr="006A734C">
        <w:rPr>
          <w:rFonts w:ascii="Bookman Old Style" w:hAnsi="Bookman Old Style"/>
          <w:b/>
          <w:sz w:val="24"/>
          <w:szCs w:val="24"/>
        </w:rPr>
        <w:tab/>
      </w:r>
    </w:p>
    <w:p w:rsidR="005222F5" w:rsidRPr="006A734C" w:rsidRDefault="005222F5" w:rsidP="005222F5">
      <w:pPr>
        <w:spacing w:line="240" w:lineRule="auto"/>
        <w:jc w:val="both"/>
        <w:rPr>
          <w:rFonts w:ascii="Bookman Old Style" w:hAnsi="Bookman Old Style"/>
          <w:b/>
          <w:sz w:val="24"/>
          <w:szCs w:val="24"/>
        </w:rPr>
      </w:pPr>
      <w:r w:rsidRPr="006A734C">
        <w:rPr>
          <w:rFonts w:ascii="Bookman Old Style" w:hAnsi="Bookman Old Style"/>
          <w:b/>
          <w:sz w:val="24"/>
          <w:szCs w:val="24"/>
        </w:rPr>
        <w:t>For the Second Defendant</w:t>
      </w:r>
      <w:r w:rsidRPr="006A734C">
        <w:rPr>
          <w:rFonts w:ascii="Bookman Old Style" w:hAnsi="Bookman Old Style"/>
          <w:b/>
          <w:sz w:val="24"/>
          <w:szCs w:val="24"/>
        </w:rPr>
        <w:tab/>
        <w:t>:</w:t>
      </w:r>
      <w:r w:rsidRPr="006A734C">
        <w:rPr>
          <w:rFonts w:ascii="Bookman Old Style" w:hAnsi="Bookman Old Style"/>
          <w:b/>
          <w:sz w:val="24"/>
          <w:szCs w:val="24"/>
        </w:rPr>
        <w:tab/>
        <w:t>Ms M. Kalela, Legal Aid Board</w:t>
      </w:r>
    </w:p>
    <w:p w:rsidR="00E03B88" w:rsidRPr="00E03B88" w:rsidRDefault="00E03B88" w:rsidP="007A3423">
      <w:pPr>
        <w:pBdr>
          <w:top w:val="single" w:sz="12" w:space="1" w:color="auto"/>
          <w:bottom w:val="single" w:sz="12" w:space="1" w:color="auto"/>
        </w:pBdr>
        <w:spacing w:line="480" w:lineRule="auto"/>
        <w:jc w:val="center"/>
        <w:rPr>
          <w:rFonts w:ascii="Bookman Old Style" w:hAnsi="Bookman Old Style"/>
          <w:b/>
          <w:sz w:val="28"/>
          <w:szCs w:val="28"/>
        </w:rPr>
      </w:pPr>
      <w:r w:rsidRPr="00E03B88">
        <w:rPr>
          <w:rFonts w:ascii="Bookman Old Style" w:hAnsi="Bookman Old Style"/>
          <w:b/>
          <w:sz w:val="28"/>
          <w:szCs w:val="28"/>
        </w:rPr>
        <w:t>R</w:t>
      </w:r>
      <w:r>
        <w:rPr>
          <w:rFonts w:ascii="Bookman Old Style" w:hAnsi="Bookman Old Style"/>
          <w:b/>
          <w:sz w:val="28"/>
          <w:szCs w:val="28"/>
        </w:rPr>
        <w:t xml:space="preserve"> </w:t>
      </w:r>
      <w:r w:rsidRPr="00E03B88">
        <w:rPr>
          <w:rFonts w:ascii="Bookman Old Style" w:hAnsi="Bookman Old Style"/>
          <w:b/>
          <w:sz w:val="28"/>
          <w:szCs w:val="28"/>
        </w:rPr>
        <w:t>U</w:t>
      </w:r>
      <w:r>
        <w:rPr>
          <w:rFonts w:ascii="Bookman Old Style" w:hAnsi="Bookman Old Style"/>
          <w:b/>
          <w:sz w:val="28"/>
          <w:szCs w:val="28"/>
        </w:rPr>
        <w:t xml:space="preserve"> </w:t>
      </w:r>
      <w:r w:rsidRPr="00E03B88">
        <w:rPr>
          <w:rFonts w:ascii="Bookman Old Style" w:hAnsi="Bookman Old Style"/>
          <w:b/>
          <w:sz w:val="28"/>
          <w:szCs w:val="28"/>
        </w:rPr>
        <w:t>L</w:t>
      </w:r>
      <w:r>
        <w:rPr>
          <w:rFonts w:ascii="Bookman Old Style" w:hAnsi="Bookman Old Style"/>
          <w:b/>
          <w:sz w:val="28"/>
          <w:szCs w:val="28"/>
        </w:rPr>
        <w:t xml:space="preserve"> </w:t>
      </w:r>
      <w:r w:rsidRPr="00E03B88">
        <w:rPr>
          <w:rFonts w:ascii="Bookman Old Style" w:hAnsi="Bookman Old Style"/>
          <w:b/>
          <w:sz w:val="28"/>
          <w:szCs w:val="28"/>
        </w:rPr>
        <w:t>I</w:t>
      </w:r>
      <w:r>
        <w:rPr>
          <w:rFonts w:ascii="Bookman Old Style" w:hAnsi="Bookman Old Style"/>
          <w:b/>
          <w:sz w:val="28"/>
          <w:szCs w:val="28"/>
        </w:rPr>
        <w:t xml:space="preserve"> </w:t>
      </w:r>
      <w:r w:rsidRPr="00E03B88">
        <w:rPr>
          <w:rFonts w:ascii="Bookman Old Style" w:hAnsi="Bookman Old Style"/>
          <w:b/>
          <w:sz w:val="28"/>
          <w:szCs w:val="28"/>
        </w:rPr>
        <w:t>N</w:t>
      </w:r>
      <w:r>
        <w:rPr>
          <w:rFonts w:ascii="Bookman Old Style" w:hAnsi="Bookman Old Style"/>
          <w:b/>
          <w:sz w:val="28"/>
          <w:szCs w:val="28"/>
        </w:rPr>
        <w:t xml:space="preserve"> </w:t>
      </w:r>
      <w:r w:rsidRPr="00E03B88">
        <w:rPr>
          <w:rFonts w:ascii="Bookman Old Style" w:hAnsi="Bookman Old Style"/>
          <w:b/>
          <w:sz w:val="28"/>
          <w:szCs w:val="28"/>
        </w:rPr>
        <w:t>G</w:t>
      </w:r>
    </w:p>
    <w:p w:rsidR="00E03B88" w:rsidRPr="003076F9" w:rsidRDefault="003076F9" w:rsidP="007A3423">
      <w:pPr>
        <w:spacing w:line="360" w:lineRule="auto"/>
        <w:jc w:val="both"/>
        <w:rPr>
          <w:rFonts w:ascii="Bookman Old Style" w:hAnsi="Bookman Old Style"/>
          <w:b/>
          <w:sz w:val="24"/>
          <w:szCs w:val="24"/>
        </w:rPr>
      </w:pPr>
      <w:r w:rsidRPr="003076F9">
        <w:rPr>
          <w:rFonts w:ascii="Bookman Old Style" w:hAnsi="Bookman Old Style"/>
          <w:b/>
          <w:sz w:val="24"/>
          <w:szCs w:val="24"/>
        </w:rPr>
        <w:t>Authorities referred to:</w:t>
      </w:r>
    </w:p>
    <w:p w:rsidR="003076F9" w:rsidRPr="003076F9" w:rsidRDefault="003076F9" w:rsidP="007A3423">
      <w:pPr>
        <w:pStyle w:val="ListParagraph"/>
        <w:numPr>
          <w:ilvl w:val="0"/>
          <w:numId w:val="2"/>
        </w:numPr>
        <w:spacing w:line="360" w:lineRule="auto"/>
        <w:jc w:val="both"/>
        <w:rPr>
          <w:rFonts w:ascii="Bookman Old Style" w:hAnsi="Bookman Old Style"/>
          <w:i/>
          <w:sz w:val="24"/>
          <w:szCs w:val="24"/>
        </w:rPr>
      </w:pPr>
      <w:r w:rsidRPr="003076F9">
        <w:rPr>
          <w:rFonts w:ascii="Bookman Old Style" w:hAnsi="Bookman Old Style"/>
          <w:i/>
          <w:sz w:val="24"/>
          <w:szCs w:val="24"/>
        </w:rPr>
        <w:t>High Court Act, Cap 27</w:t>
      </w:r>
    </w:p>
    <w:p w:rsidR="003076F9" w:rsidRPr="003076F9" w:rsidRDefault="003076F9" w:rsidP="007A3423">
      <w:pPr>
        <w:pStyle w:val="ListParagraph"/>
        <w:numPr>
          <w:ilvl w:val="0"/>
          <w:numId w:val="2"/>
        </w:numPr>
        <w:spacing w:line="360" w:lineRule="auto"/>
        <w:jc w:val="both"/>
        <w:rPr>
          <w:rFonts w:ascii="Bookman Old Style" w:hAnsi="Bookman Old Style"/>
          <w:i/>
          <w:sz w:val="24"/>
          <w:szCs w:val="24"/>
        </w:rPr>
      </w:pPr>
      <w:r w:rsidRPr="003076F9">
        <w:rPr>
          <w:rFonts w:ascii="Bookman Old Style" w:hAnsi="Bookman Old Style"/>
          <w:i/>
          <w:sz w:val="24"/>
          <w:szCs w:val="24"/>
        </w:rPr>
        <w:t>Supreme Court Practice 1999 Vol</w:t>
      </w:r>
      <w:r w:rsidR="009100A5">
        <w:rPr>
          <w:rFonts w:ascii="Bookman Old Style" w:hAnsi="Bookman Old Style"/>
          <w:i/>
          <w:sz w:val="24"/>
          <w:szCs w:val="24"/>
        </w:rPr>
        <w:t>.</w:t>
      </w:r>
      <w:r w:rsidRPr="003076F9">
        <w:rPr>
          <w:rFonts w:ascii="Bookman Old Style" w:hAnsi="Bookman Old Style"/>
          <w:i/>
          <w:sz w:val="24"/>
          <w:szCs w:val="24"/>
        </w:rPr>
        <w:t xml:space="preserve"> 1</w:t>
      </w:r>
    </w:p>
    <w:p w:rsidR="003076F9" w:rsidRDefault="003076F9" w:rsidP="007A3423">
      <w:pPr>
        <w:spacing w:line="360" w:lineRule="auto"/>
        <w:jc w:val="both"/>
        <w:rPr>
          <w:rFonts w:ascii="Bookman Old Style" w:hAnsi="Bookman Old Style"/>
          <w:sz w:val="24"/>
          <w:szCs w:val="24"/>
        </w:rPr>
      </w:pPr>
      <w:r w:rsidRPr="003076F9">
        <w:rPr>
          <w:rFonts w:ascii="Bookman Old Style" w:hAnsi="Bookman Old Style"/>
          <w:sz w:val="24"/>
          <w:szCs w:val="24"/>
        </w:rPr>
        <w:t>This is the Plaintiff’s application for entry of judgment in default of ple</w:t>
      </w:r>
      <w:r w:rsidR="001D110B">
        <w:rPr>
          <w:rFonts w:ascii="Bookman Old Style" w:hAnsi="Bookman Old Style"/>
          <w:sz w:val="24"/>
          <w:szCs w:val="24"/>
        </w:rPr>
        <w:t>adings. It is made pursuant to O</w:t>
      </w:r>
      <w:r w:rsidRPr="003076F9">
        <w:rPr>
          <w:rFonts w:ascii="Bookman Old Style" w:hAnsi="Bookman Old Style"/>
          <w:sz w:val="24"/>
          <w:szCs w:val="24"/>
        </w:rPr>
        <w:t>rder 20 rule</w:t>
      </w:r>
      <w:r>
        <w:rPr>
          <w:rFonts w:ascii="Bookman Old Style" w:hAnsi="Bookman Old Style"/>
          <w:sz w:val="24"/>
          <w:szCs w:val="24"/>
        </w:rPr>
        <w:t xml:space="preserve"> 11</w:t>
      </w:r>
      <w:r w:rsidRPr="003076F9">
        <w:rPr>
          <w:rFonts w:ascii="Bookman Old Style" w:hAnsi="Bookman Old Style"/>
          <w:sz w:val="24"/>
          <w:szCs w:val="24"/>
        </w:rPr>
        <w:t xml:space="preserve"> of the </w:t>
      </w:r>
      <w:r w:rsidRPr="003578BF">
        <w:rPr>
          <w:rFonts w:ascii="Bookman Old Style" w:hAnsi="Bookman Old Style"/>
          <w:b/>
          <w:i/>
          <w:sz w:val="24"/>
          <w:szCs w:val="24"/>
        </w:rPr>
        <w:t>High Court Act</w:t>
      </w:r>
      <w:r w:rsidRPr="003076F9">
        <w:rPr>
          <w:rFonts w:ascii="Bookman Old Style" w:hAnsi="Bookman Old Style"/>
          <w:sz w:val="24"/>
          <w:szCs w:val="24"/>
        </w:rPr>
        <w:t>.</w:t>
      </w:r>
      <w:r>
        <w:rPr>
          <w:rFonts w:ascii="Bookman Old Style" w:hAnsi="Bookman Old Style"/>
          <w:sz w:val="24"/>
          <w:szCs w:val="24"/>
        </w:rPr>
        <w:t xml:space="preserve"> The application is supported by an affidavit sworn one John Kakungu Kaite and skelet</w:t>
      </w:r>
      <w:r w:rsidR="005222F5">
        <w:rPr>
          <w:rFonts w:ascii="Bookman Old Style" w:hAnsi="Bookman Old Style"/>
          <w:sz w:val="24"/>
          <w:szCs w:val="24"/>
        </w:rPr>
        <w:t>on argument</w:t>
      </w:r>
      <w:r w:rsidR="00BE4126">
        <w:rPr>
          <w:rFonts w:ascii="Bookman Old Style" w:hAnsi="Bookman Old Style"/>
          <w:sz w:val="24"/>
          <w:szCs w:val="24"/>
        </w:rPr>
        <w:t>s</w:t>
      </w:r>
      <w:r w:rsidR="005222F5">
        <w:rPr>
          <w:rFonts w:ascii="Bookman Old Style" w:hAnsi="Bookman Old Style"/>
          <w:sz w:val="24"/>
          <w:szCs w:val="24"/>
        </w:rPr>
        <w:t>. The Second Defendant has</w:t>
      </w:r>
      <w:r>
        <w:rPr>
          <w:rFonts w:ascii="Bookman Old Style" w:hAnsi="Bookman Old Style"/>
          <w:sz w:val="24"/>
          <w:szCs w:val="24"/>
        </w:rPr>
        <w:t xml:space="preserve"> opposed the application by</w:t>
      </w:r>
      <w:r w:rsidR="005222F5">
        <w:rPr>
          <w:rFonts w:ascii="Bookman Old Style" w:hAnsi="Bookman Old Style"/>
          <w:sz w:val="24"/>
          <w:szCs w:val="24"/>
        </w:rPr>
        <w:t xml:space="preserve"> way of an affidavit sworn by </w:t>
      </w:r>
      <w:r w:rsidR="001D110B">
        <w:rPr>
          <w:rFonts w:ascii="Bookman Old Style" w:hAnsi="Bookman Old Style"/>
          <w:sz w:val="24"/>
          <w:szCs w:val="24"/>
        </w:rPr>
        <w:t xml:space="preserve">himself </w:t>
      </w:r>
      <w:r w:rsidR="005222F5">
        <w:rPr>
          <w:rFonts w:ascii="Bookman Old Style" w:hAnsi="Bookman Old Style"/>
          <w:sz w:val="24"/>
          <w:szCs w:val="24"/>
        </w:rPr>
        <w:t>Sa</w:t>
      </w:r>
      <w:r>
        <w:rPr>
          <w:rFonts w:ascii="Bookman Old Style" w:hAnsi="Bookman Old Style"/>
          <w:sz w:val="24"/>
          <w:szCs w:val="24"/>
        </w:rPr>
        <w:t>wyer</w:t>
      </w:r>
      <w:r w:rsidR="005222F5">
        <w:rPr>
          <w:rFonts w:ascii="Bookman Old Style" w:hAnsi="Bookman Old Style"/>
          <w:sz w:val="24"/>
          <w:szCs w:val="24"/>
        </w:rPr>
        <w:t>s Katengu</w:t>
      </w:r>
      <w:r>
        <w:rPr>
          <w:rFonts w:ascii="Bookman Old Style" w:hAnsi="Bookman Old Style"/>
          <w:sz w:val="24"/>
          <w:szCs w:val="24"/>
        </w:rPr>
        <w:t>.</w:t>
      </w:r>
    </w:p>
    <w:p w:rsidR="003076F9" w:rsidRDefault="003076F9" w:rsidP="007A3423">
      <w:pPr>
        <w:spacing w:line="360" w:lineRule="auto"/>
        <w:jc w:val="both"/>
        <w:rPr>
          <w:rFonts w:ascii="Bookman Old Style" w:hAnsi="Bookman Old Style"/>
          <w:sz w:val="24"/>
          <w:szCs w:val="24"/>
        </w:rPr>
      </w:pPr>
      <w:r>
        <w:rPr>
          <w:rFonts w:ascii="Bookman Old Style" w:hAnsi="Bookman Old Style"/>
          <w:sz w:val="24"/>
          <w:szCs w:val="24"/>
        </w:rPr>
        <w:lastRenderedPageBreak/>
        <w:t>The gist of the evidence in support o</w:t>
      </w:r>
      <w:r w:rsidR="005222F5">
        <w:rPr>
          <w:rFonts w:ascii="Bookman Old Style" w:hAnsi="Bookman Old Style"/>
          <w:sz w:val="24"/>
          <w:szCs w:val="24"/>
        </w:rPr>
        <w:t>f this application is that the D</w:t>
      </w:r>
      <w:r>
        <w:rPr>
          <w:rFonts w:ascii="Bookman Old Style" w:hAnsi="Bookman Old Style"/>
          <w:sz w:val="24"/>
          <w:szCs w:val="24"/>
        </w:rPr>
        <w:t>efendants were aware of these proceedings because they were served with process. This is as is evide</w:t>
      </w:r>
      <w:r w:rsidR="003578BF">
        <w:rPr>
          <w:rFonts w:ascii="Bookman Old Style" w:hAnsi="Bookman Old Style"/>
          <w:sz w:val="24"/>
          <w:szCs w:val="24"/>
        </w:rPr>
        <w:t>nced by the affidavit of service filed herein</w:t>
      </w:r>
      <w:r>
        <w:rPr>
          <w:rFonts w:ascii="Bookman Old Style" w:hAnsi="Bookman Old Style"/>
          <w:sz w:val="24"/>
          <w:szCs w:val="24"/>
        </w:rPr>
        <w:t>. Further that notwithstanding the said service, the Defendants have failed and or neglected to file plead</w:t>
      </w:r>
      <w:r w:rsidR="005222F5">
        <w:rPr>
          <w:rFonts w:ascii="Bookman Old Style" w:hAnsi="Bookman Old Style"/>
          <w:sz w:val="24"/>
          <w:szCs w:val="24"/>
        </w:rPr>
        <w:t>ings in response to the originating</w:t>
      </w:r>
      <w:r>
        <w:rPr>
          <w:rFonts w:ascii="Bookman Old Style" w:hAnsi="Bookman Old Style"/>
          <w:sz w:val="24"/>
          <w:szCs w:val="24"/>
        </w:rPr>
        <w:t xml:space="preserve"> process.</w:t>
      </w:r>
    </w:p>
    <w:p w:rsidR="00B50F6D" w:rsidRDefault="00B50F6D" w:rsidP="007A3423">
      <w:pPr>
        <w:spacing w:line="360" w:lineRule="auto"/>
        <w:jc w:val="both"/>
        <w:rPr>
          <w:rFonts w:ascii="Bookman Old Style" w:hAnsi="Bookman Old Style"/>
          <w:sz w:val="24"/>
          <w:szCs w:val="24"/>
        </w:rPr>
      </w:pPr>
      <w:r>
        <w:rPr>
          <w:rFonts w:ascii="Bookman Old Style" w:hAnsi="Bookman Old Style"/>
          <w:sz w:val="24"/>
          <w:szCs w:val="24"/>
        </w:rPr>
        <w:t>The gist of the evidence</w:t>
      </w:r>
      <w:r w:rsidR="007A3423">
        <w:rPr>
          <w:rFonts w:ascii="Bookman Old Style" w:hAnsi="Bookman Old Style"/>
          <w:sz w:val="24"/>
          <w:szCs w:val="24"/>
        </w:rPr>
        <w:t xml:space="preserve"> </w:t>
      </w:r>
      <w:r>
        <w:rPr>
          <w:rFonts w:ascii="Bookman Old Style" w:hAnsi="Bookman Old Style"/>
          <w:sz w:val="24"/>
          <w:szCs w:val="24"/>
        </w:rPr>
        <w:t>in the affidavit in opposition was that, the Second Defendant</w:t>
      </w:r>
      <w:r w:rsidR="003578BF">
        <w:rPr>
          <w:rFonts w:ascii="Bookman Old Style" w:hAnsi="Bookman Old Style"/>
          <w:sz w:val="24"/>
          <w:szCs w:val="24"/>
        </w:rPr>
        <w:t>,</w:t>
      </w:r>
      <w:r w:rsidR="007A3423">
        <w:rPr>
          <w:rFonts w:ascii="Bookman Old Style" w:hAnsi="Bookman Old Style"/>
          <w:sz w:val="24"/>
          <w:szCs w:val="24"/>
        </w:rPr>
        <w:t xml:space="preserve"> </w:t>
      </w:r>
      <w:r>
        <w:rPr>
          <w:rFonts w:ascii="Bookman Old Style" w:hAnsi="Bookman Old Style"/>
          <w:sz w:val="24"/>
          <w:szCs w:val="24"/>
        </w:rPr>
        <w:t>despite process being</w:t>
      </w:r>
      <w:r w:rsidR="007A3423">
        <w:rPr>
          <w:rFonts w:ascii="Bookman Old Style" w:hAnsi="Bookman Old Style"/>
          <w:sz w:val="24"/>
          <w:szCs w:val="24"/>
        </w:rPr>
        <w:t xml:space="preserve"> </w:t>
      </w:r>
      <w:r>
        <w:rPr>
          <w:rFonts w:ascii="Bookman Old Style" w:hAnsi="Bookman Old Style"/>
          <w:sz w:val="24"/>
          <w:szCs w:val="24"/>
        </w:rPr>
        <w:t xml:space="preserve">served upon him did not know how to respond to the process. That he did not have enough money to enable him engage counsel from private practice. Further that, </w:t>
      </w:r>
      <w:r w:rsidR="003578BF">
        <w:rPr>
          <w:rFonts w:ascii="Bookman Old Style" w:hAnsi="Bookman Old Style"/>
          <w:sz w:val="24"/>
          <w:szCs w:val="24"/>
        </w:rPr>
        <w:t>he has since engaged Legal Aid C</w:t>
      </w:r>
      <w:r>
        <w:rPr>
          <w:rFonts w:ascii="Bookman Old Style" w:hAnsi="Bookman Old Style"/>
          <w:sz w:val="24"/>
          <w:szCs w:val="24"/>
        </w:rPr>
        <w:t>ounsel who have accordingly filed an appearance and defence on his behalf.</w:t>
      </w:r>
    </w:p>
    <w:p w:rsidR="005222F5" w:rsidRDefault="00B50F6D" w:rsidP="007A3423">
      <w:pPr>
        <w:spacing w:line="360" w:lineRule="auto"/>
        <w:jc w:val="both"/>
        <w:rPr>
          <w:rFonts w:ascii="Bookman Old Style" w:hAnsi="Bookman Old Style"/>
          <w:sz w:val="24"/>
          <w:szCs w:val="24"/>
        </w:rPr>
      </w:pPr>
      <w:r>
        <w:rPr>
          <w:rFonts w:ascii="Bookman Old Style" w:hAnsi="Bookman Old Style"/>
          <w:sz w:val="24"/>
          <w:szCs w:val="24"/>
        </w:rPr>
        <w:t>The</w:t>
      </w:r>
      <w:r w:rsidR="005222F5">
        <w:rPr>
          <w:rFonts w:ascii="Bookman Old Style" w:hAnsi="Bookman Old Style"/>
          <w:sz w:val="24"/>
          <w:szCs w:val="24"/>
        </w:rPr>
        <w:t xml:space="preserve"> evidence also reveals</w:t>
      </w:r>
      <w:r>
        <w:rPr>
          <w:rFonts w:ascii="Bookman Old Style" w:hAnsi="Bookman Old Style"/>
          <w:sz w:val="24"/>
          <w:szCs w:val="24"/>
        </w:rPr>
        <w:t xml:space="preserve"> that the </w:t>
      </w:r>
      <w:r w:rsidR="007A3423">
        <w:rPr>
          <w:rFonts w:ascii="Bookman Old Style" w:hAnsi="Bookman Old Style"/>
          <w:sz w:val="24"/>
          <w:szCs w:val="24"/>
        </w:rPr>
        <w:t>Defendants</w:t>
      </w:r>
      <w:r>
        <w:rPr>
          <w:rFonts w:ascii="Bookman Old Style" w:hAnsi="Bookman Old Style"/>
          <w:sz w:val="24"/>
          <w:szCs w:val="24"/>
        </w:rPr>
        <w:t xml:space="preserve"> have a defence on the merits and are therefore desirous of defending the action.</w:t>
      </w:r>
      <w:r w:rsidR="00CD1CF0">
        <w:rPr>
          <w:rFonts w:ascii="Bookman Old Style" w:hAnsi="Bookman Old Style"/>
          <w:sz w:val="24"/>
          <w:szCs w:val="24"/>
        </w:rPr>
        <w:t xml:space="preserve"> </w:t>
      </w:r>
    </w:p>
    <w:p w:rsidR="005222F5" w:rsidRDefault="00CD1CF0" w:rsidP="007A3423">
      <w:pPr>
        <w:spacing w:line="360" w:lineRule="auto"/>
        <w:jc w:val="both"/>
        <w:rPr>
          <w:rFonts w:ascii="Bookman Old Style" w:hAnsi="Bookman Old Style"/>
          <w:sz w:val="24"/>
          <w:szCs w:val="24"/>
        </w:rPr>
      </w:pPr>
      <w:r>
        <w:rPr>
          <w:rFonts w:ascii="Bookman Old Style" w:hAnsi="Bookman Old Style"/>
          <w:sz w:val="24"/>
          <w:szCs w:val="24"/>
        </w:rPr>
        <w:t>The matter came up for hearing on 3</w:t>
      </w:r>
      <w:r w:rsidRPr="00CD1CF0">
        <w:rPr>
          <w:rFonts w:ascii="Bookman Old Style" w:hAnsi="Bookman Old Style"/>
          <w:sz w:val="24"/>
          <w:szCs w:val="24"/>
          <w:vertAlign w:val="superscript"/>
        </w:rPr>
        <w:t>rd</w:t>
      </w:r>
      <w:r>
        <w:rPr>
          <w:rFonts w:ascii="Bookman Old Style" w:hAnsi="Bookman Old Style"/>
          <w:sz w:val="24"/>
          <w:szCs w:val="24"/>
        </w:rPr>
        <w:t xml:space="preserve"> June 2015. Couns</w:t>
      </w:r>
      <w:r w:rsidR="005222F5">
        <w:rPr>
          <w:rFonts w:ascii="Bookman Old Style" w:hAnsi="Bookman Old Style"/>
          <w:sz w:val="24"/>
          <w:szCs w:val="24"/>
        </w:rPr>
        <w:t>el for the Plaintiff Mr. Mbambar</w:t>
      </w:r>
      <w:r w:rsidR="003578BF">
        <w:rPr>
          <w:rFonts w:ascii="Bookman Old Style" w:hAnsi="Bookman Old Style"/>
          <w:sz w:val="24"/>
          <w:szCs w:val="24"/>
        </w:rPr>
        <w:t>a argued that O</w:t>
      </w:r>
      <w:r>
        <w:rPr>
          <w:rFonts w:ascii="Bookman Old Style" w:hAnsi="Bookman Old Style"/>
          <w:sz w:val="24"/>
          <w:szCs w:val="24"/>
        </w:rPr>
        <w:t xml:space="preserve">rder 20 of the </w:t>
      </w:r>
      <w:r w:rsidRPr="005222F5">
        <w:rPr>
          <w:rFonts w:ascii="Bookman Old Style" w:hAnsi="Bookman Old Style"/>
          <w:b/>
          <w:i/>
          <w:sz w:val="24"/>
          <w:szCs w:val="24"/>
        </w:rPr>
        <w:t>High Court Act</w:t>
      </w:r>
      <w:r>
        <w:rPr>
          <w:rFonts w:ascii="Bookman Old Style" w:hAnsi="Bookman Old Style"/>
          <w:sz w:val="24"/>
          <w:szCs w:val="24"/>
        </w:rPr>
        <w:t xml:space="preserve"> makes provision for a court to enter judgment against a person who defaults in settling pleadings. Counsel argued that this case is appropriate for entry</w:t>
      </w:r>
      <w:r w:rsidR="000D306C">
        <w:rPr>
          <w:rFonts w:ascii="Bookman Old Style" w:hAnsi="Bookman Old Style"/>
          <w:sz w:val="24"/>
          <w:szCs w:val="24"/>
        </w:rPr>
        <w:t xml:space="preserve"> of such judgment in view of the provisions of order 20 rule 11. He prayed that the application should be granted. </w:t>
      </w:r>
    </w:p>
    <w:p w:rsidR="005222F5" w:rsidRDefault="000D306C" w:rsidP="007A3423">
      <w:pPr>
        <w:spacing w:line="360" w:lineRule="auto"/>
        <w:jc w:val="both"/>
        <w:rPr>
          <w:rFonts w:ascii="Bookman Old Style" w:hAnsi="Bookman Old Style"/>
          <w:sz w:val="24"/>
          <w:szCs w:val="24"/>
        </w:rPr>
      </w:pPr>
      <w:r>
        <w:rPr>
          <w:rFonts w:ascii="Bookman Old Style" w:hAnsi="Bookman Old Style"/>
          <w:sz w:val="24"/>
          <w:szCs w:val="24"/>
        </w:rPr>
        <w:t xml:space="preserve">Counsel for the Second Defendant </w:t>
      </w:r>
      <w:r w:rsidR="00081BEF">
        <w:rPr>
          <w:rFonts w:ascii="Bookman Old Style" w:hAnsi="Bookman Old Style"/>
          <w:sz w:val="24"/>
          <w:szCs w:val="24"/>
        </w:rPr>
        <w:t>Ms</w:t>
      </w:r>
      <w:r w:rsidR="005222F5">
        <w:rPr>
          <w:rFonts w:ascii="Bookman Old Style" w:hAnsi="Bookman Old Style"/>
          <w:sz w:val="24"/>
          <w:szCs w:val="24"/>
        </w:rPr>
        <w:t xml:space="preserve"> Kalela </w:t>
      </w:r>
      <w:r>
        <w:rPr>
          <w:rFonts w:ascii="Bookman Old Style" w:hAnsi="Bookman Old Style"/>
          <w:sz w:val="24"/>
          <w:szCs w:val="24"/>
        </w:rPr>
        <w:t>argued that the defence filed on behalf of the Second Defendant raises triable issue</w:t>
      </w:r>
      <w:r w:rsidR="003578BF">
        <w:rPr>
          <w:rFonts w:ascii="Bookman Old Style" w:hAnsi="Bookman Old Style"/>
          <w:sz w:val="24"/>
          <w:szCs w:val="24"/>
        </w:rPr>
        <w:t>s</w:t>
      </w:r>
      <w:r>
        <w:rPr>
          <w:rFonts w:ascii="Bookman Old Style" w:hAnsi="Bookman Old Style"/>
          <w:sz w:val="24"/>
          <w:szCs w:val="24"/>
        </w:rPr>
        <w:t xml:space="preserve"> and as such the matter should be heard on the merits by way of trial. She prayed that the application should be dismissed. </w:t>
      </w:r>
    </w:p>
    <w:p w:rsidR="00B50F6D" w:rsidRDefault="000D306C" w:rsidP="007A3423">
      <w:pPr>
        <w:spacing w:line="360" w:lineRule="auto"/>
        <w:jc w:val="both"/>
        <w:rPr>
          <w:rFonts w:ascii="Bookman Old Style" w:hAnsi="Bookman Old Style"/>
          <w:sz w:val="24"/>
          <w:szCs w:val="24"/>
        </w:rPr>
      </w:pPr>
      <w:r>
        <w:rPr>
          <w:rFonts w:ascii="Bookman Old Style" w:hAnsi="Bookman Old Style"/>
          <w:sz w:val="24"/>
          <w:szCs w:val="24"/>
        </w:rPr>
        <w:t xml:space="preserve">In </w:t>
      </w:r>
      <w:r w:rsidR="005222F5">
        <w:rPr>
          <w:rFonts w:ascii="Bookman Old Style" w:hAnsi="Bookman Old Style"/>
          <w:sz w:val="24"/>
          <w:szCs w:val="24"/>
        </w:rPr>
        <w:t xml:space="preserve">the </w:t>
      </w:r>
      <w:r>
        <w:rPr>
          <w:rFonts w:ascii="Bookman Old Style" w:hAnsi="Bookman Old Style"/>
          <w:sz w:val="24"/>
          <w:szCs w:val="24"/>
        </w:rPr>
        <w:t>rep</w:t>
      </w:r>
      <w:r w:rsidR="003A23CF">
        <w:rPr>
          <w:rFonts w:ascii="Bookman Old Style" w:hAnsi="Bookman Old Style"/>
          <w:sz w:val="24"/>
          <w:szCs w:val="24"/>
        </w:rPr>
        <w:t>ly Mr. M</w:t>
      </w:r>
      <w:r w:rsidR="005222F5">
        <w:rPr>
          <w:rFonts w:ascii="Bookman Old Style" w:hAnsi="Bookman Old Style"/>
          <w:sz w:val="24"/>
          <w:szCs w:val="24"/>
        </w:rPr>
        <w:t>bambar</w:t>
      </w:r>
      <w:r>
        <w:rPr>
          <w:rFonts w:ascii="Bookman Old Style" w:hAnsi="Bookman Old Style"/>
          <w:sz w:val="24"/>
          <w:szCs w:val="24"/>
        </w:rPr>
        <w:t xml:space="preserve">a argued that the excuses given for failure to file a defence are not acceptable at </w:t>
      </w:r>
      <w:r w:rsidR="003A23CF">
        <w:rPr>
          <w:rFonts w:ascii="Bookman Old Style" w:hAnsi="Bookman Old Style"/>
          <w:sz w:val="24"/>
          <w:szCs w:val="24"/>
        </w:rPr>
        <w:t>law. Further that, although the defence appears to disclose triable issues, the same was filed irregularly and as such the Plaintiff should be allowed to enter judgment in default. Arguing in the alternative, counsel submitted that if the court is inclined to order that the matte</w:t>
      </w:r>
      <w:r w:rsidR="000A1B85">
        <w:rPr>
          <w:rFonts w:ascii="Bookman Old Style" w:hAnsi="Bookman Old Style"/>
          <w:sz w:val="24"/>
          <w:szCs w:val="24"/>
        </w:rPr>
        <w:t>r proceed to trial, the Second D</w:t>
      </w:r>
      <w:r w:rsidR="003A23CF">
        <w:rPr>
          <w:rFonts w:ascii="Bookman Old Style" w:hAnsi="Bookman Old Style"/>
          <w:sz w:val="24"/>
          <w:szCs w:val="24"/>
        </w:rPr>
        <w:t>efendant should be ordered to pay costs.</w:t>
      </w:r>
    </w:p>
    <w:p w:rsidR="006A5709" w:rsidRDefault="006A5709" w:rsidP="007A3423">
      <w:pPr>
        <w:spacing w:line="360" w:lineRule="auto"/>
        <w:jc w:val="both"/>
        <w:rPr>
          <w:rFonts w:ascii="Bookman Old Style" w:hAnsi="Bookman Old Style"/>
          <w:sz w:val="24"/>
          <w:szCs w:val="24"/>
        </w:rPr>
      </w:pPr>
      <w:r>
        <w:rPr>
          <w:rFonts w:ascii="Bookman Old Style" w:hAnsi="Bookman Old Style"/>
          <w:sz w:val="24"/>
          <w:szCs w:val="24"/>
        </w:rPr>
        <w:t xml:space="preserve">Although I am in agreement with counsel for the Plaintiff that the </w:t>
      </w:r>
      <w:r w:rsidRPr="003578BF">
        <w:rPr>
          <w:rFonts w:ascii="Bookman Old Style" w:hAnsi="Bookman Old Style"/>
          <w:b/>
          <w:i/>
          <w:sz w:val="24"/>
          <w:szCs w:val="24"/>
        </w:rPr>
        <w:t>High Court Rules</w:t>
      </w:r>
      <w:r>
        <w:rPr>
          <w:rFonts w:ascii="Bookman Old Style" w:hAnsi="Bookman Old Style"/>
          <w:sz w:val="24"/>
          <w:szCs w:val="24"/>
        </w:rPr>
        <w:t xml:space="preserve"> (as amended) make provision for entry of judgment in defaul</w:t>
      </w:r>
      <w:r w:rsidR="003578BF">
        <w:rPr>
          <w:rFonts w:ascii="Bookman Old Style" w:hAnsi="Bookman Old Style"/>
          <w:sz w:val="24"/>
          <w:szCs w:val="24"/>
        </w:rPr>
        <w:t xml:space="preserve">t under </w:t>
      </w:r>
      <w:r w:rsidR="003578BF">
        <w:rPr>
          <w:rFonts w:ascii="Bookman Old Style" w:hAnsi="Bookman Old Style"/>
          <w:sz w:val="24"/>
          <w:szCs w:val="24"/>
        </w:rPr>
        <w:lastRenderedPageBreak/>
        <w:t>O</w:t>
      </w:r>
      <w:r>
        <w:rPr>
          <w:rFonts w:ascii="Bookman Old Style" w:hAnsi="Bookman Old Style"/>
          <w:sz w:val="24"/>
          <w:szCs w:val="24"/>
        </w:rPr>
        <w:t xml:space="preserve">rder 20 rule 1 and not </w:t>
      </w:r>
      <w:r w:rsidR="003578BF">
        <w:rPr>
          <w:rFonts w:ascii="Bookman Old Style" w:hAnsi="Bookman Old Style"/>
          <w:sz w:val="24"/>
          <w:szCs w:val="24"/>
        </w:rPr>
        <w:t>Order 20 rule 11</w:t>
      </w:r>
      <w:r>
        <w:rPr>
          <w:rFonts w:ascii="Bookman Old Style" w:hAnsi="Bookman Old Style"/>
          <w:sz w:val="24"/>
          <w:szCs w:val="24"/>
        </w:rPr>
        <w:t xml:space="preserve"> where a party f</w:t>
      </w:r>
      <w:r w:rsidR="003578BF">
        <w:rPr>
          <w:rFonts w:ascii="Bookman Old Style" w:hAnsi="Bookman Old Style"/>
          <w:sz w:val="24"/>
          <w:szCs w:val="24"/>
        </w:rPr>
        <w:t>ails to file a notice to defend</w:t>
      </w:r>
      <w:r>
        <w:rPr>
          <w:rFonts w:ascii="Bookman Old Style" w:hAnsi="Bookman Old Style"/>
          <w:sz w:val="24"/>
          <w:szCs w:val="24"/>
        </w:rPr>
        <w:t xml:space="preserve"> i.e. a defence, within the prescribed time, I do not think that this is a case warranting entry of default judgment against both Defendants. The reason for this is that prior to the hearing of this application, the Second Defendant filed an appearance and defence on 29</w:t>
      </w:r>
      <w:r w:rsidRPr="006A5709">
        <w:rPr>
          <w:rFonts w:ascii="Bookman Old Style" w:hAnsi="Bookman Old Style"/>
          <w:sz w:val="24"/>
          <w:szCs w:val="24"/>
          <w:vertAlign w:val="superscript"/>
        </w:rPr>
        <w:t>th</w:t>
      </w:r>
      <w:r>
        <w:rPr>
          <w:rFonts w:ascii="Bookman Old Style" w:hAnsi="Bookman Old Style"/>
          <w:sz w:val="24"/>
          <w:szCs w:val="24"/>
        </w:rPr>
        <w:t xml:space="preserve"> April 2015. The defence as counsel for the Plaintiff has conceded, </w:t>
      </w:r>
      <w:r w:rsidRPr="001D110B">
        <w:rPr>
          <w:rFonts w:ascii="Bookman Old Style" w:hAnsi="Bookman Old Style"/>
          <w:i/>
          <w:sz w:val="24"/>
          <w:szCs w:val="24"/>
        </w:rPr>
        <w:t>prima facie</w:t>
      </w:r>
      <w:r>
        <w:rPr>
          <w:rFonts w:ascii="Bookman Old Style" w:hAnsi="Bookman Old Style"/>
          <w:sz w:val="24"/>
          <w:szCs w:val="24"/>
        </w:rPr>
        <w:t xml:space="preserve"> does reveal triable issues justifying the matter going to full trial. In making the foregoing findings I am alive to the fact that the defence was filed late, but that fact</w:t>
      </w:r>
      <w:r w:rsidR="003578BF">
        <w:rPr>
          <w:rFonts w:ascii="Bookman Old Style" w:hAnsi="Bookman Old Style"/>
          <w:sz w:val="24"/>
          <w:szCs w:val="24"/>
        </w:rPr>
        <w:t>,</w:t>
      </w:r>
      <w:r>
        <w:rPr>
          <w:rFonts w:ascii="Bookman Old Style" w:hAnsi="Bookman Old Style"/>
          <w:sz w:val="24"/>
          <w:szCs w:val="24"/>
        </w:rPr>
        <w:t xml:space="preserve"> in and of itself, cannot in</w:t>
      </w:r>
      <w:r w:rsidR="003578BF">
        <w:rPr>
          <w:rFonts w:ascii="Bookman Old Style" w:hAnsi="Bookman Old Style"/>
          <w:sz w:val="24"/>
          <w:szCs w:val="24"/>
        </w:rPr>
        <w:t>,</w:t>
      </w:r>
      <w:r>
        <w:rPr>
          <w:rFonts w:ascii="Bookman Old Style" w:hAnsi="Bookman Old Style"/>
          <w:sz w:val="24"/>
          <w:szCs w:val="24"/>
        </w:rPr>
        <w:t xml:space="preserve"> my considered view, render it </w:t>
      </w:r>
      <w:r w:rsidR="003578BF">
        <w:rPr>
          <w:rFonts w:ascii="Bookman Old Style" w:hAnsi="Bookman Old Style"/>
          <w:sz w:val="24"/>
          <w:szCs w:val="24"/>
        </w:rPr>
        <w:t xml:space="preserve">irregular or amenable to </w:t>
      </w:r>
      <w:r>
        <w:rPr>
          <w:rFonts w:ascii="Bookman Old Style" w:hAnsi="Bookman Old Style"/>
          <w:sz w:val="24"/>
          <w:szCs w:val="24"/>
        </w:rPr>
        <w:t>being stuck o</w:t>
      </w:r>
      <w:r w:rsidR="003578BF">
        <w:rPr>
          <w:rFonts w:ascii="Bookman Old Style" w:hAnsi="Bookman Old Style"/>
          <w:sz w:val="24"/>
          <w:szCs w:val="24"/>
        </w:rPr>
        <w:t>f</w:t>
      </w:r>
      <w:r>
        <w:rPr>
          <w:rFonts w:ascii="Bookman Old Style" w:hAnsi="Bookman Old Style"/>
          <w:sz w:val="24"/>
          <w:szCs w:val="24"/>
        </w:rPr>
        <w:t>f. Further there is provision in our practice providing for the curing of a defect</w:t>
      </w:r>
      <w:r w:rsidR="00AF1147">
        <w:rPr>
          <w:rFonts w:ascii="Bookman Old Style" w:hAnsi="Bookman Old Style"/>
          <w:sz w:val="24"/>
          <w:szCs w:val="24"/>
        </w:rPr>
        <w:t xml:space="preserve"> such as the late filing of a defence. This is in accordance with Order 2 rule 1 of the white book which states as:</w:t>
      </w:r>
      <w:r>
        <w:rPr>
          <w:rFonts w:ascii="Bookman Old Style" w:hAnsi="Bookman Old Style"/>
          <w:sz w:val="24"/>
          <w:szCs w:val="24"/>
        </w:rPr>
        <w:t xml:space="preserve"> </w:t>
      </w:r>
    </w:p>
    <w:p w:rsidR="00A35DE9" w:rsidRDefault="006A5709" w:rsidP="007A3423">
      <w:pPr>
        <w:spacing w:line="360" w:lineRule="auto"/>
        <w:ind w:left="720"/>
        <w:jc w:val="both"/>
        <w:rPr>
          <w:rFonts w:ascii="Bookman Old Style" w:hAnsi="Bookman Old Style"/>
          <w:i/>
          <w:sz w:val="24"/>
          <w:szCs w:val="24"/>
        </w:rPr>
      </w:pPr>
      <w:r w:rsidRPr="00A35DE9">
        <w:rPr>
          <w:rFonts w:ascii="Bookman Old Style" w:hAnsi="Bookman Old Style"/>
          <w:i/>
          <w:sz w:val="24"/>
          <w:szCs w:val="24"/>
        </w:rPr>
        <w:t xml:space="preserve"> </w:t>
      </w:r>
      <w:r w:rsidR="003578BF">
        <w:rPr>
          <w:rFonts w:ascii="Bookman Old Style" w:hAnsi="Bookman Old Style"/>
          <w:i/>
          <w:sz w:val="24"/>
          <w:szCs w:val="24"/>
        </w:rPr>
        <w:t>“Where in beginning or</w:t>
      </w:r>
      <w:r w:rsidR="00A35DE9" w:rsidRPr="00A35DE9">
        <w:rPr>
          <w:rFonts w:ascii="Bookman Old Style" w:hAnsi="Bookman Old Style"/>
          <w:i/>
          <w:sz w:val="24"/>
          <w:szCs w:val="24"/>
        </w:rPr>
        <w:t xml:space="preserve"> purporting to begin any proceedings, there has, by reason of anything done or left undone, been a failure to comply with the requirements of these rules, whether in resp</w:t>
      </w:r>
      <w:r w:rsidR="003578BF">
        <w:rPr>
          <w:rFonts w:ascii="Bookman Old Style" w:hAnsi="Bookman Old Style"/>
          <w:i/>
          <w:sz w:val="24"/>
          <w:szCs w:val="24"/>
        </w:rPr>
        <w:t>ect of time, place, manner, for</w:t>
      </w:r>
      <w:r w:rsidR="00A35DE9" w:rsidRPr="00A35DE9">
        <w:rPr>
          <w:rFonts w:ascii="Bookman Old Style" w:hAnsi="Bookman Old Style"/>
          <w:i/>
          <w:sz w:val="24"/>
          <w:szCs w:val="24"/>
        </w:rPr>
        <w:t>m o</w:t>
      </w:r>
      <w:r w:rsidR="003578BF">
        <w:rPr>
          <w:rFonts w:ascii="Bookman Old Style" w:hAnsi="Bookman Old Style"/>
          <w:i/>
          <w:sz w:val="24"/>
          <w:szCs w:val="24"/>
        </w:rPr>
        <w:t>r content or in any other respec</w:t>
      </w:r>
      <w:r w:rsidR="00A35DE9" w:rsidRPr="00A35DE9">
        <w:rPr>
          <w:rFonts w:ascii="Bookman Old Style" w:hAnsi="Bookman Old Style"/>
          <w:i/>
          <w:sz w:val="24"/>
          <w:szCs w:val="24"/>
        </w:rPr>
        <w:t>t, the failure shall be treated as an irregularity and shall not nullify the proceedings, any step taken in the proceedings, or any document, judgment or order therein”.</w:t>
      </w:r>
    </w:p>
    <w:p w:rsidR="00AF1147" w:rsidRDefault="00AF1147" w:rsidP="00AF1147">
      <w:pPr>
        <w:spacing w:line="360" w:lineRule="auto"/>
        <w:jc w:val="both"/>
        <w:rPr>
          <w:rFonts w:ascii="Bookman Old Style" w:hAnsi="Bookman Old Style"/>
          <w:sz w:val="24"/>
          <w:szCs w:val="24"/>
        </w:rPr>
      </w:pPr>
      <w:r>
        <w:rPr>
          <w:rFonts w:ascii="Bookman Old Style" w:hAnsi="Bookman Old Style"/>
          <w:sz w:val="24"/>
          <w:szCs w:val="24"/>
        </w:rPr>
        <w:t>Based on the foregoing Order I find that t</w:t>
      </w:r>
      <w:r w:rsidR="00BE4126">
        <w:rPr>
          <w:rFonts w:ascii="Bookman Old Style" w:hAnsi="Bookman Old Style"/>
          <w:sz w:val="24"/>
          <w:szCs w:val="24"/>
        </w:rPr>
        <w:t>he defence is properly before me</w:t>
      </w:r>
      <w:r w:rsidR="001D110B">
        <w:rPr>
          <w:rFonts w:ascii="Bookman Old Style" w:hAnsi="Bookman Old Style"/>
          <w:sz w:val="24"/>
          <w:szCs w:val="24"/>
        </w:rPr>
        <w:t xml:space="preserve"> because the filing of the defence, albeit late cured the omission.</w:t>
      </w:r>
      <w:r w:rsidR="00BE4126">
        <w:rPr>
          <w:rFonts w:ascii="Bookman Old Style" w:hAnsi="Bookman Old Style"/>
          <w:sz w:val="24"/>
          <w:szCs w:val="24"/>
        </w:rPr>
        <w:t xml:space="preserve"> As s</w:t>
      </w:r>
      <w:r>
        <w:rPr>
          <w:rFonts w:ascii="Bookman Old Style" w:hAnsi="Bookman Old Style"/>
          <w:sz w:val="24"/>
          <w:szCs w:val="24"/>
        </w:rPr>
        <w:t>uch this application should be dismissed as it relates to the Second Defendant. In so doing I direct that the scheduling conference be held on 9</w:t>
      </w:r>
      <w:r w:rsidRPr="00AF1147">
        <w:rPr>
          <w:rFonts w:ascii="Bookman Old Style" w:hAnsi="Bookman Old Style"/>
          <w:sz w:val="24"/>
          <w:szCs w:val="24"/>
          <w:vertAlign w:val="superscript"/>
        </w:rPr>
        <w:t>th</w:t>
      </w:r>
      <w:r>
        <w:rPr>
          <w:rFonts w:ascii="Bookman Old Style" w:hAnsi="Bookman Old Style"/>
          <w:sz w:val="24"/>
          <w:szCs w:val="24"/>
        </w:rPr>
        <w:t xml:space="preserve"> July 2015 at 15:00 hours.</w:t>
      </w:r>
    </w:p>
    <w:p w:rsidR="00AF1147" w:rsidRDefault="00AF1147" w:rsidP="00AF1147">
      <w:pPr>
        <w:spacing w:line="360" w:lineRule="auto"/>
        <w:jc w:val="both"/>
        <w:rPr>
          <w:rFonts w:ascii="Bookman Old Style" w:hAnsi="Bookman Old Style"/>
          <w:sz w:val="24"/>
          <w:szCs w:val="24"/>
        </w:rPr>
      </w:pPr>
      <w:r>
        <w:rPr>
          <w:rFonts w:ascii="Bookman Old Style" w:hAnsi="Bookman Old Style"/>
          <w:sz w:val="24"/>
          <w:szCs w:val="24"/>
        </w:rPr>
        <w:t xml:space="preserve">As regards the fate of the First Defendant, there being no defence filed on his behalf, I grant leave to the Plaintiff to enter default judgment in accordance with the </w:t>
      </w:r>
      <w:r w:rsidR="003578BF">
        <w:rPr>
          <w:rFonts w:ascii="Bookman Old Style" w:hAnsi="Bookman Old Style"/>
          <w:sz w:val="24"/>
          <w:szCs w:val="24"/>
        </w:rPr>
        <w:t>endorsement</w:t>
      </w:r>
      <w:r>
        <w:rPr>
          <w:rFonts w:ascii="Bookman Old Style" w:hAnsi="Bookman Old Style"/>
          <w:sz w:val="24"/>
          <w:szCs w:val="24"/>
        </w:rPr>
        <w:t xml:space="preserve"> on the writ of summons.</w:t>
      </w:r>
    </w:p>
    <w:p w:rsidR="00D676C3" w:rsidRDefault="00AF1147" w:rsidP="007A3423">
      <w:pPr>
        <w:spacing w:line="360" w:lineRule="auto"/>
        <w:jc w:val="both"/>
        <w:rPr>
          <w:rFonts w:ascii="Bookman Old Style" w:hAnsi="Bookman Old Style"/>
          <w:sz w:val="24"/>
          <w:szCs w:val="24"/>
        </w:rPr>
      </w:pPr>
      <w:r>
        <w:rPr>
          <w:rFonts w:ascii="Bookman Old Style" w:hAnsi="Bookman Old Style"/>
          <w:sz w:val="24"/>
          <w:szCs w:val="24"/>
        </w:rPr>
        <w:t>As for costs, I award same to the Plaintiff as against both Defendants.</w:t>
      </w:r>
    </w:p>
    <w:p w:rsidR="00D676C3" w:rsidRPr="00D676C3" w:rsidRDefault="00D676C3" w:rsidP="00BE4126">
      <w:pPr>
        <w:spacing w:line="360" w:lineRule="auto"/>
        <w:jc w:val="center"/>
        <w:rPr>
          <w:rFonts w:ascii="Bookman Old Style" w:hAnsi="Bookman Old Style"/>
          <w:b/>
          <w:sz w:val="24"/>
          <w:szCs w:val="24"/>
        </w:rPr>
      </w:pPr>
      <w:r w:rsidRPr="00D676C3">
        <w:rPr>
          <w:rFonts w:ascii="Bookman Old Style" w:hAnsi="Bookman Old Style"/>
          <w:b/>
          <w:sz w:val="24"/>
          <w:szCs w:val="24"/>
        </w:rPr>
        <w:t>Dated at Lusaka this 23</w:t>
      </w:r>
      <w:r w:rsidRPr="00D676C3">
        <w:rPr>
          <w:rFonts w:ascii="Bookman Old Style" w:hAnsi="Bookman Old Style"/>
          <w:b/>
          <w:sz w:val="24"/>
          <w:szCs w:val="24"/>
          <w:vertAlign w:val="superscript"/>
        </w:rPr>
        <w:t>rd</w:t>
      </w:r>
      <w:r w:rsidRPr="00D676C3">
        <w:rPr>
          <w:rFonts w:ascii="Bookman Old Style" w:hAnsi="Bookman Old Style"/>
          <w:b/>
          <w:sz w:val="24"/>
          <w:szCs w:val="24"/>
        </w:rPr>
        <w:t xml:space="preserve"> day of June 2015</w:t>
      </w:r>
    </w:p>
    <w:p w:rsidR="00D676C3" w:rsidRPr="00D676C3" w:rsidRDefault="00D676C3" w:rsidP="00AE6D3D">
      <w:pPr>
        <w:spacing w:line="360" w:lineRule="auto"/>
        <w:rPr>
          <w:rFonts w:ascii="Bookman Old Style" w:hAnsi="Bookman Old Style"/>
          <w:b/>
          <w:sz w:val="24"/>
          <w:szCs w:val="24"/>
        </w:rPr>
      </w:pPr>
    </w:p>
    <w:p w:rsidR="00D676C3" w:rsidRPr="00D676C3" w:rsidRDefault="00D676C3" w:rsidP="009100A5">
      <w:pPr>
        <w:spacing w:after="0" w:line="240" w:lineRule="auto"/>
        <w:jc w:val="center"/>
        <w:rPr>
          <w:rFonts w:ascii="Bookman Old Style" w:hAnsi="Bookman Old Style"/>
          <w:b/>
          <w:sz w:val="24"/>
          <w:szCs w:val="24"/>
        </w:rPr>
      </w:pPr>
      <w:r w:rsidRPr="00D676C3">
        <w:rPr>
          <w:rFonts w:ascii="Bookman Old Style" w:hAnsi="Bookman Old Style"/>
          <w:b/>
          <w:sz w:val="24"/>
          <w:szCs w:val="24"/>
        </w:rPr>
        <w:t>NIGEL K. MUTUNA</w:t>
      </w:r>
    </w:p>
    <w:p w:rsidR="00D676C3" w:rsidRPr="00D676C3" w:rsidRDefault="00D676C3" w:rsidP="009100A5">
      <w:pPr>
        <w:spacing w:after="0" w:line="240" w:lineRule="auto"/>
        <w:jc w:val="center"/>
        <w:rPr>
          <w:rFonts w:ascii="Bookman Old Style" w:hAnsi="Bookman Old Style"/>
          <w:b/>
          <w:sz w:val="24"/>
          <w:szCs w:val="24"/>
        </w:rPr>
      </w:pPr>
      <w:r w:rsidRPr="00D676C3">
        <w:rPr>
          <w:rFonts w:ascii="Bookman Old Style" w:hAnsi="Bookman Old Style"/>
          <w:b/>
          <w:sz w:val="24"/>
          <w:szCs w:val="24"/>
        </w:rPr>
        <w:t>HIGH COURT JUDGE</w:t>
      </w:r>
    </w:p>
    <w:p w:rsidR="00D61385" w:rsidRPr="006E6347" w:rsidRDefault="00D61385" w:rsidP="007A3423">
      <w:pPr>
        <w:jc w:val="both"/>
      </w:pPr>
    </w:p>
    <w:sectPr w:rsidR="00D61385" w:rsidRPr="006E634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204" w:rsidRDefault="00C80204" w:rsidP="007A3423">
      <w:pPr>
        <w:spacing w:after="0" w:line="240" w:lineRule="auto"/>
      </w:pPr>
      <w:r>
        <w:separator/>
      </w:r>
    </w:p>
  </w:endnote>
  <w:endnote w:type="continuationSeparator" w:id="0">
    <w:p w:rsidR="00C80204" w:rsidRDefault="00C80204" w:rsidP="007A3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204" w:rsidRDefault="00C80204" w:rsidP="007A3423">
      <w:pPr>
        <w:spacing w:after="0" w:line="240" w:lineRule="auto"/>
      </w:pPr>
      <w:r>
        <w:separator/>
      </w:r>
    </w:p>
  </w:footnote>
  <w:footnote w:type="continuationSeparator" w:id="0">
    <w:p w:rsidR="00C80204" w:rsidRDefault="00C80204" w:rsidP="007A3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347342"/>
      <w:docPartObj>
        <w:docPartGallery w:val="Page Numbers (Top of Page)"/>
        <w:docPartUnique/>
      </w:docPartObj>
    </w:sdtPr>
    <w:sdtEndPr>
      <w:rPr>
        <w:noProof/>
      </w:rPr>
    </w:sdtEndPr>
    <w:sdtContent>
      <w:p w:rsidR="007A3423" w:rsidRDefault="007A3423">
        <w:pPr>
          <w:pStyle w:val="Header"/>
          <w:jc w:val="center"/>
        </w:pPr>
        <w:r>
          <w:t>R</w:t>
        </w:r>
        <w:r>
          <w:fldChar w:fldCharType="begin"/>
        </w:r>
        <w:r>
          <w:instrText xml:space="preserve"> PAGE   \* MERGEFORMAT </w:instrText>
        </w:r>
        <w:r>
          <w:fldChar w:fldCharType="separate"/>
        </w:r>
        <w:r w:rsidR="0003347A">
          <w:rPr>
            <w:noProof/>
          </w:rPr>
          <w:t>1</w:t>
        </w:r>
        <w:r>
          <w:rPr>
            <w:noProof/>
          </w:rPr>
          <w:fldChar w:fldCharType="end"/>
        </w:r>
      </w:p>
    </w:sdtContent>
  </w:sdt>
  <w:p w:rsidR="007A3423" w:rsidRDefault="007A34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D75CBC"/>
    <w:multiLevelType w:val="hybridMultilevel"/>
    <w:tmpl w:val="A622E4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F72036C"/>
    <w:multiLevelType w:val="hybridMultilevel"/>
    <w:tmpl w:val="C1C8B2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385"/>
    <w:rsid w:val="0003347A"/>
    <w:rsid w:val="0004458A"/>
    <w:rsid w:val="00081BEF"/>
    <w:rsid w:val="000A1B85"/>
    <w:rsid w:val="000A43D3"/>
    <w:rsid w:val="000D306C"/>
    <w:rsid w:val="001D110B"/>
    <w:rsid w:val="00250024"/>
    <w:rsid w:val="003076F9"/>
    <w:rsid w:val="003229FA"/>
    <w:rsid w:val="003578BF"/>
    <w:rsid w:val="003A23CF"/>
    <w:rsid w:val="003D5CBE"/>
    <w:rsid w:val="005222F5"/>
    <w:rsid w:val="006075A5"/>
    <w:rsid w:val="00630A1F"/>
    <w:rsid w:val="006A2706"/>
    <w:rsid w:val="006A5709"/>
    <w:rsid w:val="006A734C"/>
    <w:rsid w:val="006E6347"/>
    <w:rsid w:val="007A3423"/>
    <w:rsid w:val="009100A5"/>
    <w:rsid w:val="00A06735"/>
    <w:rsid w:val="00A342A0"/>
    <w:rsid w:val="00A35DE9"/>
    <w:rsid w:val="00AE6D3D"/>
    <w:rsid w:val="00AF1147"/>
    <w:rsid w:val="00B50F6D"/>
    <w:rsid w:val="00BE4126"/>
    <w:rsid w:val="00C80204"/>
    <w:rsid w:val="00CD1CF0"/>
    <w:rsid w:val="00D61385"/>
    <w:rsid w:val="00D676C3"/>
    <w:rsid w:val="00E03B88"/>
    <w:rsid w:val="00EB69BF"/>
    <w:rsid w:val="00FD4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8A07C-3310-4A3C-A706-7CE9DAF86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6F9"/>
    <w:pPr>
      <w:ind w:left="720"/>
      <w:contextualSpacing/>
    </w:pPr>
  </w:style>
  <w:style w:type="paragraph" w:styleId="Header">
    <w:name w:val="header"/>
    <w:basedOn w:val="Normal"/>
    <w:link w:val="HeaderChar"/>
    <w:uiPriority w:val="99"/>
    <w:unhideWhenUsed/>
    <w:rsid w:val="007A34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423"/>
  </w:style>
  <w:style w:type="paragraph" w:styleId="Footer">
    <w:name w:val="footer"/>
    <w:basedOn w:val="Normal"/>
    <w:link w:val="FooterChar"/>
    <w:uiPriority w:val="99"/>
    <w:unhideWhenUsed/>
    <w:rsid w:val="007A34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423"/>
  </w:style>
  <w:style w:type="paragraph" w:styleId="BalloonText">
    <w:name w:val="Balloon Text"/>
    <w:basedOn w:val="Normal"/>
    <w:link w:val="BalloonTextChar"/>
    <w:uiPriority w:val="99"/>
    <w:semiHidden/>
    <w:unhideWhenUsed/>
    <w:rsid w:val="000A1B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B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Felistus Chilambwe</dc:creator>
  <cp:keywords/>
  <dc:description/>
  <cp:lastModifiedBy>Felistus Chilambwe</cp:lastModifiedBy>
  <cp:revision>2</cp:revision>
  <cp:lastPrinted>2015-06-23T07:06:00Z</cp:lastPrinted>
  <dcterms:created xsi:type="dcterms:W3CDTF">2015-07-15T13:57:00Z</dcterms:created>
  <dcterms:modified xsi:type="dcterms:W3CDTF">2015-07-15T13:57:00Z</dcterms:modified>
</cp:coreProperties>
</file>