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C511D" w14:textId="77777777" w:rsidR="00EA63E8" w:rsidRDefault="00EA63E8" w:rsidP="00EA63E8">
      <w:pPr>
        <w:spacing w:after="1" w:line="265" w:lineRule="auto"/>
        <w:ind w:left="22" w:right="203"/>
        <w:jc w:val="center"/>
      </w:pPr>
      <w:r>
        <w:rPr>
          <w:b/>
        </w:rPr>
        <w:t>JUSTIN MUMBI</w:t>
      </w:r>
    </w:p>
    <w:p w14:paraId="2F10AD2A" w14:textId="77777777" w:rsidR="00EA63E8" w:rsidRDefault="00EA63E8" w:rsidP="00EA63E8">
      <w:pPr>
        <w:spacing w:after="1" w:line="265" w:lineRule="auto"/>
        <w:ind w:left="22" w:right="215"/>
        <w:jc w:val="center"/>
      </w:pPr>
      <w:r>
        <w:rPr>
          <w:b/>
        </w:rPr>
        <w:t xml:space="preserve">v </w:t>
      </w:r>
    </w:p>
    <w:p w14:paraId="2DCFDFD4" w14:textId="77777777" w:rsidR="00EA63E8" w:rsidRDefault="00EA63E8" w:rsidP="00EA63E8">
      <w:pPr>
        <w:spacing w:after="521" w:line="265" w:lineRule="auto"/>
        <w:ind w:left="22" w:right="190"/>
        <w:jc w:val="center"/>
      </w:pPr>
      <w:r>
        <w:rPr>
          <w:b/>
        </w:rPr>
        <w:t>THE PEOPLE</w:t>
      </w:r>
    </w:p>
    <w:p w14:paraId="1ACA8B01" w14:textId="77777777" w:rsidR="00EA63E8" w:rsidRDefault="00EA63E8" w:rsidP="00EA63E8">
      <w:pPr>
        <w:ind w:left="454" w:right="55"/>
      </w:pPr>
      <w:r>
        <w:t>SUPREME COURT</w:t>
      </w:r>
    </w:p>
    <w:p w14:paraId="674367AC" w14:textId="77777777" w:rsidR="00EA63E8" w:rsidRDefault="00EA63E8" w:rsidP="00EA63E8">
      <w:pPr>
        <w:tabs>
          <w:tab w:val="center" w:pos="3088"/>
        </w:tabs>
        <w:ind w:left="0" w:firstLine="0"/>
        <w:jc w:val="left"/>
      </w:pPr>
      <w:r>
        <w:rPr>
          <w:sz w:val="20"/>
        </w:rPr>
        <w:t>5.</w:t>
      </w:r>
      <w:r>
        <w:rPr>
          <w:sz w:val="20"/>
        </w:rPr>
        <w:tab/>
      </w:r>
      <w:r>
        <w:t>SAKALA, CJ., CHIBESAKUNDA AND CHITENGI, JJS</w:t>
      </w:r>
    </w:p>
    <w:p w14:paraId="1FED282C" w14:textId="77777777" w:rsidR="00EA63E8" w:rsidRDefault="00EA63E8" w:rsidP="00EA63E8">
      <w:pPr>
        <w:spacing w:after="46"/>
        <w:ind w:left="454" w:right="55"/>
      </w:pPr>
      <w:r>
        <w:t>4</w:t>
      </w:r>
      <w:r>
        <w:rPr>
          <w:sz w:val="17"/>
          <w:vertAlign w:val="superscript"/>
        </w:rPr>
        <w:t>TH</w:t>
      </w:r>
      <w:r>
        <w:t xml:space="preserve"> MARCH, 2004 AND 1</w:t>
      </w:r>
      <w:r>
        <w:rPr>
          <w:sz w:val="17"/>
          <w:vertAlign w:val="superscript"/>
        </w:rPr>
        <w:t>ST</w:t>
      </w:r>
      <w:r>
        <w:t xml:space="preserve"> JUNE, 2004</w:t>
      </w:r>
    </w:p>
    <w:p w14:paraId="682AEF08" w14:textId="77777777" w:rsidR="00EA63E8" w:rsidRDefault="00EA63E8" w:rsidP="00EA63E8">
      <w:pPr>
        <w:spacing w:after="253"/>
        <w:ind w:left="454" w:right="55"/>
      </w:pPr>
      <w:r>
        <w:t>(</w:t>
      </w:r>
      <w:proofErr w:type="gramStart"/>
      <w:r>
        <w:t>SCZ  JUDGMENT</w:t>
      </w:r>
      <w:proofErr w:type="gramEnd"/>
      <w:r>
        <w:t xml:space="preserve"> NO. 12 OF 2004)</w:t>
      </w:r>
    </w:p>
    <w:p w14:paraId="5220F7F2" w14:textId="77777777" w:rsidR="00EA63E8" w:rsidRDefault="00EA63E8" w:rsidP="00EA63E8">
      <w:pPr>
        <w:spacing w:after="273" w:line="259" w:lineRule="auto"/>
        <w:ind w:left="450" w:right="43" w:hanging="6"/>
      </w:pPr>
      <w:r>
        <w:rPr>
          <w:i/>
        </w:rPr>
        <w:t xml:space="preserve">Criminal </w:t>
      </w:r>
      <w:proofErr w:type="spellStart"/>
      <w:r>
        <w:rPr>
          <w:i/>
        </w:rPr>
        <w:t>law_Murder_Sentence_Mandatory</w:t>
      </w:r>
      <w:proofErr w:type="spellEnd"/>
      <w:r>
        <w:rPr>
          <w:i/>
        </w:rPr>
        <w:t xml:space="preserve"> death penalty- whether evidence of the appellant's </w:t>
      </w:r>
      <w:proofErr w:type="spellStart"/>
      <w:r>
        <w:rPr>
          <w:i/>
        </w:rPr>
        <w:t>drunkness</w:t>
      </w:r>
      <w:proofErr w:type="spellEnd"/>
      <w:r>
        <w:rPr>
          <w:i/>
        </w:rPr>
        <w:t xml:space="preserve"> amounted to extenuating circumstances.</w:t>
      </w:r>
    </w:p>
    <w:p w14:paraId="55D4EA49" w14:textId="77777777" w:rsidR="00EA63E8" w:rsidRDefault="00EA63E8" w:rsidP="00EA63E8">
      <w:pPr>
        <w:spacing w:after="30"/>
        <w:ind w:left="477" w:right="208" w:hanging="462"/>
      </w:pPr>
      <w:r>
        <w:rPr>
          <w:sz w:val="20"/>
        </w:rPr>
        <w:t xml:space="preserve">10. </w:t>
      </w:r>
      <w:r>
        <w:t>The appellant was tried and convicted for the offence of murder, contrary to section 200 of the Penal Code, Chapter 87 of the laws of Zambia.  The particulars of the offence alleged that, the appellant, on 14</w:t>
      </w:r>
      <w:r>
        <w:rPr>
          <w:sz w:val="17"/>
          <w:vertAlign w:val="superscript"/>
        </w:rPr>
        <w:t>th</w:t>
      </w:r>
      <w:r>
        <w:t xml:space="preserve"> May 2002, at Mufulira, in the Mufulira District of the Copperbelt </w:t>
      </w:r>
    </w:p>
    <w:p w14:paraId="642CD785" w14:textId="77777777" w:rsidR="00EA63E8" w:rsidRDefault="00EA63E8" w:rsidP="00EA63E8">
      <w:pPr>
        <w:ind w:left="472" w:right="55"/>
      </w:pPr>
      <w:r>
        <w:t xml:space="preserve">Province, of the Republic of Zambia, murdered Elias </w:t>
      </w:r>
      <w:proofErr w:type="spellStart"/>
      <w:r>
        <w:t>Kapolowe</w:t>
      </w:r>
      <w:proofErr w:type="spellEnd"/>
      <w:r>
        <w:t xml:space="preserve">.  </w:t>
      </w:r>
    </w:p>
    <w:p w14:paraId="275503D3" w14:textId="77777777" w:rsidR="00EA63E8" w:rsidRDefault="00EA63E8" w:rsidP="00EA63E8">
      <w:pPr>
        <w:spacing w:after="261"/>
        <w:ind w:left="477" w:right="208" w:hanging="462"/>
      </w:pPr>
      <w:r>
        <w:rPr>
          <w:sz w:val="20"/>
        </w:rPr>
        <w:t xml:space="preserve">15. </w:t>
      </w:r>
      <w:r>
        <w:t>Consequently, he was sentenced to suffer the mandatory penalty of death.  The appellant appealed against the sentence and urged the Supreme Court to consider extenuating circumstances and impose an appropriate sentence.</w:t>
      </w:r>
    </w:p>
    <w:p w14:paraId="03808ED2" w14:textId="77777777" w:rsidR="00EA63E8" w:rsidRDefault="00EA63E8" w:rsidP="00EA63E8">
      <w:pPr>
        <w:spacing w:after="294" w:line="253" w:lineRule="auto"/>
        <w:ind w:left="454"/>
        <w:jc w:val="left"/>
      </w:pPr>
      <w:r>
        <w:rPr>
          <w:b/>
        </w:rPr>
        <w:t>Held</w:t>
      </w:r>
      <w:r>
        <w:t>:</w:t>
      </w:r>
    </w:p>
    <w:p w14:paraId="75F3C79B" w14:textId="77777777" w:rsidR="00EA63E8" w:rsidRDefault="00EA63E8" w:rsidP="00EA63E8">
      <w:pPr>
        <w:tabs>
          <w:tab w:val="center" w:pos="958"/>
          <w:tab w:val="right" w:pos="7305"/>
        </w:tabs>
        <w:ind w:left="0" w:firstLine="0"/>
        <w:jc w:val="left"/>
      </w:pPr>
      <w:r>
        <w:rPr>
          <w:sz w:val="20"/>
        </w:rPr>
        <w:t>20.</w:t>
      </w:r>
      <w:r>
        <w:rPr>
          <w:sz w:val="20"/>
        </w:rPr>
        <w:tab/>
      </w:r>
      <w:r>
        <w:t>1.</w:t>
      </w:r>
      <w:r>
        <w:tab/>
        <w:t xml:space="preserve">Drunken circumstances generally attending upon the </w:t>
      </w:r>
    </w:p>
    <w:p w14:paraId="243D83CA" w14:textId="77777777" w:rsidR="00EA63E8" w:rsidRDefault="00EA63E8" w:rsidP="00EA63E8">
      <w:pPr>
        <w:ind w:left="1302" w:right="55"/>
      </w:pPr>
      <w:r>
        <w:t xml:space="preserve">occasion, sufficiently reduce the amount of moral culpability, so that there </w:t>
      </w:r>
      <w:proofErr w:type="gramStart"/>
      <w:r>
        <w:t>is  extenuation</w:t>
      </w:r>
      <w:proofErr w:type="gramEnd"/>
      <w:r>
        <w:t>.</w:t>
      </w:r>
    </w:p>
    <w:p w14:paraId="66F5A73C" w14:textId="77777777" w:rsidR="00EA63E8" w:rsidRDefault="00EA63E8" w:rsidP="00EA63E8">
      <w:pPr>
        <w:tabs>
          <w:tab w:val="center" w:pos="958"/>
          <w:tab w:val="center" w:pos="3628"/>
        </w:tabs>
        <w:spacing w:after="260"/>
        <w:ind w:left="0" w:firstLine="0"/>
        <w:jc w:val="left"/>
      </w:pPr>
      <w:r>
        <w:rPr>
          <w:rFonts w:ascii="Calibri" w:eastAsia="Calibri" w:hAnsi="Calibri" w:cs="Calibri"/>
        </w:rPr>
        <w:tab/>
      </w:r>
      <w:r>
        <w:t>2.</w:t>
      </w:r>
      <w:r>
        <w:tab/>
        <w:t>On the facts of this case there was no extenuation.</w:t>
      </w:r>
    </w:p>
    <w:p w14:paraId="791D943E" w14:textId="77777777" w:rsidR="00EA63E8" w:rsidRDefault="00EA63E8" w:rsidP="00EA63E8">
      <w:pPr>
        <w:spacing w:after="11" w:line="253" w:lineRule="auto"/>
        <w:ind w:left="454"/>
        <w:jc w:val="left"/>
      </w:pPr>
      <w:r>
        <w:rPr>
          <w:b/>
        </w:rPr>
        <w:t>Case referred to</w:t>
      </w:r>
      <w:r>
        <w:t>:</w:t>
      </w:r>
    </w:p>
    <w:p w14:paraId="7ECCFA7E" w14:textId="77777777" w:rsidR="00EA63E8" w:rsidRDefault="00EA63E8" w:rsidP="00EA63E8">
      <w:pPr>
        <w:tabs>
          <w:tab w:val="center" w:pos="540"/>
          <w:tab w:val="center" w:pos="2724"/>
        </w:tabs>
        <w:spacing w:after="259" w:line="259" w:lineRule="auto"/>
        <w:ind w:left="0" w:firstLine="0"/>
        <w:jc w:val="left"/>
      </w:pPr>
      <w:r>
        <w:rPr>
          <w:sz w:val="20"/>
        </w:rPr>
        <w:t>25.</w:t>
      </w:r>
      <w:r>
        <w:rPr>
          <w:sz w:val="20"/>
        </w:rPr>
        <w:tab/>
      </w:r>
      <w:r>
        <w:rPr>
          <w:i/>
        </w:rPr>
        <w:t>1.</w:t>
      </w:r>
      <w:r>
        <w:rPr>
          <w:i/>
        </w:rPr>
        <w:tab/>
        <w:t>Bwalya v The People (</w:t>
      </w:r>
      <w:proofErr w:type="gramStart"/>
      <w:r>
        <w:rPr>
          <w:i/>
        </w:rPr>
        <w:t>1995  1997</w:t>
      </w:r>
      <w:proofErr w:type="gramEnd"/>
      <w:r>
        <w:rPr>
          <w:i/>
        </w:rPr>
        <w:t>) Z.R 168</w:t>
      </w:r>
    </w:p>
    <w:p w14:paraId="18B2AA3D" w14:textId="77777777" w:rsidR="00EA63E8" w:rsidRDefault="00EA63E8" w:rsidP="00EA63E8">
      <w:pPr>
        <w:spacing w:after="265" w:line="255" w:lineRule="auto"/>
        <w:ind w:left="888" w:right="833"/>
        <w:jc w:val="left"/>
      </w:pPr>
      <w:r>
        <w:t xml:space="preserve">D.B. </w:t>
      </w:r>
      <w:proofErr w:type="spellStart"/>
      <w:r>
        <w:t>Mupeta</w:t>
      </w:r>
      <w:proofErr w:type="spellEnd"/>
      <w:r>
        <w:t xml:space="preserve">, Senior Legal Aid Counsel for the Appellant J.C. </w:t>
      </w:r>
      <w:proofErr w:type="spellStart"/>
      <w:r>
        <w:t>Kaumba</w:t>
      </w:r>
      <w:proofErr w:type="spellEnd"/>
      <w:r>
        <w:t xml:space="preserve"> (Mrs.), Deputy Chief State Advocate for the Respondent.</w:t>
      </w:r>
    </w:p>
    <w:p w14:paraId="1939A062" w14:textId="77777777" w:rsidR="00EA63E8" w:rsidRDefault="00EA63E8" w:rsidP="00EA63E8">
      <w:pPr>
        <w:ind w:left="888" w:right="55"/>
      </w:pPr>
      <w:r>
        <w:rPr>
          <w:b/>
        </w:rPr>
        <w:t>SAKALA, C.J</w:t>
      </w:r>
      <w:r>
        <w:t xml:space="preserve"> delivered the Judgment of the </w:t>
      </w:r>
      <w:r>
        <w:rPr>
          <w:b/>
        </w:rPr>
        <w:t>c</w:t>
      </w:r>
      <w:r>
        <w:t>ourt</w:t>
      </w:r>
      <w:r>
        <w:rPr>
          <w:b/>
        </w:rPr>
        <w:t xml:space="preserve">. </w:t>
      </w:r>
    </w:p>
    <w:p w14:paraId="52CA883F" w14:textId="77777777" w:rsidR="00EA63E8" w:rsidRDefault="00EA63E8" w:rsidP="00EA63E8">
      <w:pPr>
        <w:ind w:left="477" w:right="208" w:hanging="462"/>
      </w:pPr>
      <w:r>
        <w:rPr>
          <w:sz w:val="20"/>
        </w:rPr>
        <w:lastRenderedPageBreak/>
        <w:t xml:space="preserve">30. </w:t>
      </w:r>
      <w:r>
        <w:t>The appellant was tried and convicted for the offence of murder contrary to Section 200 of the Penal Code, Cap 87 of the laws of Zambia.  The particulars of the offence alleged that, the appellant, on 14</w:t>
      </w:r>
      <w:r>
        <w:rPr>
          <w:sz w:val="17"/>
          <w:vertAlign w:val="superscript"/>
        </w:rPr>
        <w:t>th</w:t>
      </w:r>
      <w:r>
        <w:t xml:space="preserve"> May </w:t>
      </w:r>
    </w:p>
    <w:p w14:paraId="3ED9BF04" w14:textId="77777777" w:rsidR="00EA63E8" w:rsidRDefault="00EA63E8" w:rsidP="00EA63E8">
      <w:pPr>
        <w:sectPr w:rsidR="00EA63E8">
          <w:headerReference w:type="even" r:id="rId4"/>
          <w:headerReference w:type="default" r:id="rId5"/>
          <w:footerReference w:type="even" r:id="rId6"/>
          <w:footerReference w:type="default" r:id="rId7"/>
          <w:headerReference w:type="first" r:id="rId8"/>
          <w:footerReference w:type="first" r:id="rId9"/>
          <w:pgSz w:w="8787" w:h="13323"/>
          <w:pgMar w:top="1285" w:right="733" w:bottom="1080" w:left="750" w:header="812" w:footer="351" w:gutter="0"/>
          <w:cols w:space="720"/>
        </w:sectPr>
      </w:pPr>
    </w:p>
    <w:p w14:paraId="4281C608" w14:textId="77777777" w:rsidR="00EA63E8" w:rsidRDefault="00EA63E8" w:rsidP="00EA63E8">
      <w:pPr>
        <w:spacing w:after="274" w:line="265" w:lineRule="auto"/>
        <w:ind w:left="483" w:right="138"/>
        <w:jc w:val="center"/>
      </w:pPr>
      <w:r>
        <w:rPr>
          <w:sz w:val="16"/>
        </w:rPr>
        <w:lastRenderedPageBreak/>
        <w:t>MUMBI v THE PEOPLE</w:t>
      </w:r>
    </w:p>
    <w:p w14:paraId="079708FC" w14:textId="77777777" w:rsidR="00EA63E8" w:rsidRDefault="00EA63E8" w:rsidP="00EA63E8">
      <w:pPr>
        <w:spacing w:after="39"/>
        <w:ind w:left="25" w:right="55"/>
      </w:pPr>
      <w:r>
        <w:t xml:space="preserve">2002, at Mufulira, in the Mufulira District of the Copperbelt Province of the Republic of </w:t>
      </w:r>
      <w:proofErr w:type="gramStart"/>
      <w:r>
        <w:t>Zambia ,</w:t>
      </w:r>
      <w:proofErr w:type="gramEnd"/>
      <w:r>
        <w:t xml:space="preserve"> murdered Elias </w:t>
      </w:r>
      <w:proofErr w:type="spellStart"/>
      <w:r>
        <w:t>Kapolowe</w:t>
      </w:r>
      <w:proofErr w:type="spellEnd"/>
      <w:r>
        <w:t xml:space="preserve">.  He was sentenced to suffer </w:t>
      </w:r>
      <w:proofErr w:type="spellStart"/>
      <w:r>
        <w:t>themandatory</w:t>
      </w:r>
      <w:proofErr w:type="spellEnd"/>
      <w:r>
        <w:t xml:space="preserve"> penalty of death.</w:t>
      </w:r>
      <w:r>
        <w:rPr>
          <w:sz w:val="17"/>
          <w:vertAlign w:val="superscript"/>
        </w:rPr>
        <w:t xml:space="preserve"> </w:t>
      </w:r>
    </w:p>
    <w:tbl>
      <w:tblPr>
        <w:tblStyle w:val="TableGrid"/>
        <w:tblW w:w="7415" w:type="dxa"/>
        <w:tblInd w:w="-19" w:type="dxa"/>
        <w:tblCellMar>
          <w:top w:w="0" w:type="dxa"/>
          <w:left w:w="0" w:type="dxa"/>
          <w:bottom w:w="0" w:type="dxa"/>
          <w:right w:w="0" w:type="dxa"/>
        </w:tblCellMar>
        <w:tblLook w:val="04A0" w:firstRow="1" w:lastRow="0" w:firstColumn="1" w:lastColumn="0" w:noHBand="0" w:noVBand="1"/>
      </w:tblPr>
      <w:tblGrid>
        <w:gridCol w:w="7140"/>
        <w:gridCol w:w="275"/>
      </w:tblGrid>
      <w:tr w:rsidR="00EA63E8" w14:paraId="1C39B5BE" w14:textId="77777777" w:rsidTr="004227C8">
        <w:trPr>
          <w:trHeight w:val="2426"/>
        </w:trPr>
        <w:tc>
          <w:tcPr>
            <w:tcW w:w="7415" w:type="dxa"/>
            <w:gridSpan w:val="2"/>
            <w:tcBorders>
              <w:top w:val="nil"/>
              <w:left w:val="nil"/>
              <w:bottom w:val="nil"/>
              <w:right w:val="nil"/>
            </w:tcBorders>
          </w:tcPr>
          <w:p w14:paraId="48406A7D" w14:textId="77777777" w:rsidR="00EA63E8" w:rsidRDefault="00EA63E8" w:rsidP="004227C8">
            <w:pPr>
              <w:spacing w:after="1" w:line="252" w:lineRule="auto"/>
              <w:ind w:left="19" w:firstLine="416"/>
            </w:pPr>
            <w:r>
              <w:t xml:space="preserve">The fact that the deceased died from </w:t>
            </w:r>
            <w:proofErr w:type="spellStart"/>
            <w:r>
              <w:t>gun shot</w:t>
            </w:r>
            <w:proofErr w:type="spellEnd"/>
            <w:r>
              <w:t xml:space="preserve"> wounds was not in dispute.  The evidence connecting the appellant to the offence was </w:t>
            </w:r>
            <w:r>
              <w:rPr>
                <w:sz w:val="20"/>
              </w:rPr>
              <w:t>5.</w:t>
            </w:r>
          </w:p>
          <w:p w14:paraId="6A420710" w14:textId="77777777" w:rsidR="00EA63E8" w:rsidRDefault="00EA63E8" w:rsidP="004227C8">
            <w:pPr>
              <w:spacing w:after="26"/>
              <w:ind w:left="19" w:right="15" w:firstLine="0"/>
            </w:pPr>
            <w:r>
              <w:t>adduced from PW3, who was the eyewitness to the incident.  PW3's evidence was that on 14</w:t>
            </w:r>
            <w:r>
              <w:rPr>
                <w:sz w:val="17"/>
                <w:vertAlign w:val="superscript"/>
              </w:rPr>
              <w:t>th</w:t>
            </w:r>
            <w:r>
              <w:t xml:space="preserve"> May, 2002, he was at PW2's house waiting to be paid for the work he had done for PW2. While at house, the appellant demanded a pair of shoes from PW2, his Uncle Pw2 refused to give him the pair of shoes. Thereafter, the appellant</w:t>
            </w:r>
            <w:r>
              <w:rPr>
                <w:sz w:val="17"/>
                <w:vertAlign w:val="superscript"/>
              </w:rPr>
              <w:t xml:space="preserve"> </w:t>
            </w:r>
            <w:r>
              <w:t xml:space="preserve">disappeared, but only to </w:t>
            </w:r>
            <w:r>
              <w:rPr>
                <w:sz w:val="20"/>
              </w:rPr>
              <w:t>10.</w:t>
            </w:r>
          </w:p>
          <w:p w14:paraId="0215DFDC" w14:textId="77777777" w:rsidR="00EA63E8" w:rsidRDefault="00EA63E8" w:rsidP="004227C8">
            <w:pPr>
              <w:spacing w:after="0" w:line="259" w:lineRule="auto"/>
              <w:ind w:left="19" w:firstLine="0"/>
            </w:pPr>
            <w:r>
              <w:t xml:space="preserve">reappear later armed with a gun, which he pointed at his uncle, PW2.  On seeing this, PW2 ran away.  The appellant then pointed the gun at PW3.  </w:t>
            </w:r>
          </w:p>
        </w:tc>
      </w:tr>
      <w:tr w:rsidR="00EA63E8" w14:paraId="7695A50D" w14:textId="77777777" w:rsidTr="004227C8">
        <w:trPr>
          <w:trHeight w:val="7475"/>
        </w:trPr>
        <w:tc>
          <w:tcPr>
            <w:tcW w:w="7140" w:type="dxa"/>
            <w:tcBorders>
              <w:top w:val="nil"/>
              <w:left w:val="nil"/>
              <w:bottom w:val="nil"/>
              <w:right w:val="nil"/>
            </w:tcBorders>
          </w:tcPr>
          <w:p w14:paraId="6CFE040D" w14:textId="77777777" w:rsidR="00EA63E8" w:rsidRDefault="00EA63E8" w:rsidP="004227C8">
            <w:pPr>
              <w:spacing w:after="261" w:line="260" w:lineRule="auto"/>
              <w:ind w:left="19" w:right="241" w:firstLine="0"/>
            </w:pPr>
            <w:r>
              <w:t xml:space="preserve">Upon seeing the appellant pointing the gun at PW3, the deceased panicked.  He stood up and moved towards the appellant.  The appellant then shot the deceased three times.  The evidence of PW6 </w:t>
            </w:r>
            <w:proofErr w:type="gramStart"/>
            <w:r>
              <w:t xml:space="preserve">was </w:t>
            </w:r>
            <w:r>
              <w:rPr>
                <w:sz w:val="17"/>
                <w:vertAlign w:val="superscript"/>
              </w:rPr>
              <w:t xml:space="preserve"> </w:t>
            </w:r>
            <w:r>
              <w:t>that</w:t>
            </w:r>
            <w:proofErr w:type="gramEnd"/>
            <w:r>
              <w:t xml:space="preserve"> he was the owner of the gun in issue.  It had been stolen from his house after it had been broken into.</w:t>
            </w:r>
          </w:p>
          <w:p w14:paraId="67EE693F" w14:textId="77777777" w:rsidR="00EA63E8" w:rsidRDefault="00EA63E8" w:rsidP="004227C8">
            <w:pPr>
              <w:spacing w:after="269" w:line="253" w:lineRule="auto"/>
              <w:ind w:left="18" w:right="221" w:firstLine="417"/>
            </w:pPr>
            <w:r>
              <w:t xml:space="preserve">In his </w:t>
            </w:r>
            <w:proofErr w:type="spellStart"/>
            <w:r>
              <w:t>defence</w:t>
            </w:r>
            <w:proofErr w:type="spellEnd"/>
            <w:r>
              <w:t xml:space="preserve">, the appellant elected to remain silent.  On behalf of the appellant, Mr. </w:t>
            </w:r>
            <w:proofErr w:type="spellStart"/>
            <w:r>
              <w:t>Mupeta</w:t>
            </w:r>
            <w:proofErr w:type="spellEnd"/>
            <w:r>
              <w:t xml:space="preserve"> advanced arguments only in support of the appeal against sentence.  He pointed out that there was evidence that the appellant had been drinking.  Mr. </w:t>
            </w:r>
            <w:proofErr w:type="spellStart"/>
            <w:r>
              <w:t>Mupeta</w:t>
            </w:r>
            <w:proofErr w:type="spellEnd"/>
            <w:r>
              <w:t xml:space="preserve"> urged us to consider extenuating</w:t>
            </w:r>
            <w:r>
              <w:rPr>
                <w:i/>
              </w:rPr>
              <w:t xml:space="preserve"> </w:t>
            </w:r>
            <w:r>
              <w:t xml:space="preserve">circumstances and impose an appropriate sentence. He specifically drew the attention of the court to page 15 of the record where it is recorded that </w:t>
            </w:r>
            <w:r>
              <w:rPr>
                <w:i/>
              </w:rPr>
              <w:t>“He was smelling beer when I apprehended him.  He appeared to be drunk at the time”.</w:t>
            </w:r>
            <w:r>
              <w:t xml:space="preserve">  Mr. </w:t>
            </w:r>
            <w:proofErr w:type="spellStart"/>
            <w:r>
              <w:t>Mupeta</w:t>
            </w:r>
            <w:proofErr w:type="spellEnd"/>
            <w:r>
              <w:t xml:space="preserve"> also referred us to page 13 of the record</w:t>
            </w:r>
            <w:r>
              <w:rPr>
                <w:i/>
              </w:rPr>
              <w:t>,</w:t>
            </w:r>
            <w:r>
              <w:t xml:space="preserve"> where it is recorded that </w:t>
            </w:r>
            <w:r>
              <w:rPr>
                <w:b/>
              </w:rPr>
              <w:t>“</w:t>
            </w:r>
            <w:r>
              <w:rPr>
                <w:i/>
              </w:rPr>
              <w:t>When Justin arrived, he was given some beer and he drank.”</w:t>
            </w:r>
            <w:r>
              <w:t xml:space="preserve"> Counsel submitted that and his evidence supported the state of mind of a drunken person. In response, Mrs. </w:t>
            </w:r>
            <w:proofErr w:type="spellStart"/>
            <w:r>
              <w:t>Kaumba</w:t>
            </w:r>
            <w:proofErr w:type="spellEnd"/>
            <w:r>
              <w:t xml:space="preserve"> informed the court that the state supported the conviction.  She pointed out that the appellant had elected to remain silent and the court believed, in total, the evidence of PW3, the eyewitness. On sentence, Mrs. </w:t>
            </w:r>
            <w:proofErr w:type="spellStart"/>
            <w:r>
              <w:t>Kaumba</w:t>
            </w:r>
            <w:proofErr w:type="spellEnd"/>
            <w:r>
              <w:t xml:space="preserve"> agreed that the</w:t>
            </w:r>
            <w:r>
              <w:rPr>
                <w:i/>
              </w:rPr>
              <w:t xml:space="preserve"> </w:t>
            </w:r>
            <w:r>
              <w:t>evidence of the appellant's drunkenness amounted to extenuating circumstances.</w:t>
            </w:r>
          </w:p>
          <w:p w14:paraId="40487FE9" w14:textId="77777777" w:rsidR="00EA63E8" w:rsidRDefault="00EA63E8" w:rsidP="004227C8">
            <w:pPr>
              <w:spacing w:after="0" w:line="253" w:lineRule="auto"/>
              <w:ind w:left="18" w:right="234" w:firstLine="416"/>
            </w:pPr>
            <w:r>
              <w:t>On the evidence of PW3, which the trial court accepted, we are satisfied that the appellant shot the deceased and that the deceased died from gunshot wounds. The appeal against conviction has no chance of success.</w:t>
            </w:r>
          </w:p>
          <w:p w14:paraId="385FE84F" w14:textId="77777777" w:rsidR="00EA63E8" w:rsidRDefault="00EA63E8" w:rsidP="004227C8">
            <w:pPr>
              <w:spacing w:after="0" w:line="259" w:lineRule="auto"/>
              <w:ind w:left="0" w:firstLine="0"/>
              <w:jc w:val="left"/>
            </w:pPr>
            <w:r>
              <w:t>It is accordingly dismissed.</w:t>
            </w:r>
          </w:p>
        </w:tc>
        <w:tc>
          <w:tcPr>
            <w:tcW w:w="275" w:type="dxa"/>
            <w:tcBorders>
              <w:top w:val="nil"/>
              <w:left w:val="nil"/>
              <w:bottom w:val="nil"/>
              <w:right w:val="nil"/>
            </w:tcBorders>
          </w:tcPr>
          <w:p w14:paraId="525FF04C" w14:textId="77777777" w:rsidR="00EA63E8" w:rsidRDefault="00EA63E8" w:rsidP="004227C8">
            <w:pPr>
              <w:spacing w:after="1348" w:line="259" w:lineRule="auto"/>
              <w:ind w:left="10" w:firstLine="0"/>
            </w:pPr>
            <w:r>
              <w:rPr>
                <w:sz w:val="20"/>
              </w:rPr>
              <w:t>15.</w:t>
            </w:r>
          </w:p>
          <w:p w14:paraId="45926608" w14:textId="77777777" w:rsidR="00EA63E8" w:rsidRDefault="00EA63E8" w:rsidP="004227C8">
            <w:pPr>
              <w:spacing w:after="1096" w:line="259" w:lineRule="auto"/>
              <w:ind w:left="10" w:firstLine="0"/>
            </w:pPr>
            <w:r>
              <w:rPr>
                <w:sz w:val="20"/>
              </w:rPr>
              <w:t>20.</w:t>
            </w:r>
          </w:p>
          <w:p w14:paraId="1C611341" w14:textId="77777777" w:rsidR="00EA63E8" w:rsidRDefault="00EA63E8" w:rsidP="004227C8">
            <w:pPr>
              <w:spacing w:after="1120" w:line="259" w:lineRule="auto"/>
              <w:ind w:left="10" w:firstLine="0"/>
            </w:pPr>
            <w:r>
              <w:rPr>
                <w:sz w:val="20"/>
              </w:rPr>
              <w:t>25.</w:t>
            </w:r>
          </w:p>
          <w:p w14:paraId="532C6FFE" w14:textId="77777777" w:rsidR="00EA63E8" w:rsidRDefault="00EA63E8" w:rsidP="004227C8">
            <w:pPr>
              <w:spacing w:after="1327" w:line="259" w:lineRule="auto"/>
              <w:ind w:left="0" w:firstLine="0"/>
            </w:pPr>
            <w:r>
              <w:t>30.</w:t>
            </w:r>
          </w:p>
          <w:p w14:paraId="6AD132C5" w14:textId="77777777" w:rsidR="00EA63E8" w:rsidRDefault="00EA63E8" w:rsidP="004227C8">
            <w:pPr>
              <w:spacing w:after="0" w:line="259" w:lineRule="auto"/>
              <w:ind w:left="0" w:firstLine="0"/>
            </w:pPr>
            <w:r>
              <w:t>35.</w:t>
            </w:r>
          </w:p>
        </w:tc>
      </w:tr>
    </w:tbl>
    <w:p w14:paraId="65E9DCBB" w14:textId="77777777" w:rsidR="00EA63E8" w:rsidRDefault="00EA63E8" w:rsidP="00EA63E8">
      <w:pPr>
        <w:spacing w:after="259"/>
        <w:ind w:left="474" w:right="55" w:firstLine="416"/>
      </w:pPr>
      <w:r>
        <w:t xml:space="preserve">On sentence, both learned </w:t>
      </w:r>
      <w:proofErr w:type="gramStart"/>
      <w:r>
        <w:t>counsel</w:t>
      </w:r>
      <w:proofErr w:type="gramEnd"/>
      <w:r>
        <w:t xml:space="preserve"> agreed that the evidence of drunkenness amounted to extenuating circumstances.  Before sentencing the appellant, the learned trial Judge had this to say:</w:t>
      </w:r>
    </w:p>
    <w:p w14:paraId="57C5D942" w14:textId="77777777" w:rsidR="00EA63E8" w:rsidRDefault="00EA63E8" w:rsidP="00EA63E8">
      <w:pPr>
        <w:spacing w:after="4" w:line="259" w:lineRule="auto"/>
        <w:ind w:left="10" w:right="53"/>
        <w:jc w:val="right"/>
      </w:pPr>
      <w:r>
        <w:rPr>
          <w:i/>
        </w:rPr>
        <w:t xml:space="preserve">“I have taken into account the fact that the convict is a first offender who </w:t>
      </w:r>
    </w:p>
    <w:p w14:paraId="5C2CA552" w14:textId="77777777" w:rsidR="00EA63E8" w:rsidRDefault="00EA63E8" w:rsidP="00EA63E8">
      <w:pPr>
        <w:spacing w:line="259" w:lineRule="auto"/>
        <w:ind w:left="1242" w:right="43" w:hanging="1227"/>
      </w:pPr>
      <w:r>
        <w:rPr>
          <w:sz w:val="20"/>
        </w:rPr>
        <w:t xml:space="preserve">5. </w:t>
      </w:r>
      <w:r>
        <w:rPr>
          <w:i/>
        </w:rPr>
        <w:t xml:space="preserve">is very young and I have also considered what the learned </w:t>
      </w:r>
      <w:proofErr w:type="spellStart"/>
      <w:r>
        <w:rPr>
          <w:i/>
        </w:rPr>
        <w:t>defence</w:t>
      </w:r>
      <w:proofErr w:type="spellEnd"/>
      <w:r>
        <w:rPr>
          <w:i/>
        </w:rPr>
        <w:t xml:space="preserve"> counsel has submitted in mitigation.  However, in the light of the evidence before this court, where the convict even went to the </w:t>
      </w:r>
      <w:r>
        <w:rPr>
          <w:i/>
        </w:rPr>
        <w:lastRenderedPageBreak/>
        <w:t xml:space="preserve">extent of breaking into someone's house just to secure a gun in order to commit a felony, I find that drunkenness would not suffice as an extenuating </w:t>
      </w:r>
    </w:p>
    <w:p w14:paraId="37CF2DA8" w14:textId="77777777" w:rsidR="00EA63E8" w:rsidRDefault="00EA63E8" w:rsidP="00EA63E8">
      <w:pPr>
        <w:spacing w:line="259" w:lineRule="auto"/>
        <w:ind w:left="1242" w:right="43" w:hanging="1227"/>
      </w:pPr>
      <w:r>
        <w:rPr>
          <w:sz w:val="20"/>
        </w:rPr>
        <w:t xml:space="preserve">10. </w:t>
      </w:r>
      <w:r>
        <w:rPr>
          <w:i/>
        </w:rPr>
        <w:t xml:space="preserve">circumstance for this court not to impose the mandatory sentence for the offence of Murder. Furthermore, drunkenness was not pleaded as a </w:t>
      </w:r>
      <w:proofErr w:type="spellStart"/>
      <w:r>
        <w:rPr>
          <w:i/>
        </w:rPr>
        <w:t>defence</w:t>
      </w:r>
      <w:proofErr w:type="spellEnd"/>
      <w:r>
        <w:rPr>
          <w:i/>
        </w:rPr>
        <w:t xml:space="preserve">, but accidental shooting was what was alluded to.  Therefore, in the circumstances, I have no option but to impose the mandatory statutory death sentence, which is for the convict to be hanged by the </w:t>
      </w:r>
    </w:p>
    <w:p w14:paraId="22174AF8" w14:textId="77777777" w:rsidR="00EA63E8" w:rsidRDefault="00EA63E8" w:rsidP="00EA63E8">
      <w:pPr>
        <w:tabs>
          <w:tab w:val="center" w:pos="2217"/>
        </w:tabs>
        <w:spacing w:after="233" w:line="259" w:lineRule="auto"/>
        <w:ind w:left="0" w:firstLine="0"/>
        <w:jc w:val="left"/>
      </w:pPr>
      <w:r>
        <w:rPr>
          <w:sz w:val="20"/>
        </w:rPr>
        <w:t>15.</w:t>
      </w:r>
      <w:r>
        <w:rPr>
          <w:sz w:val="20"/>
        </w:rPr>
        <w:tab/>
      </w:r>
      <w:r>
        <w:rPr>
          <w:i/>
        </w:rPr>
        <w:t>neck until he is dead.”</w:t>
      </w:r>
    </w:p>
    <w:p w14:paraId="72A3C3C3" w14:textId="77777777" w:rsidR="00EA63E8" w:rsidRDefault="00EA63E8" w:rsidP="00EA63E8">
      <w:pPr>
        <w:ind w:left="466" w:right="55"/>
      </w:pPr>
      <w:r>
        <w:t xml:space="preserve">We are unable to criticize the learned trial Judge for taking this </w:t>
      </w:r>
      <w:proofErr w:type="gramStart"/>
      <w:r>
        <w:t xml:space="preserve">approach </w:t>
      </w:r>
      <w:r>
        <w:rPr>
          <w:sz w:val="17"/>
          <w:vertAlign w:val="superscript"/>
        </w:rPr>
        <w:t xml:space="preserve"> </w:t>
      </w:r>
      <w:r>
        <w:t>and</w:t>
      </w:r>
      <w:proofErr w:type="gramEnd"/>
      <w:r>
        <w:t xml:space="preserve"> rejecting drunkenness as an extenuating circumstance.  In the case of </w:t>
      </w:r>
      <w:r>
        <w:rPr>
          <w:i/>
        </w:rPr>
        <w:t xml:space="preserve">Bwalya v The </w:t>
      </w:r>
      <w:proofErr w:type="gramStart"/>
      <w:r>
        <w:rPr>
          <w:i/>
        </w:rPr>
        <w:t>People</w:t>
      </w:r>
      <w:r>
        <w:t>,</w:t>
      </w:r>
      <w:r>
        <w:rPr>
          <w:sz w:val="17"/>
          <w:vertAlign w:val="superscript"/>
        </w:rPr>
        <w:t>(</w:t>
      </w:r>
      <w:proofErr w:type="gramEnd"/>
      <w:r>
        <w:rPr>
          <w:sz w:val="17"/>
          <w:vertAlign w:val="superscript"/>
        </w:rPr>
        <w:t>1)</w:t>
      </w:r>
      <w:r>
        <w:t xml:space="preserve"> the evidence revealed that there was general </w:t>
      </w:r>
      <w:proofErr w:type="spellStart"/>
      <w:r>
        <w:t>drunkness</w:t>
      </w:r>
      <w:proofErr w:type="spellEnd"/>
      <w:r>
        <w:t xml:space="preserve"> prevailing whereby the appellant picked a quarrel with </w:t>
      </w:r>
    </w:p>
    <w:p w14:paraId="0F9A0E79" w14:textId="77777777" w:rsidR="00EA63E8" w:rsidRDefault="00EA63E8" w:rsidP="00EA63E8">
      <w:pPr>
        <w:spacing w:after="259"/>
        <w:ind w:left="488" w:right="55" w:hanging="473"/>
      </w:pPr>
      <w:r>
        <w:rPr>
          <w:sz w:val="20"/>
        </w:rPr>
        <w:t xml:space="preserve">20. </w:t>
      </w:r>
      <w:r>
        <w:t>several people, one after the other, when he suddenly picked up a pounding stick and smote the deceased on the head.</w:t>
      </w:r>
      <w:r>
        <w:rPr>
          <w:b/>
        </w:rPr>
        <w:t xml:space="preserve"> </w:t>
      </w:r>
      <w:r>
        <w:t>The deceased died suddenly.  This court said when dealing with sentence:</w:t>
      </w:r>
    </w:p>
    <w:p w14:paraId="2429EA89" w14:textId="77777777" w:rsidR="00EA63E8" w:rsidRDefault="00EA63E8" w:rsidP="00EA63E8">
      <w:pPr>
        <w:spacing w:after="276" w:line="259" w:lineRule="auto"/>
        <w:ind w:left="15" w:right="43" w:firstLine="1163"/>
      </w:pPr>
      <w:r>
        <w:rPr>
          <w:i/>
        </w:rPr>
        <w:t xml:space="preserve">“…We consider that the drunken circumstances generally attending upon the occasion sufficiently reduced the amount of moral culpability </w:t>
      </w:r>
      <w:r>
        <w:rPr>
          <w:sz w:val="20"/>
        </w:rPr>
        <w:t xml:space="preserve">25. </w:t>
      </w:r>
      <w:r>
        <w:rPr>
          <w:i/>
        </w:rPr>
        <w:t>so that there was extenuation.”</w:t>
      </w:r>
    </w:p>
    <w:p w14:paraId="7717548C" w14:textId="77777777" w:rsidR="00EA63E8" w:rsidRDefault="00EA63E8" w:rsidP="00EA63E8">
      <w:pPr>
        <w:ind w:left="473" w:right="55" w:firstLine="416"/>
      </w:pPr>
      <w:r>
        <w:t xml:space="preserve">We set aside the death sentence in that case and replaced it with a sentence of 10 years imprisonment with hard </w:t>
      </w:r>
      <w:proofErr w:type="spellStart"/>
      <w:r>
        <w:t>labour</w:t>
      </w:r>
      <w:proofErr w:type="spellEnd"/>
      <w:r>
        <w:t xml:space="preserve">. The evidence accepted in the case now before us was that the appellant demanded for a pair of shoes from his uncle.  When his uncle did not attend to his </w:t>
      </w:r>
    </w:p>
    <w:p w14:paraId="55136356" w14:textId="77777777" w:rsidR="00EA63E8" w:rsidRDefault="00EA63E8" w:rsidP="00EA63E8">
      <w:pPr>
        <w:ind w:left="488" w:right="55" w:hanging="473"/>
      </w:pPr>
      <w:r>
        <w:t xml:space="preserve">30. demand, he disappeared, but only to return later armed with a gun.  He aimed this gun at his uncle who ran away, but subsequently shot the deceased.  Further evidence revealed that the gun in issue had actually been stolen after the house of PW6 had been broken into. On this evidence, we find no extenuation.  The appeal against the death sentence </w:t>
      </w:r>
    </w:p>
    <w:p w14:paraId="63D6CA68" w14:textId="77777777" w:rsidR="00EA63E8" w:rsidRDefault="00EA63E8" w:rsidP="00EA63E8">
      <w:pPr>
        <w:tabs>
          <w:tab w:val="center" w:pos="1339"/>
        </w:tabs>
        <w:spacing w:after="285"/>
        <w:ind w:left="0" w:firstLine="0"/>
        <w:jc w:val="left"/>
      </w:pPr>
      <w:r>
        <w:t>35.</w:t>
      </w:r>
      <w:r>
        <w:tab/>
        <w:t>is also dismissed.</w:t>
      </w:r>
    </w:p>
    <w:p w14:paraId="421FF4C3" w14:textId="77777777" w:rsidR="00EA63E8" w:rsidRDefault="00EA63E8" w:rsidP="00EA63E8">
      <w:pPr>
        <w:spacing w:line="259" w:lineRule="auto"/>
        <w:ind w:left="461" w:right="43" w:hanging="6"/>
      </w:pPr>
      <w:r>
        <w:rPr>
          <w:i/>
        </w:rPr>
        <w:t>Appeal dismissed.</w:t>
      </w:r>
    </w:p>
    <w:p w14:paraId="5EFDB5C7" w14:textId="77777777" w:rsidR="00EA63E8" w:rsidRDefault="00EA63E8" w:rsidP="00EA63E8">
      <w:pPr>
        <w:spacing w:after="11" w:line="253" w:lineRule="auto"/>
        <w:ind w:left="177"/>
        <w:jc w:val="left"/>
      </w:pPr>
      <w:r>
        <w:rPr>
          <w:b/>
        </w:rPr>
        <w:t>THE RATING VALUATION CONSORTIUM</w:t>
      </w:r>
    </w:p>
    <w:p w14:paraId="4633846F" w14:textId="77777777" w:rsidR="00E54D61" w:rsidRDefault="00EA63E8" w:rsidP="00EA63E8">
      <w:r>
        <w:rPr>
          <w:b/>
        </w:rPr>
        <w:t>D W ZYAMBO &amp; ASSOCIATES (</w:t>
      </w:r>
      <w:r>
        <w:t>Suing as a firm</w:t>
      </w:r>
    </w:p>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F1F0A" w14:textId="77777777" w:rsidR="00B74CFC" w:rsidRDefault="00EA63E8">
    <w:pPr>
      <w:spacing w:after="0" w:line="259" w:lineRule="auto"/>
      <w:ind w:left="16" w:firstLine="0"/>
      <w:jc w:val="center"/>
    </w:pPr>
    <w:r>
      <w:fldChar w:fldCharType="begin"/>
    </w:r>
    <w:r>
      <w:instrText xml:space="preserve"> PAGE   \* MERGEFORMAT </w:instrText>
    </w:r>
    <w:r>
      <w:fldChar w:fldCharType="separate"/>
    </w:r>
    <w:r>
      <w:rPr>
        <w:b/>
        <w:color w:val="292926"/>
        <w:sz w:val="24"/>
      </w:rPr>
      <w:t>1</w:t>
    </w:r>
    <w:r>
      <w:rPr>
        <w:b/>
        <w:color w:val="292926"/>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F08E" w14:textId="77777777" w:rsidR="00B74CFC" w:rsidRDefault="00EA63E8">
    <w:pPr>
      <w:spacing w:after="0" w:line="259" w:lineRule="auto"/>
      <w:ind w:left="16" w:firstLine="0"/>
      <w:jc w:val="center"/>
    </w:pPr>
    <w:r>
      <w:fldChar w:fldCharType="begin"/>
    </w:r>
    <w:r>
      <w:instrText xml:space="preserve"> PAGE   \* MERGEFORMAT </w:instrText>
    </w:r>
    <w:r>
      <w:fldChar w:fldCharType="separate"/>
    </w:r>
    <w:r>
      <w:rPr>
        <w:b/>
        <w:color w:val="292926"/>
        <w:sz w:val="24"/>
      </w:rPr>
      <w:t>1</w:t>
    </w:r>
    <w:r>
      <w:rPr>
        <w:b/>
        <w:color w:val="292926"/>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8CEF8" w14:textId="77777777" w:rsidR="00B74CFC" w:rsidRDefault="00EA63E8">
    <w:pPr>
      <w:spacing w:after="0" w:line="259" w:lineRule="auto"/>
      <w:ind w:left="16" w:firstLine="0"/>
      <w:jc w:val="center"/>
    </w:pPr>
    <w:r>
      <w:fldChar w:fldCharType="begin"/>
    </w:r>
    <w:r>
      <w:instrText xml:space="preserve"> PAGE   \* MERGEFORMAT </w:instrText>
    </w:r>
    <w:r>
      <w:fldChar w:fldCharType="separate"/>
    </w:r>
    <w:r>
      <w:rPr>
        <w:b/>
        <w:color w:val="292926"/>
        <w:sz w:val="24"/>
      </w:rPr>
      <w:t>1</w:t>
    </w:r>
    <w:r>
      <w:rPr>
        <w:b/>
        <w:color w:val="292926"/>
        <w:sz w:val="24"/>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4E8C0" w14:textId="77777777" w:rsidR="00B74CFC" w:rsidRDefault="00EA63E8">
    <w:pPr>
      <w:spacing w:after="0" w:line="259" w:lineRule="auto"/>
      <w:ind w:left="0" w:right="9"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124F0584" wp14:editId="7C9362E7">
              <wp:simplePos x="0" y="0"/>
              <wp:positionH relativeFrom="page">
                <wp:posOffset>484718</wp:posOffset>
              </wp:positionH>
              <wp:positionV relativeFrom="page">
                <wp:posOffset>646895</wp:posOffset>
              </wp:positionV>
              <wp:extent cx="4610564" cy="12701"/>
              <wp:effectExtent l="0" t="0" r="0" b="0"/>
              <wp:wrapSquare wrapText="bothSides"/>
              <wp:docPr id="373250" name="Group 373250"/>
              <wp:cNvGraphicFramePr/>
              <a:graphic xmlns:a="http://schemas.openxmlformats.org/drawingml/2006/main">
                <a:graphicData uri="http://schemas.microsoft.com/office/word/2010/wordprocessingGroup">
                  <wpg:wgp>
                    <wpg:cNvGrpSpPr/>
                    <wpg:grpSpPr>
                      <a:xfrm>
                        <a:off x="0" y="0"/>
                        <a:ext cx="4610564" cy="12701"/>
                        <a:chOff x="0" y="0"/>
                        <a:chExt cx="4610564" cy="12701"/>
                      </a:xfrm>
                    </wpg:grpSpPr>
                    <wps:wsp>
                      <wps:cNvPr id="373251" name="Shape 373251"/>
                      <wps:cNvSpPr/>
                      <wps:spPr>
                        <a:xfrm>
                          <a:off x="0" y="0"/>
                          <a:ext cx="4610564" cy="0"/>
                        </a:xfrm>
                        <a:custGeom>
                          <a:avLst/>
                          <a:gdLst/>
                          <a:ahLst/>
                          <a:cxnLst/>
                          <a:rect l="0" t="0" r="0" b="0"/>
                          <a:pathLst>
                            <a:path w="4610564">
                              <a:moveTo>
                                <a:pt x="0" y="0"/>
                              </a:moveTo>
                              <a:lnTo>
                                <a:pt x="4610564" y="0"/>
                              </a:lnTo>
                            </a:path>
                          </a:pathLst>
                        </a:custGeom>
                        <a:ln w="12701" cap="flat">
                          <a:miter lim="127000"/>
                        </a:ln>
                      </wps:spPr>
                      <wps:style>
                        <a:lnRef idx="1">
                          <a:srgbClr val="292926"/>
                        </a:lnRef>
                        <a:fillRef idx="0">
                          <a:srgbClr val="000000">
                            <a:alpha val="0"/>
                          </a:srgbClr>
                        </a:fillRef>
                        <a:effectRef idx="0">
                          <a:scrgbClr r="0" g="0" b="0"/>
                        </a:effectRef>
                        <a:fontRef idx="none"/>
                      </wps:style>
                      <wps:bodyPr/>
                    </wps:wsp>
                  </wpg:wgp>
                </a:graphicData>
              </a:graphic>
            </wp:anchor>
          </w:drawing>
        </mc:Choice>
        <mc:Fallback>
          <w:pict>
            <v:group w14:anchorId="62D93E6B" id="Group 373250" o:spid="_x0000_s1026" style="position:absolute;margin-left:38.15pt;margin-top:50.95pt;width:363.05pt;height:1pt;z-index:251659264;mso-position-horizontal-relative:page;mso-position-vertical-relative:page" coordsize="4610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">
              <v:shape id="Shape 373251" o:spid="_x0000_s1027" style="position:absolute;width:46105;height:0;visibility:visible;mso-wrap-style:square;v-text-anchor:top" coordsize="461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" path="m,l4610564,e" filled="f" strokecolor="#292926" strokeweight=".35281mm">
                <v:stroke miterlimit="83231f" joinstyle="miter"/>
                <v:path arrowok="t" textboxrect="0,0,4610564,0"/>
              </v:shape>
              <w10:wrap type="square" anchorx="page" anchory="page"/>
            </v:group>
          </w:pict>
        </mc:Fallback>
      </mc:AlternateContent>
    </w:r>
    <w:r>
      <w:rPr>
        <w:sz w:val="16"/>
      </w:rPr>
      <w:t>ZAMBIA LAW REPORTS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5988E" w14:textId="77777777" w:rsidR="00B74CFC" w:rsidRDefault="00EA63E8">
    <w:pPr>
      <w:spacing w:after="0" w:line="259" w:lineRule="auto"/>
      <w:ind w:left="0" w:right="23"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3D4642D6" wp14:editId="4B7EDC97">
              <wp:simplePos x="0" y="0"/>
              <wp:positionH relativeFrom="page">
                <wp:posOffset>484718</wp:posOffset>
              </wp:positionH>
              <wp:positionV relativeFrom="page">
                <wp:posOffset>646895</wp:posOffset>
              </wp:positionV>
              <wp:extent cx="4610564" cy="12701"/>
              <wp:effectExtent l="0" t="0" r="0" b="0"/>
              <wp:wrapSquare wrapText="bothSides"/>
              <wp:docPr id="373236" name="Group 373236"/>
              <wp:cNvGraphicFramePr/>
              <a:graphic xmlns:a="http://schemas.openxmlformats.org/drawingml/2006/main">
                <a:graphicData uri="http://schemas.microsoft.com/office/word/2010/wordprocessingGroup">
                  <wpg:wgp>
                    <wpg:cNvGrpSpPr/>
                    <wpg:grpSpPr>
                      <a:xfrm>
                        <a:off x="0" y="0"/>
                        <a:ext cx="4610564" cy="12701"/>
                        <a:chOff x="0" y="0"/>
                        <a:chExt cx="4610564" cy="12701"/>
                      </a:xfrm>
                    </wpg:grpSpPr>
                    <wps:wsp>
                      <wps:cNvPr id="373237" name="Shape 373237"/>
                      <wps:cNvSpPr/>
                      <wps:spPr>
                        <a:xfrm>
                          <a:off x="0" y="0"/>
                          <a:ext cx="4610564" cy="0"/>
                        </a:xfrm>
                        <a:custGeom>
                          <a:avLst/>
                          <a:gdLst/>
                          <a:ahLst/>
                          <a:cxnLst/>
                          <a:rect l="0" t="0" r="0" b="0"/>
                          <a:pathLst>
                            <a:path w="4610564">
                              <a:moveTo>
                                <a:pt x="0" y="0"/>
                              </a:moveTo>
                              <a:lnTo>
                                <a:pt x="4610564" y="0"/>
                              </a:lnTo>
                            </a:path>
                          </a:pathLst>
                        </a:custGeom>
                        <a:ln w="12701" cap="flat">
                          <a:miter lim="127000"/>
                        </a:ln>
                      </wps:spPr>
                      <wps:style>
                        <a:lnRef idx="1">
                          <a:srgbClr val="292926"/>
                        </a:lnRef>
                        <a:fillRef idx="0">
                          <a:srgbClr val="000000">
                            <a:alpha val="0"/>
                          </a:srgbClr>
                        </a:fillRef>
                        <a:effectRef idx="0">
                          <a:scrgbClr r="0" g="0" b="0"/>
                        </a:effectRef>
                        <a:fontRef idx="none"/>
                      </wps:style>
                      <wps:bodyPr/>
                    </wps:wsp>
                  </wpg:wgp>
                </a:graphicData>
              </a:graphic>
            </wp:anchor>
          </w:drawing>
        </mc:Choice>
        <mc:Fallback>
          <w:pict>
            <v:group w14:anchorId="244E4F96" id="Group 373236" o:spid="_x0000_s1026" style="position:absolute;margin-left:38.15pt;margin-top:50.95pt;width:363.05pt;height:1pt;z-index:251660288;mso-position-horizontal-relative:page;mso-position-vertical-relative:page" coordsize="4610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">
              <v:shape id="Shape 373237" o:spid="_x0000_s1027" style="position:absolute;width:46105;height:0;visibility:visible;mso-wrap-style:square;v-text-anchor:top" coordsize="461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" path="m,l4610564,e" filled="f" strokecolor="#292926" strokeweight=".35281mm">
                <v:stroke miterlimit="83231f" joinstyle="miter"/>
                <v:path arrowok="t" textboxrect="0,0,4610564,0"/>
              </v:shape>
              <w10:wrap type="square" anchorx="page" anchory="page"/>
            </v:group>
          </w:pict>
        </mc:Fallback>
      </mc:AlternateContent>
    </w:r>
    <w:r>
      <w:rPr>
        <w:sz w:val="16"/>
      </w:rPr>
      <w:t>MULUNGUSHI v CHOMBA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9DBC6" w14:textId="77777777" w:rsidR="00B74CFC" w:rsidRDefault="00EA63E8">
    <w:pPr>
      <w:spacing w:after="0" w:line="259" w:lineRule="auto"/>
      <w:ind w:left="0" w:right="9"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CE16652" wp14:editId="4E1F2CFB">
              <wp:simplePos x="0" y="0"/>
              <wp:positionH relativeFrom="page">
                <wp:posOffset>484718</wp:posOffset>
              </wp:positionH>
              <wp:positionV relativeFrom="page">
                <wp:posOffset>646895</wp:posOffset>
              </wp:positionV>
              <wp:extent cx="4610564" cy="12701"/>
              <wp:effectExtent l="0" t="0" r="0" b="0"/>
              <wp:wrapSquare wrapText="bothSides"/>
              <wp:docPr id="373222" name="Group 373222"/>
              <wp:cNvGraphicFramePr/>
              <a:graphic xmlns:a="http://schemas.openxmlformats.org/drawingml/2006/main">
                <a:graphicData uri="http://schemas.microsoft.com/office/word/2010/wordprocessingGroup">
                  <wpg:wgp>
                    <wpg:cNvGrpSpPr/>
                    <wpg:grpSpPr>
                      <a:xfrm>
                        <a:off x="0" y="0"/>
                        <a:ext cx="4610564" cy="12701"/>
                        <a:chOff x="0" y="0"/>
                        <a:chExt cx="4610564" cy="12701"/>
                      </a:xfrm>
                    </wpg:grpSpPr>
                    <wps:wsp>
                      <wps:cNvPr id="373223" name="Shape 373223"/>
                      <wps:cNvSpPr/>
                      <wps:spPr>
                        <a:xfrm>
                          <a:off x="0" y="0"/>
                          <a:ext cx="4610564" cy="0"/>
                        </a:xfrm>
                        <a:custGeom>
                          <a:avLst/>
                          <a:gdLst/>
                          <a:ahLst/>
                          <a:cxnLst/>
                          <a:rect l="0" t="0" r="0" b="0"/>
                          <a:pathLst>
                            <a:path w="4610564">
                              <a:moveTo>
                                <a:pt x="0" y="0"/>
                              </a:moveTo>
                              <a:lnTo>
                                <a:pt x="4610564" y="0"/>
                              </a:lnTo>
                            </a:path>
                          </a:pathLst>
                        </a:custGeom>
                        <a:ln w="12701" cap="flat">
                          <a:miter lim="127000"/>
                        </a:ln>
                      </wps:spPr>
                      <wps:style>
                        <a:lnRef idx="1">
                          <a:srgbClr val="292926"/>
                        </a:lnRef>
                        <a:fillRef idx="0">
                          <a:srgbClr val="000000">
                            <a:alpha val="0"/>
                          </a:srgbClr>
                        </a:fillRef>
                        <a:effectRef idx="0">
                          <a:scrgbClr r="0" g="0" b="0"/>
                        </a:effectRef>
                        <a:fontRef idx="none"/>
                      </wps:style>
                      <wps:bodyPr/>
                    </wps:wsp>
                  </wpg:wgp>
                </a:graphicData>
              </a:graphic>
            </wp:anchor>
          </w:drawing>
        </mc:Choice>
        <mc:Fallback>
          <w:pict>
            <v:group w14:anchorId="1D270E66" id="Group 373222" o:spid="_x0000_s1026" style="position:absolute;margin-left:38.15pt;margin-top:50.95pt;width:363.05pt;height:1pt;z-index:251661312;mso-position-horizontal-relative:page;mso-position-vertical-relative:page" coordsize="4610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">
              <v:shape id="Shape 373223" o:spid="_x0000_s1027" style="position:absolute;width:46105;height:0;visibility:visible;mso-wrap-style:square;v-text-anchor:top" coordsize="461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" path="m,l4610564,e" filled="f" strokecolor="#292926" strokeweight=".35281mm">
                <v:stroke miterlimit="83231f" joinstyle="miter"/>
                <v:path arrowok="t" textboxrect="0,0,4610564,0"/>
              </v:shape>
              <w10:wrap type="square" anchorx="page" anchory="page"/>
            </v:group>
          </w:pict>
        </mc:Fallback>
      </mc:AlternateContent>
    </w:r>
    <w:r>
      <w:rPr>
        <w:sz w:val="16"/>
      </w:rPr>
      <w:t>ZAMBIA LAW REPORTS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3E8"/>
    <w:rsid w:val="009B7E05"/>
    <w:rsid w:val="00E54D61"/>
    <w:rsid w:val="00EA6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872E"/>
  <w15:chartTrackingRefBased/>
  <w15:docId w15:val="{79897B68-6DC3-456F-9EB3-EED9514F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3E8"/>
    <w:pPr>
      <w:spacing w:after="5" w:line="261" w:lineRule="auto"/>
      <w:ind w:left="29"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EA63E8"/>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5461</Characters>
  <Application>Microsoft Office Word</Application>
  <DocSecurity>0</DocSecurity>
  <Lines>45</Lines>
  <Paragraphs>12</Paragraphs>
  <ScaleCrop>false</ScaleCrop>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2020-09-08T12:43:00Z</dcterms:created>
  <dcterms:modified xsi:type="dcterms:W3CDTF">2020-09-08T12:44:00Z</dcterms:modified>
</cp:coreProperties>
</file>